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uk-UA"/>
        </w:rPr>
        <w:t>5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line="240" w:lineRule="auto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Використання функцій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pStyle w:val="3"/>
        <w:tabs>
          <w:tab w:val="left" w:pos="0"/>
          <w:tab w:val="clear" w:pos="284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32"/>
          <w:szCs w:val="32"/>
          <w:lang w:val="uk-UA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1. </w:t>
      </w:r>
      <w:r>
        <w:rPr>
          <w:rFonts w:ascii="Times New Roman" w:hAnsi="Times New Roman"/>
          <w:color w:val="auto"/>
          <w:sz w:val="32"/>
          <w:szCs w:val="32"/>
          <w:lang w:val="uk-UA"/>
        </w:rPr>
        <w:t>Порядок виконання роботи</w:t>
      </w:r>
    </w:p>
    <w:p>
      <w:pPr>
        <w:pStyle w:val="4"/>
        <w:spacing w:before="0" w:after="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1. Проаналізувати умову задачі.</w:t>
      </w:r>
    </w:p>
    <w:p>
      <w:pPr>
        <w:pStyle w:val="4"/>
        <w:spacing w:before="0" w:after="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2. Розробити алгоритм та створити програму розв’язання задачі згідно з номером варіанту.</w:t>
      </w:r>
    </w:p>
    <w:p>
      <w:pPr>
        <w:pStyle w:val="4"/>
        <w:spacing w:before="0" w:after="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3. Результати роботи оформити протоколом.</w:t>
      </w:r>
    </w:p>
    <w:p>
      <w:pPr>
        <w:rPr>
          <w:rFonts w:hint="default"/>
          <w:lang w:val="uk-UA"/>
        </w:rPr>
      </w:pPr>
    </w:p>
    <w:p>
      <w:pPr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12) </w:t>
      </w:r>
      <w:r>
        <w:rPr>
          <w:sz w:val="28"/>
          <w:szCs w:val="28"/>
          <w:lang w:val="uk-UA"/>
        </w:rPr>
        <w:t xml:space="preserve">Дано натуральне число </w:t>
      </w:r>
      <w:r>
        <w:rPr>
          <w:position w:val="-4"/>
          <w:sz w:val="28"/>
          <w:szCs w:val="28"/>
          <w:lang w:val="uk-UA"/>
        </w:rPr>
        <w:object>
          <v:shape id="_x0000_i1027" o:spt="75" type="#_x0000_t75" style="height:11pt;width:11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4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. Серед чисел </w:t>
      </w:r>
      <w:r>
        <w:rPr>
          <w:position w:val="-10"/>
          <w:sz w:val="28"/>
          <w:szCs w:val="28"/>
          <w:lang w:val="uk-UA"/>
        </w:rPr>
        <w:object>
          <v:shape id="_x0000_i1028" o:spt="75" type="#_x0000_t75" style="height:17pt;width:49.9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6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 знайти всі ті, які можна представити у вигляді суми квадратів двох натуральних чисел. (Визначити функцію, що дозволяє розпізнати повні квадрати.)</w:t>
      </w:r>
    </w:p>
    <w:p>
      <w:pPr>
        <w:pStyle w:val="12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2819400" cy="219456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7050" cy="2087245"/>
            <wp:effectExtent l="0" t="0" r="1270" b="6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rPr>
          <w:rFonts w:hint="default"/>
          <w:b/>
          <w:sz w:val="24"/>
          <w:lang w:val="ru-RU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rPr>
          <w:b/>
          <w:sz w:val="24"/>
          <w:lang w:val="uk-UA"/>
        </w:rPr>
      </w:pP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Група Б</w:t>
      </w:r>
    </w:p>
    <w:p>
      <w:pPr>
        <w:rPr>
          <w:b/>
          <w:sz w:val="24"/>
          <w:lang w:val="uk-UA"/>
        </w:rPr>
      </w:pPr>
    </w:p>
    <w:p>
      <w:pPr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4.Дано натуральні числа </w:t>
      </w:r>
      <w:r>
        <w:rPr>
          <w:sz w:val="28"/>
          <w:szCs w:val="28"/>
          <w:lang w:val="uk-UA"/>
        </w:rPr>
        <w:object>
          <v:shape id="_x0000_i1033" o:spt="75" type="#_x0000_t75" style="height:13.95pt;width:26pt;" o:ole="t" fillcolor="#000011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0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; знайти </w:t>
      </w:r>
      <w:r>
        <w:rPr>
          <w:sz w:val="28"/>
          <w:szCs w:val="28"/>
          <w:lang w:val="uk-UA"/>
        </w:rPr>
        <w:object>
          <v:shape id="_x0000_i1034" o:spt="75" type="#_x0000_t75" style="height:17pt;width:66pt;" o:ole="t" fillcolor="#000011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2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. Використати програму, що вміщує рекурсивну процедуру обчислення </w:t>
      </w:r>
      <w:r>
        <w:rPr>
          <w:sz w:val="28"/>
          <w:szCs w:val="28"/>
          <w:lang w:val="uk-UA"/>
        </w:rPr>
        <w:object>
          <v:shape id="_x0000_i1035" o:spt="75" type="#_x0000_t75" style="height:13.95pt;width:34pt;" o:ole="t" fillcolor="#000011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4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, що базується на співвідношенні </w:t>
      </w:r>
      <w:r>
        <w:rPr>
          <w:sz w:val="28"/>
          <w:szCs w:val="28"/>
          <w:lang w:val="uk-UA"/>
        </w:rPr>
        <w:object>
          <v:shape id="_x0000_i1036" o:spt="75" type="#_x0000_t75" style="height:17pt;width:139.95pt;" o:ole="t" fillcolor="#000011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6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uk-UA"/>
        </w:rPr>
        <w:object>
          <v:shape id="_x0000_i1037" o:spt="75" type="#_x0000_t75" style="height:11pt;width:10pt;" o:ole="t" fillcolor="#000011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8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 — залишок від ділення </w:t>
      </w:r>
      <w:r>
        <w:rPr>
          <w:sz w:val="28"/>
          <w:szCs w:val="28"/>
          <w:lang w:val="uk-UA"/>
        </w:rPr>
        <w:object>
          <v:shape id="_x0000_i1038" o:spt="75" type="#_x0000_t75" style="height:11pt;width:13pt;" o:ole="t" fillcolor="#000011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0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object>
          <v:shape id="_x0000_i1039" o:spt="75" type="#_x0000_t75" style="height:11pt;width:11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2">
            <o:LockedField>false</o:LockedField>
          </o:OLEObject>
        </w:object>
      </w:r>
      <w:r>
        <w:rPr>
          <w:sz w:val="28"/>
          <w:szCs w:val="28"/>
          <w:lang w:val="uk-UA"/>
        </w:rPr>
        <w:t>. (НСD — найбільший спільний дільник.)</w:t>
      </w:r>
    </w:p>
    <w:p>
      <w:pPr>
        <w:rPr>
          <w:b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567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722495" cy="1844040"/>
            <wp:effectExtent l="0" t="0" r="1905" b="0"/>
            <wp:docPr id="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8890</wp:posOffset>
            </wp:positionV>
            <wp:extent cx="3300095" cy="640080"/>
            <wp:effectExtent l="0" t="0" r="6985" b="0"/>
            <wp:wrapSquare wrapText="bothSides"/>
            <wp:docPr id="1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11AC6160"/>
    <w:rsid w:val="1E3E1661"/>
    <w:rsid w:val="200434C6"/>
    <w:rsid w:val="400F3FE2"/>
    <w:rsid w:val="4C944ED6"/>
    <w:rsid w:val="4DA82362"/>
    <w:rsid w:val="55AD36B6"/>
    <w:rsid w:val="5F451FA0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4">
    <w:name w:val="heading 3"/>
    <w:basedOn w:val="1"/>
    <w:next w:val="1"/>
    <w:qFormat/>
    <w:uiPriority w:val="0"/>
    <w:pPr>
      <w:keepNext/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2"/>
    </w:pPr>
    <w:rPr>
      <w:rFonts w:ascii="Arial CYR" w:hAnsi="Arial CYR"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sz w:val="36"/>
      <w:lang w:val="uk-U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9">
    <w:name w:val="Header Based"/>
    <w:next w:val="1"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10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11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2">
    <w:name w:val="Iau?iue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2020-03-27T21:33:13Z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