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4-бөлім. Конструктивтік шешімдер. Мәтіндік бөлігі</w:t>
      </w:r>
    </w:p>
    <w:p>
      <w:pPr>
        <w:jc w:val="center"/>
      </w:pPr>
      <w:r>
        <w:rPr>
          <w:b w:val="0"/>
          <w:sz w:val="22"/>
        </w:rPr>
        <w:t>«850 орындық жалпы білім беретін орта мектеп»</w:t>
      </w:r>
    </w:p>
    <w:p>
      <w:pPr>
        <w:pStyle w:val="Heading2"/>
      </w:pPr>
      <w:r>
        <w:t>1. Конструктивтік сұлба</w:t>
      </w:r>
    </w:p>
    <w:p>
      <w:r>
        <w:t>Ғимарат бағаналар мен аражабын тақталарының түйіндері қатаң түйіскен монолитті темірбетон қаңқамен жобаланған.</w:t>
      </w:r>
    </w:p>
    <w:p>
      <w:r>
        <w:t>Іргетастар — B25, W6, F150 сыныпты бетоннан жасалған қалыңдығы 900 мм монолитті темірбетон тақта. Сыртқы қабырғалар — керамикалық кірпіштен қалау.</w:t>
      </w:r>
    </w:p>
    <w:p>
      <w:pPr>
        <w:pStyle w:val="Heading2"/>
      </w:pPr>
      <w:r>
        <w:t>2. Негізгі конструктивтік материалдар көлемдерінің ведомосы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Р/с 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Конструкциялардың, материалдардың атауы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Өлш. бірл.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Саны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Іргетасқа арналған B25 сыныпты бетон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1 510,67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Бағаналар, қабырғалар мен аражабындарға арналған B30 сыныпты бетон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412,11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A500С сыныпты арматура</w:t>
            </w:r>
          </w:p>
        </w:tc>
        <w:tc>
          <w:tcPr>
            <w:tcW w:type="dxa" w:w="2160"/>
          </w:tcPr>
          <w:p>
            <w:r>
              <w:t>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200,119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>
              <w:t>Керамикалық кірпіштен қалау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259,45</w:t>
            </w:r>
          </w:p>
        </w:tc>
      </w:tr>
    </w:tbl>
    <w:p/>
    <w:p>
      <w:r>
        <w:t>Монолитті бетонның жалпы шығыны 1 922,78 м³ құрайды.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669-2026-КШ    4-бөлім. Конструктивтік шешімдер. Мәтіндік бөлігі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