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Раздел 4. Конструктивные решения. Текстовая часть</w:t>
      </w:r>
    </w:p>
    <w:p>
      <w:pPr>
        <w:jc w:val="center"/>
      </w:pPr>
      <w:r>
        <w:rPr>
          <w:b w:val="0"/>
          <w:sz w:val="22"/>
        </w:rPr>
        <w:t>«Административное здание на 70 рабочих мест»</w:t>
      </w:r>
    </w:p>
    <w:p>
      <w:pPr>
        <w:pStyle w:val="Heading2"/>
      </w:pPr>
      <w:r>
        <w:t>1. Конструктивная схема</w:t>
      </w:r>
    </w:p>
    <w:p>
      <w:r>
        <w:t>Здание запроектировано в монолитном железобетонном каркасе с жёсткими узлами сопряжения колонн и плит перекрытий.</w:t>
      </w:r>
    </w:p>
    <w:p>
      <w:r>
        <w:t>Фундаменты — монолитная железобетонная плита толщиной 800 мм из бетона класса B25, W6, F150. Наружные стены — кладка из керамического кирпича.</w:t>
      </w:r>
    </w:p>
    <w:p>
      <w:pPr>
        <w:pStyle w:val="Heading2"/>
      </w:pPr>
      <w:r>
        <w:t>2. Ведомость объёмов основных конструктивных материалов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Наименование конструкций, материалов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Количество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2160"/>
          </w:tcPr>
          <w:p>
            <w:r>
              <w:t>Бетон B25 фундаментной плиты</w:t>
            </w:r>
          </w:p>
        </w:tc>
        <w:tc>
          <w:tcPr>
            <w:tcW w:type="dxa" w:w="2160"/>
          </w:tcPr>
          <w:p>
            <w:r>
              <w:t>м³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501,35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2160"/>
          </w:tcPr>
          <w:p>
            <w:r>
              <w:t>Бетон B30 колонн, стен и перекрытий</w:t>
            </w:r>
          </w:p>
        </w:tc>
        <w:tc>
          <w:tcPr>
            <w:tcW w:type="dxa" w:w="2160"/>
          </w:tcPr>
          <w:p>
            <w:r>
              <w:t>м³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343,96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2160"/>
          </w:tcPr>
          <w:p>
            <w:r>
              <w:t>Арматура класса A500С</w:t>
            </w:r>
          </w:p>
        </w:tc>
        <w:tc>
          <w:tcPr>
            <w:tcW w:type="dxa" w:w="2160"/>
          </w:tcPr>
          <w:p>
            <w:r>
              <w:t>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99,108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2160"/>
          </w:tcPr>
          <w:p>
            <w:r>
              <w:t>Кладка из керамического кирпича</w:t>
            </w:r>
          </w:p>
        </w:tc>
        <w:tc>
          <w:tcPr>
            <w:tcW w:type="dxa" w:w="2160"/>
          </w:tcPr>
          <w:p>
            <w:r>
              <w:t>м³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170,52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2160"/>
          </w:tcPr>
          <w:p>
            <w:r>
              <w:t>Стальные конструкции (С255)</w:t>
            </w:r>
          </w:p>
        </w:tc>
        <w:tc>
          <w:tcPr>
            <w:tcW w:type="dxa" w:w="2160"/>
          </w:tcPr>
          <w:p>
            <w:r>
              <w:t>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14,542</w:t>
            </w:r>
          </w:p>
        </w:tc>
      </w:tr>
    </w:tbl>
    <w:p/>
    <w:p>
      <w:r>
        <w:t>Общий расход монолитного бетона составляет 845,31 м³.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541-2026-КР    Раздел 4. Конструктивные решения. Текстовая часть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