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numPr>
          <w:ilvl w:val="0"/>
          <w:numId w:val="1"/>
        </w:numPr>
        <w:spacing w:after="240" w:lineRule="auto"/>
        <w:ind w:left="720" w:hanging="360"/>
        <w:rPr>
          <w:sz w:val="24"/>
          <w:szCs w:val="24"/>
        </w:rPr>
      </w:pPr>
      <w:bookmarkStart w:colFirst="0" w:colLast="0" w:name="_e8zkovxecsfm" w:id="0"/>
      <w:bookmarkEnd w:id="0"/>
      <w:r w:rsidDel="00000000" w:rsidR="00000000" w:rsidRPr="00000000">
        <w:rPr>
          <w:sz w:val="24"/>
          <w:szCs w:val="24"/>
          <w:rtl w:val="0"/>
        </w:rPr>
        <w:t xml:space="preserve">Posūkiai erdvėje apie koordinatines ašis [ML, Lec. 8]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476250</wp:posOffset>
            </wp:positionH>
            <wp:positionV relativeFrom="paragraph">
              <wp:posOffset>638175</wp:posOffset>
            </wp:positionV>
            <wp:extent cx="5734050" cy="5156200"/>
            <wp:effectExtent b="0" l="0" r="0" t="0"/>
            <wp:wrapSquare wrapText="bothSides" distB="114300" distT="114300" distL="114300" distR="11430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156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bookmarkStart w:colFirst="0" w:colLast="0" w:name="_e2qk511pgz1t" w:id="1"/>
      <w:bookmarkEnd w:id="1"/>
      <w:r w:rsidDel="00000000" w:rsidR="00000000" w:rsidRPr="00000000">
        <w:rPr>
          <w:sz w:val="24"/>
          <w:szCs w:val="24"/>
          <w:rtl w:val="0"/>
        </w:rPr>
        <w:t xml:space="preserve">WebGL veikimo principai</w:t>
      </w:r>
    </w:p>
    <w:p w:rsidR="00000000" w:rsidDel="00000000" w:rsidP="00000000" w:rsidRDefault="00000000" w:rsidRPr="00000000" w14:paraId="00000004">
      <w:pPr>
        <w:pStyle w:val="Heading1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e2qk511pgz1t" w:id="1"/>
      <w:bookmarkEnd w:id="1"/>
      <w:r w:rsidDel="00000000" w:rsidR="00000000" w:rsidRPr="00000000">
        <w:rPr>
          <w:sz w:val="24"/>
          <w:szCs w:val="24"/>
          <w:rtl w:val="0"/>
        </w:rPr>
        <w:t xml:space="preserve">paprasčiausia scena su Three.js [Dirksen, Ch.1]</w:t>
      </w:r>
    </w:p>
    <w:p w:rsidR="00000000" w:rsidDel="00000000" w:rsidP="00000000" w:rsidRDefault="00000000" w:rsidRPr="00000000" w14:paraId="00000005">
      <w:pPr>
        <w:pStyle w:val="Heading1"/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jh4yao7ika3l" w:id="2"/>
      <w:bookmarkEnd w:id="2"/>
      <w:r w:rsidDel="00000000" w:rsidR="00000000" w:rsidRPr="00000000">
        <w:rPr>
          <w:sz w:val="24"/>
          <w:szCs w:val="24"/>
          <w:rtl w:val="0"/>
        </w:rPr>
        <w:t xml:space="preserve">šviesos šaltiniai: SpotLight, DirectionLight, AmbientLight, PointLight [Dirksen, Ch.3]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Spotlight - iš vieno taško į kažkokią kryptį</w:t>
      </w:r>
    </w:p>
    <w:p w:rsidR="00000000" w:rsidDel="00000000" w:rsidP="00000000" w:rsidRDefault="00000000" w:rsidRPr="00000000" w14:paraId="0000000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DirectionLight - globali šviesa į kažkokią kryptį su lygiagrečiais spinduliais.</w:t>
      </w:r>
    </w:p>
    <w:p w:rsidR="00000000" w:rsidDel="00000000" w:rsidP="00000000" w:rsidRDefault="00000000" w:rsidRPr="00000000" w14:paraId="0000000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AmbientLight - globali šviesa.</w:t>
      </w:r>
    </w:p>
    <w:p w:rsidR="00000000" w:rsidDel="00000000" w:rsidP="00000000" w:rsidRDefault="00000000" w:rsidRPr="00000000" w14:paraId="0000000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PointLight - iš vieno taško į visas puses</w:t>
      </w:r>
    </w:p>
    <w:p w:rsidR="00000000" w:rsidDel="00000000" w:rsidP="00000000" w:rsidRDefault="00000000" w:rsidRPr="00000000" w14:paraId="0000000A">
      <w:pPr>
        <w:pStyle w:val="Heading1"/>
        <w:numPr>
          <w:ilvl w:val="0"/>
          <w:numId w:val="1"/>
        </w:numPr>
        <w:spacing w:after="240" w:lineRule="auto"/>
        <w:ind w:left="720" w:hanging="360"/>
        <w:rPr>
          <w:sz w:val="24"/>
          <w:szCs w:val="24"/>
        </w:rPr>
      </w:pPr>
      <w:bookmarkStart w:colFirst="0" w:colLast="0" w:name="_cf2netv54m5e" w:id="3"/>
      <w:bookmarkEnd w:id="3"/>
      <w:r w:rsidDel="00000000" w:rsidR="00000000" w:rsidRPr="00000000">
        <w:rPr>
          <w:sz w:val="24"/>
          <w:szCs w:val="24"/>
          <w:rtl w:val="0"/>
        </w:rPr>
        <w:t xml:space="preserve">medžiagos: [Dirksen, Ch.4], [Guha, Ch.11]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419725" cy="412432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412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https://klevas.mif.vu.lt/~rimask/webgl/learning-threejs/chapter-04/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Lambert material:</w:t>
      </w:r>
    </w:p>
    <w:p w:rsidR="00000000" w:rsidDel="00000000" w:rsidP="00000000" w:rsidRDefault="00000000" w:rsidRPr="00000000" w14:paraId="0000000F">
      <w:pPr>
        <w:ind w:left="720" w:firstLine="0"/>
        <w:rPr>
          <w:color w:val="242729"/>
          <w:sz w:val="23"/>
          <w:szCs w:val="23"/>
          <w:highlight w:val="white"/>
        </w:rPr>
      </w:pPr>
      <w:r w:rsidDel="00000000" w:rsidR="00000000" w:rsidRPr="00000000">
        <w:rPr>
          <w:color w:val="242729"/>
          <w:sz w:val="23"/>
          <w:szCs w:val="23"/>
          <w:highlight w:val="white"/>
          <w:rtl w:val="0"/>
        </w:rPr>
        <w:t xml:space="preserve">the illumination calculation is performed at each vertex, and the resulting color is interpolated across the face of the polygon. ( Gouraud shading; (generalized) Lambert illumination model )</w:t>
      </w:r>
    </w:p>
    <w:p w:rsidR="00000000" w:rsidDel="00000000" w:rsidP="00000000" w:rsidRDefault="00000000" w:rsidRPr="00000000" w14:paraId="00000010">
      <w:pPr>
        <w:ind w:left="720" w:firstLine="0"/>
        <w:rPr>
          <w:color w:val="242729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Phong material:</w:t>
      </w:r>
    </w:p>
    <w:p w:rsidR="00000000" w:rsidDel="00000000" w:rsidP="00000000" w:rsidRDefault="00000000" w:rsidRPr="00000000" w14:paraId="00000012">
      <w:pPr>
        <w:ind w:left="720" w:firstLine="0"/>
        <w:rPr>
          <w:color w:val="242729"/>
          <w:sz w:val="23"/>
          <w:szCs w:val="23"/>
          <w:highlight w:val="white"/>
        </w:rPr>
      </w:pPr>
      <w:r w:rsidDel="00000000" w:rsidR="00000000" w:rsidRPr="00000000">
        <w:rPr>
          <w:color w:val="242729"/>
          <w:sz w:val="23"/>
          <w:szCs w:val="23"/>
          <w:highlight w:val="white"/>
          <w:rtl w:val="0"/>
        </w:rPr>
        <w:t xml:space="preserve">vertex normals are interpolated across the surface of the polygon, and the illumination calculation is performed at each texel. ( Phong shading; (generalized) Phong illumination model )</w:t>
      </w:r>
    </w:p>
    <w:p w:rsidR="00000000" w:rsidDel="00000000" w:rsidP="00000000" w:rsidRDefault="00000000" w:rsidRPr="00000000" w14:paraId="00000013">
      <w:pPr>
        <w:ind w:left="720" w:firstLine="0"/>
        <w:rPr>
          <w:color w:val="242729"/>
          <w:sz w:val="23"/>
          <w:szCs w:val="23"/>
          <w:highlight w:val="white"/>
        </w:rPr>
      </w:pPr>
      <w:hyperlink r:id="rId9">
        <w:r w:rsidDel="00000000" w:rsidR="00000000" w:rsidRPr="00000000">
          <w:rPr>
            <w:color w:val="1155cc"/>
            <w:sz w:val="23"/>
            <w:szCs w:val="23"/>
            <w:highlight w:val="white"/>
            <w:u w:val="single"/>
            <w:rtl w:val="0"/>
          </w:rPr>
          <w:t xml:space="preserve">https://learnopengl.com/Advanced-Lighting/Advanced-Lighting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numPr>
          <w:ilvl w:val="0"/>
          <w:numId w:val="1"/>
        </w:numPr>
        <w:spacing w:after="240" w:lineRule="auto"/>
        <w:ind w:left="720" w:hanging="360"/>
        <w:rPr>
          <w:sz w:val="24"/>
          <w:szCs w:val="24"/>
        </w:rPr>
      </w:pPr>
      <w:bookmarkStart w:colFirst="0" w:colLast="0" w:name="_25qcy5p76n6j" w:id="4"/>
      <w:bookmarkEnd w:id="4"/>
      <w:r w:rsidDel="00000000" w:rsidR="00000000" w:rsidRPr="00000000">
        <w:rPr>
          <w:sz w:val="24"/>
          <w:szCs w:val="24"/>
          <w:rtl w:val="0"/>
        </w:rPr>
        <w:t xml:space="preserve">normalės ir orientacijos [Guha, Ch. 9], </w:t>
      </w: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gl_NormalMatrix</w:t>
        </w:r>
      </w:hyperlink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4610100</wp:posOffset>
            </wp:positionH>
            <wp:positionV relativeFrom="paragraph">
              <wp:posOffset>514350</wp:posOffset>
            </wp:positionV>
            <wp:extent cx="1524000" cy="1724025"/>
            <wp:effectExtent b="0" l="0" r="0" t="0"/>
            <wp:wrapSquare wrapText="bothSides" distB="114300" distT="114300" distL="114300" distR="11430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724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Netinka: 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vertexEyeSpace = gl_ModelViewMatrix * gl_Vertex;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Nes kitaip normalia yra deformuojama kartu su transformacija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Iš esmės tam, kad išlaikytų nepakitūsę normalią, turi </w:t>
      </w:r>
      <w:r w:rsidDel="00000000" w:rsidR="00000000" w:rsidRPr="00000000">
        <w:rPr/>
        <w:drawing>
          <wp:inline distB="114300" distT="114300" distL="114300" distR="114300">
            <wp:extent cx="1895475" cy="171450"/>
            <wp:effectExtent b="0" l="0" r="0" t="0"/>
            <wp:docPr id="2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kur M yra ModelViewMatrix 3x3 nuo viršaus kairėj esantys elementai. Ši matrica G ir yra </w:t>
      </w:r>
      <w:r w:rsidDel="00000000" w:rsidR="00000000" w:rsidRPr="00000000">
        <w:rPr>
          <w:i w:val="1"/>
          <w:rtl w:val="0"/>
        </w:rPr>
        <w:t xml:space="preserve">gl_NormalMatrix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numPr>
          <w:ilvl w:val="0"/>
          <w:numId w:val="1"/>
        </w:numPr>
        <w:spacing w:after="240" w:lineRule="auto"/>
        <w:ind w:left="720" w:hanging="360"/>
        <w:rPr>
          <w:sz w:val="24"/>
          <w:szCs w:val="24"/>
        </w:rPr>
      </w:pPr>
      <w:bookmarkStart w:colFirst="0" w:colLast="0" w:name="_vxo8rtdqgnl4" w:id="5"/>
      <w:bookmarkEnd w:id="5"/>
      <w:r w:rsidDel="00000000" w:rsidR="00000000" w:rsidRPr="00000000">
        <w:rPr>
          <w:sz w:val="24"/>
          <w:szCs w:val="24"/>
          <w:rtl w:val="0"/>
        </w:rPr>
        <w:t xml:space="preserve">geometriniai primityvai: plane, circle, shape, cube, sphere, cylinder, Torus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4050" cy="6705600"/>
            <wp:effectExtent b="0" l="0" r="0" t="0"/>
            <wp:docPr id="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70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[Dirksen, Ch.5]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6934200"/>
            <wp:effectExtent b="0" l="0" r="0" t="0"/>
            <wp:docPr id="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93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21082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4050" cy="3022600"/>
            <wp:effectExtent b="0" l="0" r="0" t="0"/>
            <wp:docPr id="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676900" cy="7115175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7115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734050" cy="1828800"/>
            <wp:effectExtent b="0" l="0" r="0" t="0"/>
            <wp:wrapTopAndBottom distB="114300" distT="11430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828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734050" cy="4318000"/>
            <wp:effectExtent b="0" l="0" r="0" t="0"/>
            <wp:wrapTopAndBottom distB="114300" distT="11430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31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4572000</wp:posOffset>
            </wp:positionV>
            <wp:extent cx="5734050" cy="5270500"/>
            <wp:effectExtent b="0" l="0" r="0" t="0"/>
            <wp:wrapTopAndBottom distB="114300" distT="11430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27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4406900"/>
            <wp:effectExtent b="0" l="0" r="0" t="0"/>
            <wp:docPr id="2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40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690880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90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6070600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07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7137400"/>
            <wp:effectExtent b="0" l="0" r="0" t="0"/>
            <wp:docPr id="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13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numPr>
          <w:ilvl w:val="0"/>
          <w:numId w:val="1"/>
        </w:numPr>
        <w:spacing w:after="240" w:lineRule="auto"/>
        <w:ind w:left="720" w:hanging="360"/>
        <w:rPr>
          <w:sz w:val="24"/>
          <w:szCs w:val="24"/>
        </w:rPr>
      </w:pPr>
      <w:bookmarkStart w:colFirst="0" w:colLast="0" w:name="_cqbxt87weizo" w:id="6"/>
      <w:bookmarkEnd w:id="6"/>
      <w:r w:rsidDel="00000000" w:rsidR="00000000" w:rsidRPr="00000000">
        <w:rPr>
          <w:sz w:val="24"/>
          <w:szCs w:val="24"/>
          <w:rtl w:val="0"/>
        </w:rPr>
        <w:t xml:space="preserve">sudėtinga geometrija: Convex, Lathe, Extrude [Dirksen, Ch.6]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4140200"/>
            <wp:effectExtent b="0" l="0" r="0" t="0"/>
            <wp:docPr id="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676900" cy="546735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546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629275" cy="455295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455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numPr>
          <w:ilvl w:val="0"/>
          <w:numId w:val="1"/>
        </w:numPr>
        <w:spacing w:after="240" w:lineRule="auto"/>
        <w:ind w:left="720" w:hanging="360"/>
        <w:rPr>
          <w:sz w:val="24"/>
          <w:szCs w:val="24"/>
        </w:rPr>
      </w:pPr>
      <w:bookmarkStart w:colFirst="0" w:colLast="0" w:name="_li97lph2z1n4" w:id="7"/>
      <w:bookmarkEnd w:id="7"/>
      <w:r w:rsidDel="00000000" w:rsidR="00000000" w:rsidRPr="00000000">
        <w:rPr>
          <w:sz w:val="24"/>
          <w:szCs w:val="24"/>
          <w:rtl w:val="0"/>
        </w:rPr>
        <w:t xml:space="preserve">tekstūros [Dirksen, Ch.10]</w:t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numPr>
          <w:ilvl w:val="0"/>
          <w:numId w:val="1"/>
        </w:numPr>
        <w:spacing w:after="240" w:lineRule="auto"/>
        <w:ind w:left="720" w:hanging="360"/>
        <w:rPr>
          <w:sz w:val="24"/>
          <w:szCs w:val="24"/>
        </w:rPr>
      </w:pPr>
      <w:bookmarkStart w:colFirst="0" w:colLast="0" w:name="_xyckmh41pder" w:id="8"/>
      <w:bookmarkEnd w:id="8"/>
      <w:r w:rsidDel="00000000" w:rsidR="00000000" w:rsidRPr="00000000">
        <w:rPr>
          <w:sz w:val="24"/>
          <w:szCs w:val="24"/>
          <w:rtl w:val="0"/>
        </w:rPr>
        <w:t xml:space="preserve">kameros padėtis: camera.up(); camera.lookAt();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Up iš principo yra normalizuotas (ilgis lygus 1) vectorius iš (x,y,z). Standartiškai naudojamas (0,1,0), kas reiškia, jog kamera žiūri y ašies atžvilgiu į viršų. O jeigu parašysim (0,-1,0), tai kamera žiūrės aukštyn kojom. Kitas pvz (0.5,0.5,0) kamera bus pagulus ant x ašies 45 lapsniais.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lookAt, taip pat yra vektorius, tačiau tai erdvės taškas į kurį yra basąlygiškai žiūrima iš betkurios vietos kur yra kamera.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numPr>
          <w:ilvl w:val="0"/>
          <w:numId w:val="1"/>
        </w:numPr>
        <w:spacing w:after="240" w:lineRule="auto"/>
        <w:ind w:left="720" w:hanging="360"/>
        <w:rPr>
          <w:sz w:val="24"/>
          <w:szCs w:val="24"/>
        </w:rPr>
      </w:pPr>
      <w:bookmarkStart w:colFirst="0" w:colLast="0" w:name="_4143rqy45599" w:id="9"/>
      <w:bookmarkEnd w:id="9"/>
      <w:r w:rsidDel="00000000" w:rsidR="00000000" w:rsidRPr="00000000">
        <w:rPr>
          <w:sz w:val="24"/>
          <w:szCs w:val="24"/>
          <w:rtl w:val="0"/>
        </w:rPr>
        <w:t xml:space="preserve">kameros reguliavimas: OrthographicCamera(); PerspectiveCamera() [Dirksen,Ch.2]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rtl w:val="0"/>
        </w:rPr>
        <w:t xml:space="preserve">OrthographicCamera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734050" cy="24003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483870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PerspectiveCamera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41783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49911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numPr>
          <w:ilvl w:val="0"/>
          <w:numId w:val="1"/>
        </w:numPr>
        <w:spacing w:after="240" w:lineRule="auto"/>
        <w:ind w:left="720" w:hanging="360"/>
        <w:rPr>
          <w:sz w:val="24"/>
          <w:szCs w:val="24"/>
        </w:rPr>
      </w:pPr>
      <w:bookmarkStart w:colFirst="0" w:colLast="0" w:name="_1ri5kq83xlpn" w:id="10"/>
      <w:bookmarkEnd w:id="10"/>
      <w:r w:rsidDel="00000000" w:rsidR="00000000" w:rsidRPr="00000000">
        <w:rPr>
          <w:sz w:val="24"/>
          <w:szCs w:val="24"/>
          <w:rtl w:val="0"/>
        </w:rPr>
        <w:t xml:space="preserve">grafinis konvejeris [Udasity: select demo - Lesson 7 View Pipeline]</w:t>
      </w:r>
    </w:p>
    <w:p w:rsidR="00000000" w:rsidDel="00000000" w:rsidP="00000000" w:rsidRDefault="00000000" w:rsidRPr="00000000" w14:paraId="00000037">
      <w:pPr>
        <w:ind w:left="720" w:firstLine="0"/>
        <w:rPr/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http://www.realtimerendering.com/udacity/?load=demo/unit7-view-pipeline.js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  <w:t xml:space="preserve">Šitas linkas yra zjbs :)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numPr>
          <w:ilvl w:val="0"/>
          <w:numId w:val="1"/>
        </w:numPr>
        <w:spacing w:after="240" w:lineRule="auto"/>
        <w:ind w:left="720" w:hanging="360"/>
        <w:rPr>
          <w:sz w:val="24"/>
          <w:szCs w:val="24"/>
        </w:rPr>
      </w:pPr>
      <w:bookmarkStart w:colFirst="0" w:colLast="0" w:name="_rd3qhaa2zsa2" w:id="11"/>
      <w:bookmarkEnd w:id="11"/>
      <w:r w:rsidDel="00000000" w:rsidR="00000000" w:rsidRPr="00000000">
        <w:rPr>
          <w:sz w:val="24"/>
          <w:szCs w:val="24"/>
          <w:rtl w:val="0"/>
        </w:rPr>
        <w:t xml:space="preserve">GLSL kalbos elementai, funkcijos: step(), smoothstep(), clamp(), mix() [GLSL]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3648075" cy="171450"/>
            <wp:effectExtent b="0" l="0" r="0" t="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5016500"/>
            <wp:effectExtent b="0" l="0" r="0" t="0"/>
            <wp:docPr id="1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01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Clamp: </w:t>
      </w: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https://www.khronos.org/registry/OpenGL-Refpages/gl4/html/clamp.xhtml</w:t>
        </w:r>
      </w:hyperlink>
      <w:r w:rsidDel="00000000" w:rsidR="00000000" w:rsidRPr="00000000">
        <w:rPr>
          <w:rtl w:val="0"/>
        </w:rPr>
        <w:t xml:space="preserve"> iš esmės min maxina X tarp dviejų reikšmių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Step: </w:t>
      </w: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https://thebookofshaders.com/glossary/?search=step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numPr>
          <w:ilvl w:val="0"/>
          <w:numId w:val="1"/>
        </w:numPr>
        <w:spacing w:after="240" w:lineRule="auto"/>
        <w:ind w:left="720" w:hanging="360"/>
        <w:rPr>
          <w:sz w:val="24"/>
          <w:szCs w:val="24"/>
        </w:rPr>
      </w:pPr>
      <w:bookmarkStart w:colFirst="0" w:colLast="0" w:name="_j2zj4bkzp45x" w:id="12"/>
      <w:bookmarkEnd w:id="12"/>
      <w:r w:rsidDel="00000000" w:rsidR="00000000" w:rsidRPr="00000000">
        <w:rPr>
          <w:sz w:val="24"/>
          <w:szCs w:val="24"/>
          <w:rtl w:val="0"/>
        </w:rPr>
        <w:t xml:space="preserve">šešėliuoklių programavimas naudojant THREE.ShaderMaterial() [Aerotwist]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bookmarkStart w:colFirst="0" w:colLast="0" w:name="_e2qk511pgz1t" w:id="1"/>
      <w:bookmarkEnd w:id="1"/>
      <w:r w:rsidDel="00000000" w:rsidR="00000000" w:rsidRPr="00000000">
        <w:rPr>
          <w:sz w:val="24"/>
          <w:szCs w:val="24"/>
          <w:rtl w:val="0"/>
        </w:rPr>
        <w:t xml:space="preserve">fiksuotas funkcionalumas [Guha, Ch. 11]:</w:t>
        <w:br w:type="textWrapping"/>
        <w:t xml:space="preserve"> - </w:t>
      </w:r>
      <w:hyperlink r:id="rId3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difuzinis atspindys</w:t>
        </w:r>
      </w:hyperlink>
      <w:r w:rsidDel="00000000" w:rsidR="00000000" w:rsidRPr="00000000">
        <w:rPr>
          <w:sz w:val="24"/>
          <w:szCs w:val="24"/>
          <w:rtl w:val="0"/>
        </w:rPr>
        <w:t xml:space="preserve">, - </w:t>
      </w:r>
      <w:hyperlink r:id="rId3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Phong atspindys</w:t>
        </w:r>
      </w:hyperlink>
      <w:r w:rsidDel="00000000" w:rsidR="00000000" w:rsidRPr="00000000">
        <w:rPr>
          <w:sz w:val="24"/>
          <w:szCs w:val="24"/>
          <w:rtl w:val="0"/>
        </w:rPr>
        <w:t xml:space="preserve">, </w:t>
      </w:r>
      <w:hyperlink r:id="rId3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Blinn-Phong atspindys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e2qk511pgz1t" w:id="1"/>
      <w:bookmarkEnd w:id="1"/>
      <w:r w:rsidDel="00000000" w:rsidR="00000000" w:rsidRPr="00000000">
        <w:rPr>
          <w:sz w:val="24"/>
          <w:szCs w:val="24"/>
          <w:rtl w:val="0"/>
        </w:rPr>
        <w:t xml:space="preserve">procedūrinės tekstūros (4 užduotis)</w:t>
      </w:r>
    </w:p>
    <w:p w:rsidR="00000000" w:rsidDel="00000000" w:rsidP="00000000" w:rsidRDefault="00000000" w:rsidRPr="00000000" w14:paraId="00000044">
      <w:pPr>
        <w:pStyle w:val="Heading1"/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e2qk511pgz1t" w:id="1"/>
      <w:bookmarkEnd w:id="1"/>
      <w:r w:rsidDel="00000000" w:rsidR="00000000" w:rsidRPr="00000000">
        <w:rPr>
          <w:sz w:val="24"/>
          <w:szCs w:val="24"/>
          <w:rtl w:val="0"/>
        </w:rPr>
        <w:t xml:space="preserve">aplinkos žemėlapis (environmental mapping): </w:t>
      </w:r>
      <w:hyperlink r:id="rId4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pvz.</w:t>
        </w:r>
      </w:hyperlink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klevas.mif.vu.lt/~rimask/webgl/shader_ex/envMap_teapot.html" TargetMode="External"/><Relationship Id="rId20" Type="http://schemas.openxmlformats.org/officeDocument/2006/relationships/image" Target="media/image16.png"/><Relationship Id="rId22" Type="http://schemas.openxmlformats.org/officeDocument/2006/relationships/image" Target="media/image25.png"/><Relationship Id="rId21" Type="http://schemas.openxmlformats.org/officeDocument/2006/relationships/image" Target="media/image23.png"/><Relationship Id="rId24" Type="http://schemas.openxmlformats.org/officeDocument/2006/relationships/image" Target="media/image21.png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earnopengl.com/Advanced-Lighting/Advanced-Lighting" TargetMode="External"/><Relationship Id="rId26" Type="http://schemas.openxmlformats.org/officeDocument/2006/relationships/image" Target="media/image11.png"/><Relationship Id="rId25" Type="http://schemas.openxmlformats.org/officeDocument/2006/relationships/image" Target="media/image10.png"/><Relationship Id="rId28" Type="http://schemas.openxmlformats.org/officeDocument/2006/relationships/image" Target="media/image6.png"/><Relationship Id="rId27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3.png"/><Relationship Id="rId29" Type="http://schemas.openxmlformats.org/officeDocument/2006/relationships/image" Target="media/image8.png"/><Relationship Id="rId7" Type="http://schemas.openxmlformats.org/officeDocument/2006/relationships/image" Target="media/image4.png"/><Relationship Id="rId8" Type="http://schemas.openxmlformats.org/officeDocument/2006/relationships/hyperlink" Target="https://klevas.mif.vu.lt/~rimask/webgl/learning-threejs/chapter-04/" TargetMode="External"/><Relationship Id="rId31" Type="http://schemas.openxmlformats.org/officeDocument/2006/relationships/image" Target="media/image12.png"/><Relationship Id="rId30" Type="http://schemas.openxmlformats.org/officeDocument/2006/relationships/image" Target="media/image22.png"/><Relationship Id="rId11" Type="http://schemas.openxmlformats.org/officeDocument/2006/relationships/image" Target="media/image19.png"/><Relationship Id="rId33" Type="http://schemas.openxmlformats.org/officeDocument/2006/relationships/image" Target="media/image1.png"/><Relationship Id="rId10" Type="http://schemas.openxmlformats.org/officeDocument/2006/relationships/hyperlink" Target="http://www.lighthouse3d.com/tutorials/glsl-12-tutorial/the-normal-matrix/" TargetMode="External"/><Relationship Id="rId32" Type="http://schemas.openxmlformats.org/officeDocument/2006/relationships/hyperlink" Target="http://www.realtimerendering.com/udacity/?load=demo/unit7-view-pipeline.js" TargetMode="External"/><Relationship Id="rId13" Type="http://schemas.openxmlformats.org/officeDocument/2006/relationships/image" Target="media/image17.png"/><Relationship Id="rId35" Type="http://schemas.openxmlformats.org/officeDocument/2006/relationships/hyperlink" Target="https://www.khronos.org/registry/OpenGL-Refpages/gl4/html/clamp.xhtml" TargetMode="External"/><Relationship Id="rId12" Type="http://schemas.openxmlformats.org/officeDocument/2006/relationships/image" Target="media/image18.png"/><Relationship Id="rId34" Type="http://schemas.openxmlformats.org/officeDocument/2006/relationships/image" Target="media/image24.png"/><Relationship Id="rId15" Type="http://schemas.openxmlformats.org/officeDocument/2006/relationships/image" Target="media/image3.png"/><Relationship Id="rId37" Type="http://schemas.openxmlformats.org/officeDocument/2006/relationships/hyperlink" Target="https://klevas.mif.vu.lt/~rimask/webgl/shader_ex/diffuse_torus.html" TargetMode="External"/><Relationship Id="rId14" Type="http://schemas.openxmlformats.org/officeDocument/2006/relationships/image" Target="media/image20.png"/><Relationship Id="rId36" Type="http://schemas.openxmlformats.org/officeDocument/2006/relationships/hyperlink" Target="https://thebookofshaders.com/glossary/?search=step" TargetMode="External"/><Relationship Id="rId17" Type="http://schemas.openxmlformats.org/officeDocument/2006/relationships/image" Target="media/image14.png"/><Relationship Id="rId39" Type="http://schemas.openxmlformats.org/officeDocument/2006/relationships/hyperlink" Target="https://klevas.mif.vu.lt/~rimask/webgl/shader_ex/phong-blinn_teapot.html" TargetMode="External"/><Relationship Id="rId16" Type="http://schemas.openxmlformats.org/officeDocument/2006/relationships/image" Target="media/image2.png"/><Relationship Id="rId38" Type="http://schemas.openxmlformats.org/officeDocument/2006/relationships/hyperlink" Target="https://klevas.mif.vu.lt/~rimask/webgl/shader_ex/phong_teapot.html" TargetMode="External"/><Relationship Id="rId19" Type="http://schemas.openxmlformats.org/officeDocument/2006/relationships/image" Target="media/image9.png"/><Relationship Id="rId1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