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Xedc41481bbb8e93214a3ba8f37afaff9ca39329"/>
    <w:p>
      <w:pPr>
        <w:pStyle w:val="Heading1"/>
      </w:pPr>
      <w:r>
        <w:t xml:space="preserve">Review pack — everything awaiting Roderick, 2 September 2026</w:t>
      </w:r>
    </w:p>
    <w:bookmarkStart w:id="20" w:name="how-to-use-this"/>
    <w:p>
      <w:pPr>
        <w:pStyle w:val="Heading2"/>
      </w:pPr>
      <w:r>
        <w:t xml:space="preserve">How to use this</w:t>
      </w:r>
    </w:p>
    <w:p>
      <w:pPr>
        <w:pStyle w:val="FirstParagraph"/>
      </w:pPr>
      <w:r>
        <w:t xml:space="preserve">Three kinds of thing are here, in the order they should be taken:</w:t>
      </w:r>
    </w:p>
    <w:p>
      <w:pPr>
        <w:pStyle w:val="BodyText"/>
      </w:pPr>
      <w:r>
        <w:rPr>
          <w:bCs/>
          <w:b/>
        </w:rPr>
        <w:t xml:space="preserve">Part A — Rulings.</w:t>
      </w:r>
      <w:r>
        <w:t xml:space="preserve"> </w:t>
      </w:r>
      <w:r>
        <w:t xml:space="preserve">Decisions only you can make. Three are open (the</w:t>
      </w:r>
      <w:r>
        <w:t xml:space="preserve"> </w:t>
      </w:r>
      <w:r>
        <w:t xml:space="preserve">1439 premise; the six Normandy-council upgrades; what survives of the</w:t>
      </w:r>
      <w:r>
        <w:t xml:space="preserve"> </w:t>
      </w:r>
      <w:r>
        <w:t xml:space="preserve">Standard Oil</w:t>
      </w:r>
      <w:r>
        <w:t xml:space="preserve"> </w:t>
      </w:r>
      <w:r>
        <w:t xml:space="preserve">“</w:t>
      </w:r>
      <w:r>
        <w:t xml:space="preserve">lag</w:t>
      </w:r>
      <w:r>
        <w:t xml:space="preserve">”</w:t>
      </w:r>
      <w:r>
        <w:t xml:space="preserve"> </w:t>
      </w:r>
      <w:r>
        <w:t xml:space="preserve">now that §8(c) rests on the twelve-case pattern),</w:t>
      </w:r>
      <w:r>
        <w:t xml:space="preserve"> </w:t>
      </w:r>
      <w:r>
        <w:t xml:space="preserve">plus the placements proposed in the Bratton assessment and the</w:t>
      </w:r>
      <w:r>
        <w:t xml:space="preserve"> </w:t>
      </w:r>
      <w:r>
        <w:t xml:space="preserve">Economist essay note. The plain-language briefing of 2 September is</w:t>
      </w:r>
      <w:r>
        <w:t xml:space="preserve"> </w:t>
      </w:r>
      <w:r>
        <w:t xml:space="preserve">reproduced in full as the guide, followed by spine §8 as it now stands.</w:t>
      </w:r>
    </w:p>
    <w:p>
      <w:pPr>
        <w:pStyle w:val="BodyText"/>
      </w:pPr>
      <w:r>
        <w:rPr>
          <w:bCs/>
          <w:b/>
        </w:rPr>
        <w:t xml:space="preserve">Part B — Probe documents (whole).</w:t>
      </w:r>
      <w:r>
        <w:t xml:space="preserve"> </w:t>
      </w:r>
      <w:r>
        <w:t xml:space="preserve">Four research documents written</w:t>
      </w:r>
      <w:r>
        <w:t xml:space="preserve"> </w:t>
      </w:r>
      <w:r>
        <w:t xml:space="preserve">by Claude Code or Cowork on your instruction and awaiting acceptance:</w:t>
      </w:r>
      <w:r>
        <w:t xml:space="preserve"> </w:t>
      </w:r>
      <w:r>
        <w:t xml:space="preserve">ch10/fiscal-settlement.md, ch12/standard-oil-offswitch.md,</w:t>
      </w:r>
      <w:r>
        <w:t xml:space="preserve"> </w:t>
      </w:r>
      <w:r>
        <w:t xml:space="preserve">ch12/american-pattern.md, ch06/normandy-council-assessment.md. Each</w:t>
      </w:r>
      <w:r>
        <w:t xml:space="preserve"> </w:t>
      </w:r>
      <w:r>
        <w:t xml:space="preserve">ends STATUS: PENDING HUMAN REVIEW. Accepting one means: the findings may</w:t>
      </w:r>
      <w:r>
        <w:t xml:space="preserve"> </w:t>
      </w:r>
      <w:r>
        <w:t xml:space="preserve">be carried into the chapter memo and draft; rejecting one means the</w:t>
      </w:r>
      <w:r>
        <w:t xml:space="preserve"> </w:t>
      </w:r>
      <w:r>
        <w:t xml:space="preserve">draft stays as reviewed.</w:t>
      </w:r>
    </w:p>
    <w:p>
      <w:pPr>
        <w:pStyle w:val="BodyText"/>
      </w:pPr>
      <w:r>
        <w:rPr>
          <w:bCs/>
          <w:b/>
        </w:rPr>
        <w:t xml:space="preserve">Part C — Memo and critique Revisions entries.</w:t>
      </w:r>
      <w:r>
        <w:t xml:space="preserve"> </w:t>
      </w:r>
      <w:r>
        <w:t xml:space="preserve">Short entries in the</w:t>
      </w:r>
      <w:r>
        <w:t xml:space="preserve"> </w:t>
      </w:r>
      <w:r>
        <w:t xml:space="preserve">per-chapter memos and critiques files. Each records what was changed or</w:t>
      </w:r>
      <w:r>
        <w:t xml:space="preserve"> </w:t>
      </w:r>
      <w:r>
        <w:t xml:space="preserve">found and why. Read, then either accept (the marker becomes REVIEWED)</w:t>
      </w:r>
      <w:r>
        <w:t xml:space="preserve"> </w:t>
      </w:r>
      <w:r>
        <w:t xml:space="preserve">or strike.</w:t>
      </w:r>
    </w:p>
    <w:p>
      <w:pPr>
        <w:pStyle w:val="BodyText"/>
      </w:pPr>
      <w:r>
        <w:rPr>
          <w:bCs/>
          <w:b/>
        </w:rPr>
        <w:t xml:space="preserve">Part D — Changed draft passages.</w:t>
      </w:r>
      <w:r>
        <w:t xml:space="preserve"> </w:t>
      </w:r>
      <w:r>
        <w:t xml:space="preserve">Paragraphs in otherwise-reviewed</w:t>
      </w:r>
      <w:r>
        <w:t xml:space="preserve"> </w:t>
      </w:r>
      <w:r>
        <w:t xml:space="preserve">drafts that were altered after your review, with the note that</w:t>
      </w:r>
      <w:r>
        <w:t xml:space="preserve"> </w:t>
      </w:r>
      <w:r>
        <w:t xml:space="preserve">explains the change.</w:t>
      </w:r>
    </w:p>
    <w:p>
      <w:pPr>
        <w:pStyle w:val="BodyText"/>
      </w:pPr>
      <w:r>
        <w:rPr>
          <w:bCs/>
          <w:b/>
        </w:rPr>
        <w:t xml:space="preserve">Part E — Assembled appendices and the coda draft.</w:t>
      </w:r>
      <w:r>
        <w:t xml:space="preserve"> </w:t>
      </w:r>
      <w:r>
        <w:t xml:space="preserve">Whole texts,</w:t>
      </w:r>
      <w:r>
        <w:t xml:space="preserve"> </w:t>
      </w:r>
      <w:r>
        <w:t xml:space="preserve">never yet reviewed.</w:t>
      </w:r>
    </w:p>
    <w:p>
      <w:pPr>
        <w:pStyle w:val="BodyText"/>
      </w:pPr>
      <w:r>
        <w:rPr>
          <w:bCs/>
          <w:b/>
        </w:rPr>
        <w:t xml:space="preserve">Part F — Reflective research documents.</w:t>
      </w:r>
      <w:r>
        <w:t xml:space="preserve"> </w:t>
      </w:r>
      <w:r>
        <w:t xml:space="preserve">Outside the provenance</w:t>
      </w:r>
      <w:r>
        <w:t xml:space="preserve"> </w:t>
      </w:r>
      <w:r>
        <w:t xml:space="preserve">chain; read for the placements they propose.</w:t>
      </w:r>
    </w:p>
    <w:p>
      <w:pPr>
        <w:pStyle w:val="BodyText"/>
      </w:pPr>
      <w:r>
        <w:rPr>
          <w:bCs/>
          <w:b/>
        </w:rPr>
        <w:t xml:space="preserve">Part G — The spine audit.</w:t>
      </w:r>
    </w:p>
    <w:bookmarkEnd w:id="20"/>
    <w:bookmarkEnd w:id="21"/>
    <w:bookmarkStart w:id="23" w:name="part-a-rulings"/>
    <w:p>
      <w:pPr>
        <w:pStyle w:val="Heading1"/>
      </w:pPr>
      <w:r>
        <w:t xml:space="preserve">Part A — Rulings</w:t>
      </w:r>
    </w:p>
    <w:bookmarkStart w:id="22" w:name="X232826c247c57f097f30950b1c1078a3e88af3e"/>
    <w:p>
      <w:pPr>
        <w:pStyle w:val="Heading2"/>
      </w:pPr>
      <w:r>
        <w:t xml:space="preserve">A1. The plain-language briefing (research/decisions-briefing-2026-09-02.md)</w:t>
      </w:r>
    </w:p>
    <w:bookmarkEnd w:id="22"/>
    <w:bookmarkEnd w:id="23"/>
    <w:bookmarkStart w:id="41" w:name="what-you-need-to-decide-a-plain-briefing"/>
    <w:p>
      <w:pPr>
        <w:pStyle w:val="Heading1"/>
      </w:pPr>
      <w:r>
        <w:t xml:space="preserve">What you need to decide — a plain briefing</w:t>
      </w:r>
    </w:p>
    <w:p>
      <w:pPr>
        <w:pStyle w:val="FirstParagraph"/>
      </w:pPr>
      <w:r>
        <w:rPr>
          <w:iCs/>
          <w:i/>
        </w:rPr>
        <w:t xml:space="preserve">2 September 2026</w:t>
      </w:r>
    </w:p>
    <w:p>
      <w:pPr>
        <w:pStyle w:val="BodyText"/>
      </w:pPr>
      <w:r>
        <w:t xml:space="preserve">This briefing explains, in ordinary language, the decisions that only you can make before the book can move forward. It defines every term as it goes. There are three real decisions, followed by a reading job, a shopping job, and one piece of writing. Nothing here is urgent in the sense of a deadline, but the machine cannot do its next round of work until the three decisions are made, because that work has to be written against your rulings.</w:t>
      </w:r>
    </w:p>
    <w:bookmarkStart w:id="24" w:name="first-some-words-that-come-up-throughout"/>
    <w:p>
      <w:pPr>
        <w:pStyle w:val="Heading2"/>
      </w:pPr>
      <w:r>
        <w:t xml:space="preserve">First, some words that come up throughout</w:t>
      </w:r>
    </w:p>
    <w:p>
      <w:pPr>
        <w:pStyle w:val="FirstParagraph"/>
      </w:pPr>
      <w:r>
        <w:rPr>
          <w:bCs/>
          <w:b/>
        </w:rPr>
        <w:t xml:space="preserve">The spine.</w:t>
      </w:r>
      <w:r>
        <w:t xml:space="preserve"> </w:t>
      </w:r>
      <w:r>
        <w:t xml:space="preserve">A file called spine.md at the top of the project. It is your private judgement document: what you actually believe, in your own words, and how confident you are in each part. The drafting machine reads it so that the chapters carry your convictions rather than guessing at them. Nobody but you is supposed to change it. It currently has eight sections; section 7 is your statement that the book’s claim is a prediction, not a report; section 8, added today, is the set of rulings you gave on 9 August.</w:t>
      </w:r>
    </w:p>
    <w:p>
      <w:pPr>
        <w:pStyle w:val="BodyText"/>
      </w:pPr>
      <w:r>
        <w:rPr>
          <w:bCs/>
          <w:b/>
        </w:rPr>
        <w:t xml:space="preserve">The council.</w:t>
      </w:r>
      <w:r>
        <w:t xml:space="preserve"> </w:t>
      </w:r>
      <w:r>
        <w:t xml:space="preserve">In August you asked several different artificial intelligence models to review the book independently, and their answers were combined into two documents. The first,</w:t>
      </w:r>
      <w:r>
        <w:t xml:space="preserve"> </w:t>
      </w:r>
      <w:r>
        <w:t xml:space="preserve">“</w:t>
      </w:r>
      <w:r>
        <w:t xml:space="preserve">Model Council Synthesis: The Artillery State,</w:t>
      </w:r>
      <w:r>
        <w:t xml:space="preserve">”</w:t>
      </w:r>
      <w:r>
        <w:t xml:space="preserve"> </w:t>
      </w:r>
      <w:r>
        <w:t xml:space="preserve">assessed the whole book. The second,</w:t>
      </w:r>
      <w:r>
        <w:t xml:space="preserve"> </w:t>
      </w:r>
      <w:r>
        <w:t xml:space="preserve">“</w:t>
      </w:r>
      <w:r>
        <w:t xml:space="preserve">Why English Normandy Collapsed So Fast,</w:t>
      </w:r>
      <w:r>
        <w:t xml:space="preserve">”</w:t>
      </w:r>
      <w:r>
        <w:t xml:space="preserve"> </w:t>
      </w:r>
      <w:r>
        <w:t xml:space="preserve">answered your objection that the speed of the French reconquest in 1449 to 1453 must have come from artillery. Both are now filed in the project’s research folder. Their arguments are useful; their facts are unverified until checked against real sources.</w:t>
      </w:r>
    </w:p>
    <w:p>
      <w:pPr>
        <w:pStyle w:val="BodyText"/>
      </w:pPr>
      <w:r>
        <w:rPr>
          <w:bCs/>
          <w:b/>
        </w:rPr>
        <w:t xml:space="preserve">A probe.</w:t>
      </w:r>
      <w:r>
        <w:t xml:space="preserve"> </w:t>
      </w:r>
      <w:r>
        <w:t xml:space="preserve">A research file that sits inside a chapter’s folder and gathers evidence on one specific question, with every claim traced to a source. Today’s Claude Code session wrote two: one on how the French crown’s permanent tax system came about, and one on what actually happened when Standard Oil was broken up in 1911.</w:t>
      </w:r>
    </w:p>
    <w:p>
      <w:pPr>
        <w:pStyle w:val="BodyText"/>
      </w:pPr>
      <w:r>
        <w:rPr>
          <w:bCs/>
          <w:b/>
        </w:rPr>
        <w:t xml:space="preserve">“</w:t>
      </w:r>
      <w:r>
        <w:rPr>
          <w:bCs/>
          <w:b/>
        </w:rPr>
        <w:t xml:space="preserve">Pending human review.</w:t>
      </w:r>
      <w:r>
        <w:rPr>
          <w:bCs/>
          <w:b/>
        </w:rPr>
        <w:t xml:space="preserve">”</w:t>
      </w:r>
      <w:r>
        <w:t xml:space="preserve"> </w:t>
      </w:r>
      <w:r>
        <w:t xml:space="preserve">The label the machine puts on anything it has written that you have not yet read and approved. Nothing so labelled is treated as settled. When you have read something and agree with it, you tell the machine and it changes the label to</w:t>
      </w:r>
      <w:r>
        <w:t xml:space="preserve"> </w:t>
      </w:r>
      <w:r>
        <w:t xml:space="preserve">“</w:t>
      </w:r>
      <w:r>
        <w:t xml:space="preserve">reviewed.</w:t>
      </w:r>
      <w:r>
        <w:t xml:space="preserve">”</w:t>
      </w:r>
    </w:p>
    <w:p>
      <w:pPr>
        <w:pStyle w:val="BodyText"/>
      </w:pPr>
      <w:r>
        <w:rPr>
          <w:bCs/>
          <w:b/>
        </w:rPr>
        <w:t xml:space="preserve">A Revisions entry.</w:t>
      </w:r>
      <w:r>
        <w:t xml:space="preserve"> </w:t>
      </w:r>
      <w:r>
        <w:t xml:space="preserve">The machine never silently rewrites a file you have already approved. Instead it adds a dated note under a</w:t>
      </w:r>
      <w:r>
        <w:t xml:space="preserve"> </w:t>
      </w:r>
      <w:r>
        <w:t xml:space="preserve">“</w:t>
      </w:r>
      <w:r>
        <w:t xml:space="preserve">Revisions</w:t>
      </w:r>
      <w:r>
        <w:t xml:space="preserve">”</w:t>
      </w:r>
      <w:r>
        <w:t xml:space="preserve"> </w:t>
      </w:r>
      <w:r>
        <w:t xml:space="preserve">heading saying what it found and what it proposes. Today’s session added about a dozen such notes across the chapters. They are the things waiting for you to read.</w:t>
      </w:r>
    </w:p>
    <w:p>
      <w:pPr>
        <w:pStyle w:val="BodyText"/>
      </w:pPr>
      <w:r>
        <w:rPr>
          <w:bCs/>
          <w:b/>
        </w:rPr>
        <w:t xml:space="preserve">The taille.</w:t>
      </w:r>
      <w:r>
        <w:t xml:space="preserve"> </w:t>
      </w:r>
      <w:r>
        <w:t xml:space="preserve">The permanent direct tax that the French crown began collecting in the 1440s to pay for a standing army. It matters to the book because the book argues that paying for artillery forced kings to build permanent taxation and administration, and that this is what consolidated their power.</w:t>
      </w:r>
    </w:p>
    <w:p>
      <w:pPr>
        <w:pStyle w:val="BodyText"/>
      </w:pPr>
      <w:r>
        <w:rPr>
          <w:bCs/>
          <w:b/>
        </w:rPr>
        <w:t xml:space="preserve">The Estates.</w:t>
      </w:r>
      <w:r>
        <w:t xml:space="preserve"> </w:t>
      </w:r>
      <w:r>
        <w:t xml:space="preserve">The representative assembly of the French kingdom, which in principle had to consent to taxation. The council argued that the Estates meeting at Orléans in 1439 voted the taille into permanence.</w:t>
      </w:r>
    </w:p>
    <w:p>
      <w:pPr>
        <w:pStyle w:val="BodyText"/>
      </w:pPr>
      <w:r>
        <w:rPr>
          <w:bCs/>
          <w:b/>
        </w:rPr>
        <w:t xml:space="preserve">The ordonnance of 1439.</w:t>
      </w:r>
      <w:r>
        <w:t xml:space="preserve"> </w:t>
      </w:r>
      <w:r>
        <w:t xml:space="preserve">A royal decree issued at Orléans on 2 November 1439. The one thing everybody agrees it did was to give the king the exclusive right to raise troops and to license captains.</w:t>
      </w:r>
    </w:p>
    <w:p>
      <w:pPr>
        <w:pStyle w:val="BodyText"/>
      </w:pPr>
      <w:r>
        <w:rPr>
          <w:bCs/>
          <w:b/>
        </w:rPr>
        <w:t xml:space="preserve">Contamine.</w:t>
      </w:r>
      <w:r>
        <w:t xml:space="preserve"> </w:t>
      </w:r>
      <w:r>
        <w:t xml:space="preserve">Philippe Contamine, the historian whose two-volume study of war, state and society in late medieval France is the book’s most important scholarly source. Both volumes are in the project and have been read in full by the machine.</w:t>
      </w:r>
    </w:p>
    <w:p>
      <w:pPr>
        <w:pStyle w:val="BodyText"/>
      </w:pPr>
      <w:r>
        <w:rPr>
          <w:bCs/>
          <w:b/>
        </w:rPr>
        <w:t xml:space="preserve">The ratchet.</w:t>
      </w:r>
      <w:r>
        <w:t xml:space="preserve"> </w:t>
      </w:r>
      <w:r>
        <w:t xml:space="preserve">Your own image from the 9 August rulings. A ratchet is a mechanism that lets a wheel turn one way and stops it turning back. You said artillery was not the motor of the French state’s consolidation and not a mere consequence of it, but the ratchet: the thing that made the new tax system impossible to reverse, because the guns it paid for delivered proof no assembly could argue with.</w:t>
      </w:r>
    </w:p>
    <w:p>
      <w:pPr>
        <w:pStyle w:val="BodyText"/>
      </w:pPr>
      <w:r>
        <w:rPr>
          <w:bCs/>
          <w:b/>
        </w:rPr>
        <w:t xml:space="preserve">Appendix C.</w:t>
      </w:r>
      <w:r>
        <w:t xml:space="preserve"> </w:t>
      </w:r>
      <w:r>
        <w:t xml:space="preserve">The part of the book that turns its prediction into a scorecard: a list of measurable indicators, each with a starting value and a stated direction, so that a reader in fifteen years can tell whether the book was right. The council’s strongest criticism was that this scorecard needs firm dates and firm conditions for being wrong, not just directions.</w:t>
      </w:r>
    </w:p>
    <w:p>
      <w:pPr>
        <w:pStyle w:val="BodyText"/>
      </w:pPr>
      <w:r>
        <w:rPr>
          <w:bCs/>
          <w:b/>
        </w:rPr>
        <w:t xml:space="preserve">A sub-wager.</w:t>
      </w:r>
      <w:r>
        <w:t xml:space="preserve"> </w:t>
      </w:r>
      <w:r>
        <w:t xml:space="preserve">A piece of the book’s overall prediction that can be scored on its own. The council suggested splitting the single big wager into several of these. Today an</w:t>
      </w:r>
      <w:r>
        <w:t xml:space="preserve"> </w:t>
      </w:r>
      <w:r>
        <w:t xml:space="preserve">“</w:t>
      </w:r>
      <w:r>
        <w:t xml:space="preserve">American sub-wager</w:t>
      </w:r>
      <w:r>
        <w:t xml:space="preserve">”</w:t>
      </w:r>
      <w:r>
        <w:t xml:space="preserve"> </w:t>
      </w:r>
      <w:r>
        <w:t xml:space="preserve">was drafted from your playbook.</w:t>
      </w:r>
    </w:p>
    <w:bookmarkEnd w:id="24"/>
    <w:bookmarkStart w:id="25" w:name="decision-one-what-to-say-about-1439"/>
    <w:p>
      <w:pPr>
        <w:pStyle w:val="Heading2"/>
      </w:pPr>
      <w:r>
        <w:t xml:space="preserve">Decision one: what to say about 1439</w:t>
      </w:r>
    </w:p>
    <w:p>
      <w:pPr>
        <w:pStyle w:val="FirstParagraph"/>
      </w:pPr>
      <w:r>
        <w:rPr>
          <w:bCs/>
          <w:b/>
        </w:rPr>
        <w:t xml:space="preserve">What you ruled on 9 August.</w:t>
      </w:r>
      <w:r>
        <w:t xml:space="preserve"> </w:t>
      </w:r>
      <w:r>
        <w:t xml:space="preserve">That finance and firepower built each other over two decades: the taille of 1439 and the standing companies of 1445 came before the decisive use of the guns in 1449 to 1453, but the artillery revolution of the 1420s and 1430s came before the taille, so the Estates voted for permanent taxation in a world where royal guns were already visibly paying off. Artillery was the ratchet.</w:t>
      </w:r>
    </w:p>
    <w:p>
      <w:pPr>
        <w:pStyle w:val="BodyText"/>
      </w:pPr>
      <w:r>
        <w:rPr>
          <w:bCs/>
          <w:b/>
        </w:rPr>
        <w:t xml:space="preserve">What the probe found.</w:t>
      </w:r>
      <w:r>
        <w:t xml:space="preserve"> </w:t>
      </w:r>
      <w:r>
        <w:t xml:space="preserve">Three things. First, Contamine’s text of the 1439 ordonnance contains no grant of a tax at all. It is the troop-monopoly decree. Permanent taxation, as far as the sources in the project show, was a practice that hardened over the following years through annual decrees, a formula used in 1446 that granted money</w:t>
      </w:r>
      <w:r>
        <w:t xml:space="preserve"> </w:t>
      </w:r>
      <w:r>
        <w:t xml:space="preserve">“</w:t>
      </w:r>
      <w:r>
        <w:t xml:space="preserve">until the conclusion of peace,</w:t>
      </w:r>
      <w:r>
        <w:t xml:space="preserve">”</w:t>
      </w:r>
      <w:r>
        <w:t xml:space="preserve"> </w:t>
      </w:r>
      <w:r>
        <w:t xml:space="preserve">and a consolidation in 1450, rather than a single vote in 1439. So the phrase</w:t>
      </w:r>
      <w:r>
        <w:t xml:space="preserve"> </w:t>
      </w:r>
      <w:r>
        <w:t xml:space="preserve">“</w:t>
      </w:r>
      <w:r>
        <w:t xml:space="preserve">the taille of 1439,</w:t>
      </w:r>
      <w:r>
        <w:t xml:space="preserve">”</w:t>
      </w:r>
      <w:r>
        <w:t xml:space="preserve"> </w:t>
      </w:r>
      <w:r>
        <w:t xml:space="preserve">which the council used and which your ruling repeats, is currently a piece of period shorthand that the record in the project does not carry. The full text of the 1439 decree exists in a printed collection called the</w:t>
      </w:r>
      <w:r>
        <w:t xml:space="preserve"> </w:t>
      </w:r>
      <w:r>
        <w:rPr>
          <w:iCs/>
          <w:i/>
        </w:rPr>
        <w:t xml:space="preserve">Ordonnances des Roys de France</w:t>
      </w:r>
      <w:r>
        <w:t xml:space="preserve">, volume thirteen, which is available free online and is now on the list of things to fetch. Second, Contamine dates the point at which the king’s councillors regarded the new arrangements as effectively permanent to 1445 and 1446, which is before the guns broke the walls of Normandy in 1449. So if the ratchet is the guns, what the guns locked in was not the crown’s intention, which was already fixed, but everyone else’s acquiescence: no Estates General was summoned again until 1484, and when it finally met, the system survived it. Third, the co-evolution itself is well supported. The Bureau brothers had taken over the artillery by 1437, and in 1442 the crown was spending twice as much on the new artillery as on the old, all under an improvised financial regime with, in Contamine’s words,</w:t>
      </w:r>
      <w:r>
        <w:t xml:space="preserve"> </w:t>
      </w:r>
      <w:r>
        <w:t xml:space="preserve">“</w:t>
      </w:r>
      <w:r>
        <w:t xml:space="preserve">neither budget nor forecasts.</w:t>
      </w:r>
      <w:r>
        <w:t xml:space="preserve">”</w:t>
      </w:r>
      <w:r>
        <w:t xml:space="preserve"> </w:t>
      </w:r>
      <w:r>
        <w:t xml:space="preserve">The guns achieved superiority before predictable finance existed, and predictable finance then made that superiority permanent.</w:t>
      </w:r>
    </w:p>
    <w:p>
      <w:pPr>
        <w:pStyle w:val="BodyText"/>
      </w:pPr>
      <w:r>
        <w:rPr>
          <w:bCs/>
          <w:b/>
        </w:rPr>
        <w:t xml:space="preserve">What you have to decide.</w:t>
      </w:r>
      <w:r>
        <w:t xml:space="preserve"> </w:t>
      </w:r>
      <w:r>
        <w:t xml:space="preserve">Whether to keep the words</w:t>
      </w:r>
      <w:r>
        <w:t xml:space="preserve"> </w:t>
      </w:r>
      <w:r>
        <w:t xml:space="preserve">“</w:t>
      </w:r>
      <w:r>
        <w:t xml:space="preserve">the taille of 1439</w:t>
      </w:r>
      <w:r>
        <w:t xml:space="preserve">”</w:t>
      </w:r>
      <w:r>
        <w:t xml:space="preserve"> </w:t>
      </w:r>
      <w:r>
        <w:t xml:space="preserve">in your spine as accepted shorthand until the decree’s text has been fetched and read, or to change the ruling now to something like</w:t>
      </w:r>
      <w:r>
        <w:t xml:space="preserve"> </w:t>
      </w:r>
      <w:r>
        <w:t xml:space="preserve">“</w:t>
      </w:r>
      <w:r>
        <w:t xml:space="preserve">the settlement of 1439 to 1446,</w:t>
      </w:r>
      <w:r>
        <w:t xml:space="preserve">”</w:t>
      </w:r>
      <w:r>
        <w:t xml:space="preserve"> </w:t>
      </w:r>
      <w:r>
        <w:t xml:space="preserve">and to add one sentence saying whose ability to reverse the settlement the ratchet removed: the assemblies’ and the magnates’, not the king’s. My own view is that the second option is stronger and costs nothing, because the refined version fits the evidence better and still supports everything you want to say. But the spine is your document, and this is a sentence only you should write.</w:t>
      </w:r>
    </w:p>
    <w:bookmarkEnd w:id="25"/>
    <w:bookmarkStart w:id="26" w:name="Xcba912f25e6681a09d02fb1ef6a41e17728a2bc"/>
    <w:p>
      <w:pPr>
        <w:pStyle w:val="Heading2"/>
      </w:pPr>
      <w:r>
        <w:t xml:space="preserve">Decision two: how to state the Standard Oil proof case</w:t>
      </w:r>
    </w:p>
    <w:p>
      <w:pPr>
        <w:pStyle w:val="FirstParagraph"/>
      </w:pPr>
      <w:r>
        <w:rPr>
          <w:bCs/>
          <w:b/>
        </w:rPr>
        <w:t xml:space="preserve">What you ruled on 9 August.</w:t>
      </w:r>
      <w:r>
        <w:t xml:space="preserve"> </w:t>
      </w:r>
      <w:r>
        <w:t xml:space="preserve">That the United States will consolidate control over its technology stack in its own traditional way: not by nationalising the platforms but by licensing, legal process and, above all, the ability to switch their systems off. You gave Standard Oil as the proof: when the Supreme Court broke it up in 1911, John D. Rockefeller became richer and less powerful, because the state did not take the oil, it destroyed the vertical integration that made oil sovereign. And you asked a question: after the breakup, who owned the power to turn off the energy?</w:t>
      </w:r>
    </w:p>
    <w:p>
      <w:pPr>
        <w:pStyle w:val="BodyText"/>
      </w:pPr>
      <w:r>
        <w:rPr>
          <w:bCs/>
          <w:b/>
        </w:rPr>
        <w:t xml:space="preserve">What the probe found.</w:t>
      </w:r>
      <w:r>
        <w:t xml:space="preserve"> </w:t>
      </w:r>
      <w:r>
        <w:t xml:space="preserve">It fetched and read the Supreme Court’s 1911 opinion and decree. Your reading holds on the power side: the decree handed every share of the thirty-seven successor companies back to the existing shareholders, Rockefeller first among them, and forbade the seven named individuals from ever recombining them. Wealth was kept; unified command was extinguished. But the answer to your question is a surprise. In 1911 the power to turn off the energy passed to nobody. The decree removed the private switch and did not create a public one. The public switch was then built over the following three decades by a different set of laws: the Hepburn Act of 1906, which made pipelines common carriers under federal supervision and which came five years before the breakup; a Texas law of 1917 doing the same at state level; the wartime Trading with the Enemy Act of 1917, whose licensing power over transactions is the ancestor of every later economic control; the Texas Railroad Commission’s orders from 1930 onward, under which a state agency set the rate at which every oil well in Texas could produce; and federal emergency and energy-policy legislation through the 1970s. So the proof case has a lag: the decoupling of wealth from power happened in one act in 1911, but the state acquired the off-switch over a generation, using regulation rather than antitrust. The probe notes that this lag mirrors what the first probe found about France: a settlement that hardened over years, not a single stroke. One further caution: the figure for Rockefeller’s fortune tripling after the breakup is currently supported only by an article without footnotes, so it cannot be used until a proper biography, Chernow’s</w:t>
      </w:r>
      <w:r>
        <w:t xml:space="preserve"> </w:t>
      </w:r>
      <w:r>
        <w:rPr>
          <w:iCs/>
          <w:i/>
        </w:rPr>
        <w:t xml:space="preserve">Titan</w:t>
      </w:r>
      <w:r>
        <w:t xml:space="preserve"> </w:t>
      </w:r>
      <w:r>
        <w:t xml:space="preserve">or Yergin’s</w:t>
      </w:r>
      <w:r>
        <w:t xml:space="preserve"> </w:t>
      </w:r>
      <w:r>
        <w:rPr>
          <w:iCs/>
          <w:i/>
        </w:rPr>
        <w:t xml:space="preserve">The Prize</w:t>
      </w:r>
      <w:r>
        <w:t xml:space="preserve">, is in the project.</w:t>
      </w:r>
    </w:p>
    <w:p>
      <w:pPr>
        <w:pStyle w:val="BodyText"/>
      </w:pPr>
      <w:r>
        <w:rPr>
          <w:bCs/>
          <w:b/>
        </w:rPr>
        <w:t xml:space="preserve">A sentence in the chapter that now conflicts with your ruling.</w:t>
      </w:r>
      <w:r>
        <w:t xml:space="preserve"> </w:t>
      </w:r>
      <w:r>
        <w:t xml:space="preserve">Chapter 12, which you have already reviewed, currently says the platforms are</w:t>
      </w:r>
      <w:r>
        <w:t xml:space="preserve"> </w:t>
      </w:r>
      <w:r>
        <w:t xml:space="preserve">“</w:t>
      </w:r>
      <w:r>
        <w:t xml:space="preserve">not the American state’s Standard Oil but its monasteries,</w:t>
      </w:r>
      <w:r>
        <w:t xml:space="preserve">”</w:t>
      </w:r>
      <w:r>
        <w:t xml:space="preserve"> </w:t>
      </w:r>
      <w:r>
        <w:t xml:space="preserve">and treats the antitrust instinct as nineteenth-century nostalgia. Your ruling says Standard Oil is the proof case. The two can be reconciled, because the chapter is attacking the nostalgic idea of trust-busting while your ruling reads 1911 as a consolidation of control, but the sentence as written contradicts the spine, and the machine will not touch a reviewed draft without your instruction.</w:t>
      </w:r>
    </w:p>
    <w:p>
      <w:pPr>
        <w:pStyle w:val="BodyText"/>
      </w:pPr>
      <w:r>
        <w:rPr>
          <w:bCs/>
          <w:b/>
        </w:rPr>
        <w:t xml:space="preserve">What you have to decide.</w:t>
      </w:r>
      <w:r>
        <w:t xml:space="preserve"> </w:t>
      </w:r>
      <w:r>
        <w:t xml:space="preserve">Two things. Whether the proof case, when it is written into chapter 12, is stated with the lag, which I recommend, since it is truer and it rhymes with the French story, or in the compressed form. And how the monasteries sentence is to be reconciled: dropped, qualified, or kept alongside a new passage explaining that the American method was regulation of the switch rather than seizure of the property.</w:t>
      </w:r>
    </w:p>
    <w:bookmarkEnd w:id="26"/>
    <w:bookmarkStart w:id="27" w:name="Xbb1cac5f78503e1baadfa6e08299df83e864ba0"/>
    <w:p>
      <w:pPr>
        <w:pStyle w:val="Heading2"/>
      </w:pPr>
      <w:r>
        <w:t xml:space="preserve">Decision three: the six proposed changes to chapter 6</w:t>
      </w:r>
    </w:p>
    <w:p>
      <w:pPr>
        <w:pStyle w:val="FirstParagraph"/>
      </w:pPr>
      <w:r>
        <w:rPr>
          <w:bCs/>
          <w:b/>
        </w:rPr>
        <w:t xml:space="preserve">Background.</w:t>
      </w:r>
      <w:r>
        <w:t xml:space="preserve"> </w:t>
      </w:r>
      <w:r>
        <w:t xml:space="preserve">Chapter 6,</w:t>
      </w:r>
      <w:r>
        <w:t xml:space="preserve"> </w:t>
      </w:r>
      <w:r>
        <w:t xml:space="preserve">“</w:t>
      </w:r>
      <w:r>
        <w:t xml:space="preserve">1450: The Year the Walls Fell,</w:t>
      </w:r>
      <w:r>
        <w:t xml:space="preserve">”</w:t>
      </w:r>
      <w:r>
        <w:t xml:space="preserve"> </w:t>
      </w:r>
      <w:r>
        <w:t xml:space="preserve">is the book’s most complete chapter and the one that carries its central evidence. The Normandy council answered your objection that the speed of the reconquest must have come from artillery by agreeing with you at one level and not another. Its formulation, which five of eight models reached in nearly the same words, was that artillery set the clock speed of the collapse, while finance and politics determined that a collapse would happen at all. Most of the roughly one hundred strongholds never saw a gun; they surrendered under negotiated agreements that fixed a date on which the gates would open unless a royal relief army appeared. The French call this a</w:t>
      </w:r>
      <w:r>
        <w:t xml:space="preserve"> </w:t>
      </w:r>
      <w:r>
        <w:rPr>
          <w:iCs/>
          <w:i/>
        </w:rPr>
        <w:t xml:space="preserve">délai de secours</w:t>
      </w:r>
      <w:r>
        <w:t xml:space="preserve">, a relief deadline. Artillery made those deadlines short, because everyone knew what the guns could do; then the destruction of the only English field army at Formigny in April 1450 meant no relief could ever come, and every deadline expired.</w:t>
      </w:r>
    </w:p>
    <w:p>
      <w:pPr>
        <w:pStyle w:val="BodyText"/>
      </w:pPr>
      <w:r>
        <w:rPr>
          <w:bCs/>
          <w:b/>
        </w:rPr>
        <w:t xml:space="preserve">What the council recommended and what the machine found.</w:t>
      </w:r>
      <w:r>
        <w:t xml:space="preserve"> </w:t>
      </w:r>
      <w:r>
        <w:t xml:space="preserve">Six changes, each assessed today against what the chapter already says. First, to separate two different kinds of speed, the speed of the campaign, which was a chain of surrenders with political and financial causes, from the speed of the individual sieges, which was genuinely the guns’ doing and roughly ten times faster than before. Second, to make the relief deadline the chapter’s central device. Third, to quote two English documents as the English state’s own post-mortem: the Duke of Somerset’s report to Parliament in 1449 that Normandy had no place supplied with ordnance or artillery of any kind, and William Worcester’s</w:t>
      </w:r>
      <w:r>
        <w:t xml:space="preserve"> </w:t>
      </w:r>
      <w:r>
        <w:rPr>
          <w:iCs/>
          <w:i/>
        </w:rPr>
        <w:t xml:space="preserve">Boke of Noblesse</w:t>
      </w:r>
      <w:r>
        <w:t xml:space="preserve">, which says in plain terms that lack of money to pay the soldiers was a cause of the loss, and to quote the French chronicler Blondel’s line that it is not walls that protect cities but soldiers trained for war. Worcester’s text has now been fetched and the key passages verified. Fourth, to present the Battle of Castillon, the book’s opening scene, with two dissenting voices acknowledged: the historian Michael Howard’s flat statement that it was in no sense a victory for field artillery, and the contemporary chronicler Thomas Basin’s verdict that Talbot died of his own rashness. Fifth, to add the Gascony sequence of 1451 to 1453 as a controlled experiment: the same artillery train won Gascony by negotiation in 1451, lost it in a week in October 1452 when Bordeaux invited the English back, and had to win it again by fire in 1453, which shows that guns produce speed but not loyalty. The machine notes that Vale’s 1969 study disputes the council’s claim that a broken tax promise was the trigger for Bordeaux’s revolt, so that detail needs care. Sixth, to add a caution that several of the French sources praising the artillery are one interdependent tradition rather than independent witnesses.</w:t>
      </w:r>
    </w:p>
    <w:p>
      <w:pPr>
        <w:pStyle w:val="BodyText"/>
      </w:pPr>
      <w:r>
        <w:rPr>
          <w:bCs/>
          <w:b/>
        </w:rPr>
        <w:t xml:space="preserve">What you have to decide.</w:t>
      </w:r>
      <w:r>
        <w:t xml:space="preserve"> </w:t>
      </w:r>
      <w:r>
        <w:t xml:space="preserve">A yes or a no on each of the six, recorded in the assessment file in the chapter 6 folder. The machine has stated for each what the chapter already contains and which supporting sources are in the project at page level and which are not.</w:t>
      </w:r>
    </w:p>
    <w:bookmarkEnd w:id="27"/>
    <w:bookmarkStart w:id="28" w:name="the-reading-job"/>
    <w:p>
      <w:pPr>
        <w:pStyle w:val="Heading2"/>
      </w:pPr>
      <w:r>
        <w:t xml:space="preserve">The reading job</w:t>
      </w:r>
    </w:p>
    <w:p>
      <w:pPr>
        <w:pStyle w:val="FirstParagraph"/>
      </w:pPr>
      <w:r>
        <w:t xml:space="preserve">Once the three decisions are made, there is a set of notes to read and approve. The new ones from today are the two probes described above, with the Revisions notes they generated in chapters 10 and 12; a note in chapter 12 recording your proposal that the United States must treat its technology barons as it treated Rockefeller, Morgan and Bell, with the term</w:t>
      </w:r>
      <w:r>
        <w:t xml:space="preserve"> </w:t>
      </w:r>
      <w:r>
        <w:t xml:space="preserve">“</w:t>
      </w:r>
      <w:r>
        <w:t xml:space="preserve">over-mighty citizen</w:t>
      </w:r>
      <w:r>
        <w:t xml:space="preserve">”</w:t>
      </w:r>
      <w:r>
        <w:t xml:space="preserve"> </w:t>
      </w:r>
      <w:r>
        <w:t xml:space="preserve">proposed as the chapter’s coinage and two honest limits conceded, namely that the Supreme Court’s</w:t>
      </w:r>
      <w:r>
        <w:t xml:space="preserve"> </w:t>
      </w:r>
      <w:r>
        <w:rPr>
          <w:iCs/>
          <w:i/>
        </w:rPr>
        <w:t xml:space="preserve">NetChoice</w:t>
      </w:r>
      <w:r>
        <w:t xml:space="preserve"> </w:t>
      </w:r>
      <w:r>
        <w:t xml:space="preserve">decision means the American state can regulate the platforms’ economic switches but not what they say, and that opening the stack at home while closing it to foreigners are both control moves rather than opposites; a note in chapter 11 adding the Mamluks of 1516 as the case of a state that copied the Ottoman guns and lost anyway because it could not copy the Ottoman state; a note in chapter 5 that the phrase</w:t>
      </w:r>
      <w:r>
        <w:t xml:space="preserve"> </w:t>
      </w:r>
      <w:r>
        <w:t xml:space="preserve">“</w:t>
      </w:r>
      <w:r>
        <w:t xml:space="preserve">over-mighty subject</w:t>
      </w:r>
      <w:r>
        <w:t xml:space="preserve">”</w:t>
      </w:r>
      <w:r>
        <w:t xml:space="preserve"> </w:t>
      </w:r>
      <w:r>
        <w:t xml:space="preserve">should be credited to Sir John Fortescue, who wrote it in the 1470s, as well as to McFarlane, who inverted it; four notes from the Economist essay of May 2026 on drones, sensors and the Iran campaign, placed in chapters 6, 10 and 12 and the coda; and the draft American sub-wager in the Appendix C working file, eight measurable tests with dates between 2028 and 2030 drawn from your playbook’s own timetable, of which the sharpest is whether Washington’s fifteen per cent cut of controlled chip sales is replaced by an actual power to revoke, since a cut is income and the mechanism runs on control.</w:t>
      </w:r>
    </w:p>
    <w:p>
      <w:pPr>
        <w:pStyle w:val="BodyText"/>
      </w:pPr>
      <w:r>
        <w:t xml:space="preserve">The older reading queue is still there as well: the Bull passage in chapter 1, two revision sets in chapter 6, one each in chapters 7 and 11, the pin corrections in chapter 12, the Tilly objection in chapter 10, and the first read of the coda and the four appendices.</w:t>
      </w:r>
    </w:p>
    <w:bookmarkEnd w:id="28"/>
    <w:bookmarkStart w:id="29" w:name="the-shopping-job"/>
    <w:p>
      <w:pPr>
        <w:pStyle w:val="Heading2"/>
      </w:pPr>
      <w:r>
        <w:t xml:space="preserve">The shopping job</w:t>
      </w:r>
    </w:p>
    <w:p>
      <w:pPr>
        <w:pStyle w:val="FirstParagraph"/>
      </w:pPr>
      <w:r>
        <w:t xml:space="preserve">Some sources are now on the critical path and can only be fetched by you, because they are behind a login or need a purchase. The text of the 1439 decree in the</w:t>
      </w:r>
      <w:r>
        <w:t xml:space="preserve"> </w:t>
      </w:r>
      <w:r>
        <w:rPr>
          <w:iCs/>
          <w:i/>
        </w:rPr>
        <w:t xml:space="preserve">Ordonnances des Roys de France</w:t>
      </w:r>
      <w:r>
        <w:t xml:space="preserve">, volume thirteen, on the Gallica website, free. A proper biography for the Rockefeller fortune figure, Chernow or Yergin. The American case-series primaries, all free online: the Interstate Commerce Act, the 1913 and 1914 banking and competition statutes, the 1933 Banking Act, the 1935 utility holding company law, the Supreme Court and appellate opinions in</w:t>
      </w:r>
      <w:r>
        <w:t xml:space="preserve"> </w:t>
      </w:r>
      <w:r>
        <w:rPr>
          <w:iCs/>
          <w:i/>
        </w:rPr>
        <w:t xml:space="preserve">Paramount</w:t>
      </w:r>
      <w:r>
        <w:t xml:space="preserve">,</w:t>
      </w:r>
      <w:r>
        <w:t xml:space="preserve"> </w:t>
      </w:r>
      <w:r>
        <w:rPr>
          <w:iCs/>
          <w:i/>
        </w:rPr>
        <w:t xml:space="preserve">Alcoa</w:t>
      </w:r>
      <w:r>
        <w:t xml:space="preserve">,</w:t>
      </w:r>
      <w:r>
        <w:t xml:space="preserve"> </w:t>
      </w:r>
      <w:r>
        <w:rPr>
          <w:iCs/>
          <w:i/>
        </w:rPr>
        <w:t xml:space="preserve">DuPont</w:t>
      </w:r>
      <w:r>
        <w:t xml:space="preserve">,</w:t>
      </w:r>
      <w:r>
        <w:t xml:space="preserve"> </w:t>
      </w:r>
      <w:r>
        <w:rPr>
          <w:iCs/>
          <w:i/>
        </w:rPr>
        <w:t xml:space="preserve">AT&amp;T</w:t>
      </w:r>
      <w:r>
        <w:t xml:space="preserve">,</w:t>
      </w:r>
      <w:r>
        <w:t xml:space="preserve"> </w:t>
      </w:r>
      <w:r>
        <w:rPr>
          <w:iCs/>
          <w:i/>
        </w:rPr>
        <w:t xml:space="preserve">Microsoft</w:t>
      </w:r>
      <w:r>
        <w:t xml:space="preserve"> </w:t>
      </w:r>
      <w:r>
        <w:t xml:space="preserve">and</w:t>
      </w:r>
      <w:r>
        <w:t xml:space="preserve"> </w:t>
      </w:r>
      <w:r>
        <w:rPr>
          <w:iCs/>
          <w:i/>
        </w:rPr>
        <w:t xml:space="preserve">NetChoice</w:t>
      </w:r>
      <w:r>
        <w:t xml:space="preserve">. The dated contemporary documents that the Appendix C sub-wager needs as starting values: the Google search judgment of December 2025, the Federal Trade Commission’s Meta appeal, the rescinded executive order and export rule, California’s Senate Bill 53, and the instrument behind the chip revenue-share arrangement. Ágoston’s 2014 article on Ottoman firearms, through your Cambridge journal access. Fortescue’s</w:t>
      </w:r>
      <w:r>
        <w:t xml:space="preserve"> </w:t>
      </w:r>
      <w:r>
        <w:rPr>
          <w:iCs/>
          <w:i/>
        </w:rPr>
        <w:t xml:space="preserve">Governance of England</w:t>
      </w:r>
      <w:r>
        <w:t xml:space="preserve">, free on the Internet Archive. Freedman’s</w:t>
      </w:r>
      <w:r>
        <w:t xml:space="preserve"> </w:t>
      </w:r>
      <w:r>
        <w:rPr>
          <w:iCs/>
          <w:i/>
        </w:rPr>
        <w:t xml:space="preserve">The Future of War</w:t>
      </w:r>
      <w:r>
        <w:t xml:space="preserve"> </w:t>
      </w:r>
      <w:r>
        <w:t xml:space="preserve">for the knock-out-blow material.</w:t>
      </w:r>
    </w:p>
    <w:bookmarkEnd w:id="29"/>
    <w:bookmarkStart w:id="30" w:name="X767de1e67017d461eec45724d37f08597d52627"/>
    <w:p>
      <w:pPr>
        <w:pStyle w:val="Heading2"/>
      </w:pPr>
      <w:r>
        <w:t xml:space="preserve">The one piece of writing that waits on nothing</w:t>
      </w:r>
    </w:p>
    <w:p>
      <w:pPr>
        <w:pStyle w:val="FirstParagraph"/>
      </w:pPr>
      <w:r>
        <w:t xml:space="preserve">The resolution of the flagged passage in chapter 1, section III, and the closing page of the introduction. Both concern Hedley Bull, the scholar who first raised the idea of a new medievalism in 1977 and doubted it. You settled the shape of the argument on 3 August: Bull was right that the conditions did not exist in 1977; they came into existence afterwards and exist now; the reassertion of state power is required by the price of decisive force but has not yet been achieved; and England, which arrived at its settlement two generations after France, is the precedent for a late mover like the United States. These two passages are the book’s argument in your own voice and no one else should draft them.</w:t>
      </w:r>
    </w:p>
    <w:bookmarkEnd w:id="30"/>
    <w:bookmarkStart w:id="31" w:name="what-happens-after"/>
    <w:p>
      <w:pPr>
        <w:pStyle w:val="Heading2"/>
      </w:pPr>
      <w:r>
        <w:t xml:space="preserve">What happens after</w:t>
      </w:r>
    </w:p>
    <w:p>
      <w:pPr>
        <w:pStyle w:val="FirstParagraph"/>
      </w:pPr>
      <w:r>
        <w:t xml:space="preserve">When the three decisions are in the spine and the assessment file, one Claude Code session can renovate chapters 6, 10 and 12 against them, and rebuild Appendix C with sourced starting values. After that comes your rewrite pass through the joints of every chapter, then the second-opinion runs, the style sweep, and two outside readers.</w:t>
      </w:r>
    </w:p>
    <w:bookmarkEnd w:id="31"/>
    <w:bookmarkStart w:id="32" w:name="X05f66db8af699bc298abf73f68d22f2ea53b1f4"/>
    <w:p>
      <w:pPr>
        <w:pStyle w:val="Heading2"/>
      </w:pPr>
      <w:r>
        <w:t xml:space="preserve">A2. spine.md §8 — Council rulings, as it now stands</w:t>
      </w:r>
    </w:p>
    <w:bookmarkEnd w:id="32"/>
    <w:bookmarkStart w:id="36" w:name="X5529a3e308bed21de35b4be57a80fad890084ba"/>
    <w:p>
      <w:pPr>
        <w:pStyle w:val="Heading2"/>
      </w:pPr>
      <w:r>
        <w:t xml:space="preserve">8. Council rulings (August 2026 — governs the renovation)</w:t>
      </w:r>
    </w:p>
    <w:p>
      <w:pPr>
        <w:pStyle w:val="FirstParagraph"/>
      </w:pPr>
      <w:r>
        <w:rPr>
          <w:iCs/>
          <w:i/>
        </w:rPr>
        <w:t xml:space="preserve">Rulings given by Roderick on 9 August 2026 in response to the Model</w:t>
      </w:r>
      <w:r>
        <w:rPr>
          <w:iCs/>
          <w:i/>
        </w:rPr>
        <w:t xml:space="preserve"> </w:t>
      </w:r>
      <w:r>
        <w:rPr>
          <w:iCs/>
          <w:i/>
        </w:rPr>
        <w:t xml:space="preserve">Council Synthesis (research/model-council-synthesis.md); wording</w:t>
      </w:r>
      <w:r>
        <w:rPr>
          <w:iCs/>
          <w:i/>
        </w:rPr>
        <w:t xml:space="preserve"> </w:t>
      </w:r>
      <w:r>
        <w:rPr>
          <w:iCs/>
          <w:i/>
        </w:rPr>
        <w:t xml:space="preserve">shaped in-session from his dictation and filed 2 September 2026. His</w:t>
      </w:r>
      <w:r>
        <w:rPr>
          <w:iCs/>
          <w:i/>
        </w:rPr>
        <w:t xml:space="preserve"> </w:t>
      </w:r>
      <w:r>
        <w:rPr>
          <w:iCs/>
          <w:i/>
        </w:rPr>
        <w:t xml:space="preserve">document per §9.</w:t>
      </w:r>
    </w:p>
    <w:bookmarkStart w:id="33" w:name="a-the-hinge-co-evolution-with-a-ratchet"/>
    <w:p>
      <w:pPr>
        <w:pStyle w:val="Heading3"/>
      </w:pPr>
      <w:r>
        <w:t xml:space="preserve">(a) The hinge: co-evolution with a ratchet</w:t>
      </w:r>
    </w:p>
    <w:p>
      <w:pPr>
        <w:pStyle w:val="FirstParagraph"/>
      </w:pPr>
      <w:r>
        <w:t xml:space="preserve">I adopt the corrected chronology in co-evolutionary form. Finance and</w:t>
      </w:r>
      <w:r>
        <w:t xml:space="preserve"> </w:t>
      </w:r>
      <w:r>
        <w:t xml:space="preserve">firepower built each other across two decades: the taille of 1439 and</w:t>
      </w:r>
      <w:r>
        <w:t xml:space="preserve"> </w:t>
      </w:r>
      <w:r>
        <w:t xml:space="preserve">the compagnies of 1445 precede the decisive employment of 1449–53,</w:t>
      </w:r>
      <w:r>
        <w:t xml:space="preserve"> </w:t>
      </w:r>
      <w:r>
        <w:t xml:space="preserve">but the artillery revolution of the 1420s–30s precedes the taille —</w:t>
      </w:r>
      <w:r>
        <w:t xml:space="preserve"> </w:t>
      </w:r>
      <w:r>
        <w:t xml:space="preserve">the Estates voted permanence in a world where royal guns were already</w:t>
      </w:r>
      <w:r>
        <w:t xml:space="preserve"> </w:t>
      </w:r>
      <w:r>
        <w:t xml:space="preserve">earning visible returns. Artillery is not the motor and not a mere</w:t>
      </w:r>
      <w:r>
        <w:t xml:space="preserve"> </w:t>
      </w:r>
      <w:r>
        <w:t xml:space="preserve">consequence: it is the RATCHET — the technology that made the fiscal</w:t>
      </w:r>
      <w:r>
        <w:t xml:space="preserve"> </w:t>
      </w:r>
      <w:r>
        <w:t xml:space="preserve">settlement irreversible by delivering wall-breaking proof no Estates</w:t>
      </w:r>
      <w:r>
        <w:t xml:space="preserve"> </w:t>
      </w:r>
      <w:r>
        <w:t xml:space="preserve">could argue with and no magnate could replicate. Tech is critical; it</w:t>
      </w:r>
      <w:r>
        <w:t xml:space="preserve"> </w:t>
      </w:r>
      <w:r>
        <w:t xml:space="preserve">acts to bolster and lock the fiscal settlement. This is also the</w:t>
      </w:r>
      <w:r>
        <w:t xml:space="preserve"> </w:t>
      </w:r>
      <w:r>
        <w:t xml:space="preserve">book’s differentiation from Tilly: not war-made-the-state in general,</w:t>
      </w:r>
      <w:r>
        <w:t xml:space="preserve"> </w:t>
      </w:r>
      <w:r>
        <w:t xml:space="preserve">but a two-stroke mechanism with a technology at the irreversibility</w:t>
      </w:r>
      <w:r>
        <w:t xml:space="preserve"> </w:t>
      </w:r>
      <w:r>
        <w:t xml:space="preserve">point.</w:t>
      </w:r>
      <w:r>
        <w:t xml:space="preserve"> </w:t>
      </w:r>
      <w:r>
        <w:t xml:space="preserve">RESEARCH ORDER: the French fiscal settlement itself needs more depth —</w:t>
      </w:r>
      <w:r>
        <w:t xml:space="preserve"> </w:t>
      </w:r>
      <w:r>
        <w:t xml:space="preserve">how the 1439 Orléans grant actually came about, the Estates politics,</w:t>
      </w:r>
      <w:r>
        <w:t xml:space="preserve"> </w:t>
      </w:r>
      <w:r>
        <w:t xml:space="preserve">the aides/taille/gabelle architecture, the élus and généralités, the</w:t>
      </w:r>
      <w:r>
        <w:t xml:space="preserve"> </w:t>
      </w:r>
      <w:r>
        <w:t xml:space="preserve">Praguerie as the settlement’s civil war. This becomes a dedicated</w:t>
      </w:r>
      <w:r>
        <w:t xml:space="preserve"> </w:t>
      </w:r>
      <w:r>
        <w:t xml:space="preserve">research job before ch10 is renovated.</w:t>
      </w:r>
    </w:p>
    <w:bookmarkEnd w:id="33"/>
    <w:bookmarkStart w:id="34" w:name="b-the-settlement-hybrid-stated-per-bloc"/>
    <w:p>
      <w:pPr>
        <w:pStyle w:val="Heading3"/>
      </w:pPr>
      <w:r>
        <w:t xml:space="preserve">(b) The settlement: hybrid, stated per bloc</w:t>
      </w:r>
    </w:p>
    <w:p>
      <w:pPr>
        <w:pStyle w:val="FirstParagraph"/>
      </w:pPr>
      <w:r>
        <w:t xml:space="preserve">The predicted outcome is a hybrid settlement, stated explicitly per</w:t>
      </w:r>
      <w:r>
        <w:t xml:space="preserve"> </w:t>
      </w:r>
      <w:r>
        <w:t xml:space="preserve">bloc — the Sforza thread (operative but never invested) is its legal</w:t>
      </w:r>
      <w:r>
        <w:t xml:space="preserve"> </w:t>
      </w:r>
      <w:r>
        <w:t xml:space="preserve">form. Which side of the absorption contest (state absorbs stack vs.</w:t>
      </w:r>
      <w:r>
        <w:t xml:space="preserve"> </w:t>
      </w:r>
      <w:r>
        <w:t xml:space="preserve">stack absorbs state) the evidence favours is specified bloc by bloc,</w:t>
      </w:r>
      <w:r>
        <w:t xml:space="preserve"> </w:t>
      </w:r>
      <w:r>
        <w:t xml:space="preserve">and the Bratton convergence is engaged by name.</w:t>
      </w:r>
    </w:p>
    <w:bookmarkEnd w:id="34"/>
    <w:bookmarkStart w:id="35" w:name="X5c085c89863ece41922ddeb7b12509964af124c"/>
    <w:p>
      <w:pPr>
        <w:pStyle w:val="Heading3"/>
      </w:pPr>
      <w:r>
        <w:t xml:space="preserve">(c) America: the four routes stated, my verdict declared</w:t>
      </w:r>
    </w:p>
    <w:p>
      <w:pPr>
        <w:pStyle w:val="FirstParagraph"/>
      </w:pPr>
      <w:r>
        <w:t xml:space="preserve">The book states all four readings of the American case as live routes</w:t>
      </w:r>
      <w:r>
        <w:t xml:space="preserve"> </w:t>
      </w:r>
      <w:r>
        <w:t xml:space="preserve">(consolidation-in-progress; venality/the Crown joining the syndicate;</w:t>
      </w:r>
      <w:r>
        <w:t xml:space="preserve"> </w:t>
      </w:r>
      <w:r>
        <w:t xml:space="preserve">contractual-oligarchic settlement; persistent undermighty kingship).</w:t>
      </w:r>
      <w:r>
        <w:t xml:space="preserve"> </w:t>
      </w:r>
      <w:r>
        <w:t xml:space="preserve">My verdict, argued openly: consolidation will happen. The state stops</w:t>
      </w:r>
      <w:r>
        <w:t xml:space="preserve"> </w:t>
      </w:r>
      <w:r>
        <w:t xml:space="preserve">being undermighty and enforces what looks like a hybrid solution on</w:t>
      </w:r>
      <w:r>
        <w:t xml:space="preserve"> </w:t>
      </w:r>
      <w:r>
        <w:t xml:space="preserve">the over-mighty lords but is in fact consolidation — through</w:t>
      </w:r>
      <w:r>
        <w:t xml:space="preserve"> </w:t>
      </w:r>
      <w:r>
        <w:t xml:space="preserve">licensing, legal process, and fundamentally the ability to turn their</w:t>
      </w:r>
      <w:r>
        <w:t xml:space="preserve"> </w:t>
      </w:r>
      <w:r>
        <w:t xml:space="preserve">systems off. This is the path America has taken against over-mighty</w:t>
      </w:r>
      <w:r>
        <w:t xml:space="preserve"> </w:t>
      </w:r>
      <w:r>
        <w:t xml:space="preserve">barons before: antitrust and its kindred legal instruments. Standard</w:t>
      </w:r>
      <w:r>
        <w:t xml:space="preserve"> </w:t>
      </w:r>
      <w:r>
        <w:t xml:space="preserve">Oil is the proof case, and the point is precise: Rockefeller got</w:t>
      </w:r>
      <w:r>
        <w:t xml:space="preserve"> </w:t>
      </w:r>
      <w:r>
        <w:t xml:space="preserve">RICHER when Standard Oil was broken up, and less POWERFUL — wealth</w:t>
      </w:r>
      <w:r>
        <w:t xml:space="preserve"> </w:t>
      </w:r>
      <w:r>
        <w:t xml:space="preserve">and power decoupled by legal instrument. The state did not take the</w:t>
      </w:r>
      <w:r>
        <w:t xml:space="preserve"> </w:t>
      </w:r>
      <w:r>
        <w:t xml:space="preserve">oil; it destroyed the vertical integration that made oil sovereign.</w:t>
      </w:r>
      <w:r>
        <w:t xml:space="preserve"> </w:t>
      </w:r>
      <w:r>
        <w:t xml:space="preserve">The question that matters then and now: after the breakup, who owned</w:t>
      </w:r>
      <w:r>
        <w:t xml:space="preserve"> </w:t>
      </w:r>
      <w:r>
        <w:t xml:space="preserve">the power to turn off the energy? [RESEARCH: trace that answer</w:t>
      </w:r>
      <w:r>
        <w:t xml:space="preserve"> </w:t>
      </w:r>
      <w:r>
        <w:t xml:space="preserve">properly — the migration of the energy off-switch from the trust to</w:t>
      </w:r>
      <w:r>
        <w:t xml:space="preserve"> </w:t>
      </w:r>
      <w:r>
        <w:t xml:space="preserve">the regulated order.] The modern equivalents: licensing to run</w:t>
      </w:r>
      <w:r>
        <w:t xml:space="preserve"> </w:t>
      </w:r>
      <w:r>
        <w:t xml:space="preserve">frontier AI, revocation rights over compute/constellation/foundry</w:t>
      </w:r>
      <w:r>
        <w:t xml:space="preserve"> </w:t>
      </w:r>
      <w:r>
        <w:t xml:space="preserve">access, the legal decomposition of platform vertical integration.</w:t>
      </w:r>
      <w:r>
        <w:t xml:space="preserve"> </w:t>
      </w:r>
      <w:r>
        <w:t xml:space="preserve">The H200 revenue cut is the pre-antitrust moment — the Crown taking</w:t>
      </w:r>
      <w:r>
        <w:t xml:space="preserve"> </w:t>
      </w:r>
      <w:r>
        <w:t xml:space="preserve">a cut from the syndicate — and the thesis predicts its correction:</w:t>
      </w:r>
      <w:r>
        <w:t xml:space="preserve"> </w:t>
      </w:r>
      <w:r>
        <w:t xml:space="preserve">a cut is income, not control, and the mechanism runs on control.</w:t>
      </w:r>
      <w:r>
        <w:t xml:space="preserve"> </w:t>
      </w:r>
      <w:r>
        <w:t xml:space="preserve">The venality and undermighty readings describe the 1890s phase of</w:t>
      </w:r>
      <w:r>
        <w:t xml:space="preserve"> </w:t>
      </w:r>
      <w:r>
        <w:t xml:space="preserve">the American pattern, not its terminus.</w:t>
      </w:r>
    </w:p>
    <w:p>
      <w:pPr>
        <w:pStyle w:val="BodyText"/>
      </w:pPr>
      <w:r>
        <w:t xml:space="preserve">RULING, 2 September 2026: the chapter rests on the whole American</w:t>
      </w:r>
      <w:r>
        <w:t xml:space="preserve"> </w:t>
      </w:r>
      <w:r>
        <w:t xml:space="preserve">pattern, not on Standard Oil alone. The twelve-case series in</w:t>
      </w:r>
      <w:r>
        <w:t xml:space="preserve"> </w:t>
      </w:r>
      <w:r>
        <w:t xml:space="preserve">research/overmighty-citizen-playbook.md — railroads/ICC, Standard</w:t>
      </w:r>
      <w:r>
        <w:t xml:space="preserve"> </w:t>
      </w:r>
      <w:r>
        <w:t xml:space="preserve">Oil, the Money Trust, Glass–Steagall, PUHCA/Insull, the packers, RCA,</w:t>
      </w:r>
      <w:r>
        <w:t xml:space="preserve"> </w:t>
      </w:r>
      <w:r>
        <w:t xml:space="preserve">Paramount, Alcoa, DuPont–GM, AT&amp;T, IBM, Microsoft — is the evidence</w:t>
      </w:r>
      <w:r>
        <w:t xml:space="preserve"> </w:t>
      </w:r>
      <w:r>
        <w:t xml:space="preserve">for how the republic handles an over-mighty citizen: it severs the</w:t>
      </w:r>
      <w:r>
        <w:t xml:space="preserve"> </w:t>
      </w:r>
      <w:r>
        <w:t xml:space="preserve">power switch by whichever instrument fits the dependency (structural</w:t>
      </w:r>
      <w:r>
        <w:t xml:space="preserve"> </w:t>
      </w:r>
      <w:r>
        <w:t xml:space="preserve">separation, line-of-business firebreak, common carriage,</w:t>
      </w:r>
      <w:r>
        <w:t xml:space="preserve"> </w:t>
      </w:r>
      <w:r>
        <w:t xml:space="preserve">interoperability, holding-company simplification, merger review) and</w:t>
      </w:r>
      <w:r>
        <w:t xml:space="preserve"> </w:t>
      </w:r>
      <w:r>
        <w:t xml:space="preserve">leaves the fortune. That pattern, not one case, is what predicts how</w:t>
      </w:r>
      <w:r>
        <w:t xml:space="preserve"> </w:t>
      </w:r>
      <w:r>
        <w:t xml:space="preserve">American consolidation will occur in support of the decisive</w:t>
      </w:r>
      <w:r>
        <w:t xml:space="preserve"> </w:t>
      </w:r>
      <w:r>
        <w:t xml:space="preserve">military-technology stack. Standard Oil remains the worked example</w:t>
      </w:r>
      <w:r>
        <w:t xml:space="preserve"> </w:t>
      </w:r>
      <w:r>
        <w:t xml:space="preserve">(ch12/standard-oil-offswitch.md); every other case enters only</w:t>
      </w:r>
      <w:r>
        <w:t xml:space="preserve"> </w:t>
      </w:r>
      <w:r>
        <w:t xml:space="preserve">through its own T1 primary, now in corpus.</w:t>
      </w:r>
    </w:p>
    <w:p>
      <w:pPr>
        <w:pStyle w:val="BodyText"/>
      </w:pPr>
      <w:r>
        <w:t xml:space="preserve">[GOVERNS: the Phase 3 renovation of ch06, ch10, ch11 and ch12; the</w:t>
      </w:r>
      <w:r>
        <w:t xml:space="preserve"> </w:t>
      </w:r>
      <w:r>
        <w:t xml:space="preserve">two research probes (French fiscal settlement; Standard Oil</w:t>
      </w:r>
      <w:r>
        <w:t xml:space="preserve"> </w:t>
      </w:r>
      <w:r>
        <w:t xml:space="preserve">off-switch); Appendix C’s rebuild into scored sub-wagers. Consistent</w:t>
      </w:r>
      <w:r>
        <w:t xml:space="preserve"> </w:t>
      </w:r>
      <w:r>
        <w:t xml:space="preserve">with §7: the consolidation is compelled, not accomplished.]</w:t>
      </w:r>
    </w:p>
    <w:bookmarkEnd w:id="35"/>
    <w:bookmarkEnd w:id="36"/>
    <w:bookmarkStart w:id="37" w:name="X961d7ab1fc05c25a8296d8c7036de6e117e5322"/>
    <w:p>
      <w:pPr>
        <w:pStyle w:val="Heading2"/>
      </w:pPr>
      <w:r>
        <w:t xml:space="preserve">A3. The Bratton placements proposed (research/bratton-assessment.md §5–6)</w:t>
      </w:r>
    </w:p>
    <w:bookmarkEnd w:id="37"/>
    <w:bookmarkStart w:id="38" w:name="placement-proposals-for-rodericks-ruling"/>
    <w:p>
      <w:pPr>
        <w:pStyle w:val="Heading2"/>
      </w:pPr>
      <w:r>
        <w:t xml:space="preserve">5. Placement (proposals for Roderick’s ruling)</w:t>
      </w:r>
    </w:p>
    <w:p>
      <w:pPr>
        <w:numPr>
          <w:ilvl w:val="0"/>
          <w:numId w:val="1001"/>
        </w:numPr>
        <w:pStyle w:val="Compact"/>
      </w:pPr>
      <w:r>
        <w:rPr>
          <w:bCs/>
          <w:b/>
        </w:rPr>
        <w:t xml:space="preserve">ch12 §IV and the per-bloc hybrid:</w:t>
      </w:r>
      <w:r>
        <w:t xml:space="preserve"> </w:t>
      </w:r>
      <w:r>
        <w:t xml:space="preserve">Bratton by name; the council’s reading corrected; the tax-flows sentence and the Kojève epigraph quoted; the 2026 Hemispherical Stacks as independent confirmation of the four-bloc casting; the disagreement stated as no-teleology versus compelled outcome, and the layer at which control is possible; his 2015 scenario of a Californian</w:t>
      </w:r>
      <w:r>
        <w:t xml:space="preserve"> </w:t>
      </w:r>
      <w:r>
        <w:t xml:space="preserve">“</w:t>
      </w:r>
      <w:r>
        <w:t xml:space="preserve">paying taxes to a state other than the one on [his] passport according to terms of service</w:t>
      </w:r>
      <w:r>
        <w:t xml:space="preserve">”</w:t>
      </w:r>
      <w:r>
        <w:t xml:space="preserve"> </w:t>
      </w:r>
      <w:r>
        <w:t xml:space="preserve">while China’s bloc is</w:t>
      </w:r>
      <w:r>
        <w:t xml:space="preserve"> </w:t>
      </w:r>
      <w:r>
        <w:t xml:space="preserve">“</w:t>
      </w:r>
      <w:r>
        <w:t xml:space="preserve">programmed to prevent interoperation with the EU platform</w:t>
      </w:r>
      <w:r>
        <w:t xml:space="preserve">”</w:t>
      </w:r>
      <w:r>
        <w:t xml:space="preserve"> </w:t>
      </w:r>
      <w:r>
        <w:t xml:space="preserve">[scan pp.304–305] as the hemispherical settlement sketched from the platform side.</w:t>
      </w:r>
    </w:p>
    <w:p>
      <w:pPr>
        <w:numPr>
          <w:ilvl w:val="0"/>
          <w:numId w:val="1001"/>
        </w:numPr>
        <w:pStyle w:val="Compact"/>
      </w:pPr>
      <w:r>
        <w:rPr>
          <w:bCs/>
          <w:b/>
        </w:rPr>
        <w:t xml:space="preserve">ch02:</w:t>
      </w:r>
      <w:r>
        <w:t xml:space="preserve"> </w:t>
      </w:r>
      <w:r>
        <w:t xml:space="preserve">the cartography and citizenship material [scan pp.148–150] as the contemporary statement of the platform as universalist institution.</w:t>
      </w:r>
    </w:p>
    <w:p>
      <w:pPr>
        <w:numPr>
          <w:ilvl w:val="0"/>
          <w:numId w:val="1001"/>
        </w:numPr>
        <w:pStyle w:val="Compact"/>
      </w:pPr>
      <w:r>
        <w:rPr>
          <w:bCs/>
          <w:b/>
        </w:rPr>
        <w:t xml:space="preserve">ch01 / Appendix A:</w:t>
      </w:r>
      <w:r>
        <w:t xml:space="preserve"> </w:t>
      </w:r>
      <w:r>
        <w:t xml:space="preserve">Bratton as theorist of the dispersal’s</w:t>
      </w:r>
      <w:r>
        <w:t xml:space="preserve"> </w:t>
      </w:r>
      <w:r>
        <w:rPr>
          <w:iCs/>
          <w:i/>
        </w:rPr>
        <w:t xml:space="preserve">shape</w:t>
      </w:r>
      <w:r>
        <w:t xml:space="preserve"> </w:t>
      </w:r>
      <w:r>
        <w:t xml:space="preserve">— from Westphalian</w:t>
      </w:r>
      <w:r>
        <w:t xml:space="preserve"> </w:t>
      </w:r>
      <w:r>
        <w:t xml:space="preserve">“</w:t>
      </w:r>
      <w:r>
        <w:t xml:space="preserve">loops on a plane</w:t>
      </w:r>
      <w:r>
        <w:t xml:space="preserve">”</w:t>
      </w:r>
      <w:r>
        <w:t xml:space="preserve"> </w:t>
      </w:r>
      <w:r>
        <w:t xml:space="preserve">to</w:t>
      </w:r>
      <w:r>
        <w:t xml:space="preserve"> </w:t>
      </w:r>
      <w:r>
        <w:t xml:space="preserve">“</w:t>
      </w:r>
      <w:r>
        <w:t xml:space="preserve">a vertical, sectional stack</w:t>
      </w:r>
      <w:r>
        <w:t xml:space="preserve">”</w:t>
      </w:r>
      <w:r>
        <w:t xml:space="preserve"> </w:t>
      </w:r>
      <w:r>
        <w:t xml:space="preserve">[scan pp.42, 142];</w:t>
      </w:r>
      <w:r>
        <w:t xml:space="preserve"> </w:t>
      </w:r>
      <w:r>
        <w:t xml:space="preserve">“</w:t>
      </w:r>
      <w:r>
        <w:t xml:space="preserve">medieval returns</w:t>
      </w:r>
      <w:r>
        <w:t xml:space="preserve">”</w:t>
      </w:r>
      <w:r>
        <w:t xml:space="preserve"> </w:t>
      </w:r>
      <w:r>
        <w:t xml:space="preserve">[scan p.19].</w:t>
      </w:r>
    </w:p>
    <w:p>
      <w:pPr>
        <w:numPr>
          <w:ilvl w:val="0"/>
          <w:numId w:val="1001"/>
        </w:numPr>
        <w:pStyle w:val="Compact"/>
      </w:pPr>
      <w:r>
        <w:rPr>
          <w:bCs/>
          <w:b/>
        </w:rPr>
        <w:t xml:space="preserve">ch11 / coda:</w:t>
      </w:r>
      <w:r>
        <w:t xml:space="preserve"> </w:t>
      </w:r>
      <w:r>
        <w:t xml:space="preserve">Cloud feudalism versus Empire as Bratton’s own binary; his refusal to choose is the space the wager fills.</w:t>
      </w:r>
    </w:p>
    <w:p>
      <w:pPr>
        <w:numPr>
          <w:ilvl w:val="0"/>
          <w:numId w:val="1001"/>
        </w:numPr>
        <w:pStyle w:val="Compact"/>
      </w:pPr>
      <w:r>
        <w:rPr>
          <w:bCs/>
          <w:b/>
        </w:rPr>
        <w:t xml:space="preserve">Appendix C:</w:t>
      </w:r>
      <w:r>
        <w:t xml:space="preserve"> </w:t>
      </w:r>
      <w:r>
        <w:t xml:space="preserve">his 2015 observations as pre-registered baselines the decade has moved — states wanting</w:t>
      </w:r>
      <w:r>
        <w:t xml:space="preserve"> </w:t>
      </w:r>
      <w:r>
        <w:t xml:space="preserve">“</w:t>
      </w:r>
      <w:r>
        <w:t xml:space="preserve">to meter and tax Google for sending data over their lines</w:t>
      </w:r>
      <w:r>
        <w:t xml:space="preserve">”</w:t>
      </w:r>
      <w:r>
        <w:t xml:space="preserve"> </w:t>
      </w:r>
      <w:r>
        <w:t xml:space="preserve">[scan p.165] was an ITU aspiration then and is DMA/chip-control practice now; his 2026</w:t>
      </w:r>
      <w:r>
        <w:t xml:space="preserve"> </w:t>
      </w:r>
      <w:r>
        <w:t xml:space="preserve">“</w:t>
      </w:r>
      <w:r>
        <w:t xml:space="preserve">encapsulation… app bans… direct connections with the state</w:t>
      </w:r>
      <w:r>
        <w:t xml:space="preserve">”</w:t>
      </w:r>
      <w:r>
        <w:t xml:space="preserve"> </w:t>
      </w:r>
      <w:r>
        <w:t xml:space="preserve">as a dated observation for CA-8.</w:t>
      </w:r>
    </w:p>
    <w:p>
      <w:pPr>
        <w:numPr>
          <w:ilvl w:val="0"/>
          <w:numId w:val="1001"/>
        </w:numPr>
        <w:pStyle w:val="Compact"/>
      </w:pPr>
      <w:r>
        <w:rPr>
          <w:bCs/>
          <w:b/>
        </w:rPr>
        <w:t xml:space="preserve">ch10 §VIII:</w:t>
      </w:r>
      <w:r>
        <w:t xml:space="preserve"> </w:t>
      </w:r>
      <w:r>
        <w:t xml:space="preserve">the concentration passages [scan pp.146–148] as the platform-side statement of capital intensity.</w:t>
      </w:r>
    </w:p>
    <w:bookmarkEnd w:id="38"/>
    <w:bookmarkStart w:id="39" w:name="retrieval-consequences"/>
    <w:p>
      <w:pPr>
        <w:pStyle w:val="Heading2"/>
      </w:pPr>
      <w:r>
        <w:t xml:space="preserve">6. Retrieval consequences</w:t>
      </w:r>
    </w:p>
    <w:p>
      <w:pPr>
        <w:numPr>
          <w:ilvl w:val="0"/>
          <w:numId w:val="1002"/>
        </w:numPr>
        <w:pStyle w:val="Compact"/>
      </w:pPr>
      <w:r>
        <w:t xml:space="preserve">Bratton 2015: IN REPO as a partial, disordered scan (Black Stack chs. 75–77 absent; OCR degraded after ~scan p.340; scan pp.374–376 contaminated). For page pins a copy with printed pagination is needed — the MIT Press ebook or the tenth-anniversary edition (2026), which would also carry the revised text the 2026 article is adapted from. BUY.</w:t>
      </w:r>
    </w:p>
    <w:p>
      <w:pPr>
        <w:numPr>
          <w:ilvl w:val="0"/>
          <w:numId w:val="1002"/>
        </w:numPr>
        <w:pStyle w:val="Compact"/>
      </w:pPr>
      <w:r>
        <w:t xml:space="preserve">Bratton 2026 (MIT Press Reader): IN REPO, text captured.</w:t>
      </w:r>
    </w:p>
    <w:p>
      <w:pPr>
        <w:numPr>
          <w:ilvl w:val="0"/>
          <w:numId w:val="1002"/>
        </w:numPr>
        <w:pStyle w:val="Compact"/>
      </w:pPr>
      <w:r>
        <w:t xml:space="preserve">The tenth-anniversary edition of</w:t>
      </w:r>
      <w:r>
        <w:t xml:space="preserve"> </w:t>
      </w:r>
      <w:r>
        <w:rPr>
          <w:iCs/>
          <w:i/>
        </w:rPr>
        <w:t xml:space="preserve">The Stack</w:t>
      </w:r>
      <w:r>
        <w:t xml:space="preserve"> </w:t>
      </w:r>
      <w:r>
        <w:t xml:space="preserve">(MIT Press, 2026): PENDING — the authoritative statement of</w:t>
      </w:r>
      <w:r>
        <w:t xml:space="preserve"> </w:t>
      </w:r>
      <w:r>
        <w:t xml:space="preserve">“</w:t>
      </w:r>
      <w:r>
        <w:t xml:space="preserve">Hemispherical Stacks</w:t>
      </w:r>
      <w:r>
        <w:t xml:space="preserve">”</w:t>
      </w:r>
      <w:r>
        <w:t xml:space="preserve"> </w:t>
      </w:r>
      <w:r>
        <w:t xml:space="preserve">at book length.</w:t>
      </w:r>
    </w:p>
    <w:bookmarkEnd w:id="39"/>
    <w:bookmarkStart w:id="40" w:name="X625e9a03938e1b77209cfb23ca45c5c7e30dc97"/>
    <w:p>
      <w:pPr>
        <w:pStyle w:val="Heading2"/>
      </w:pPr>
      <w:r>
        <w:t xml:space="preserve">A4. The Economist essay — placements and the integration task (research/economist-transparency-placements.md)</w:t>
      </w:r>
    </w:p>
    <w:bookmarkEnd w:id="40"/>
    <w:bookmarkEnd w:id="41"/>
    <w:bookmarkStart w:id="47" w:name="X5d307245316623a42491de4ca3d02a9714260e9"/>
    <w:p>
      <w:pPr>
        <w:pStyle w:val="Heading1"/>
      </w:pPr>
      <w:r>
        <w:t xml:space="preserve">The Economist’s transparency essay — placements against the spine</w:t>
      </w:r>
    </w:p>
    <w:bookmarkStart w:id="42" w:name="what-the-essay-gives-the-book"/>
    <w:p>
      <w:pPr>
        <w:pStyle w:val="Heading2"/>
      </w:pPr>
      <w:r>
        <w:t xml:space="preserve">What the essay gives the book</w:t>
      </w:r>
    </w:p>
    <w:p>
      <w:pPr>
        <w:pStyle w:val="FirstParagraph"/>
      </w:pPr>
      <w:r>
        <w:t xml:space="preserve">The essay’s central caution — that attributing to weapons the advantages that belong to the systems which use them best has misled military minds before — is the book’s sceptics-concede pattern restated by a defence editor in 2026 after eight years of watching the transparency revolution. Historians made the same error about cannon for a century; the artillery state’s argument is that the institutions required to own guns, not the guns, did the work. The essay is a mainstream citation for the symmetry: same error, same correction, five hundred years apart.</w:t>
      </w:r>
    </w:p>
    <w:bookmarkEnd w:id="42"/>
    <w:bookmarkStart w:id="43" w:name="six-placements-proposals"/>
    <w:p>
      <w:pPr>
        <w:pStyle w:val="Heading2"/>
      </w:pPr>
      <w:r>
        <w:t xml:space="preserve">Six placements (proposals)</w:t>
      </w:r>
    </w:p>
    <w:p>
      <w:pPr>
        <w:numPr>
          <w:ilvl w:val="0"/>
          <w:numId w:val="1003"/>
        </w:numPr>
      </w:pPr>
      <w:r>
        <w:rPr>
          <w:bCs/>
          <w:b/>
        </w:rPr>
        <w:t xml:space="preserve">The diffusion objection — capital-intensity migration.</w:t>
      </w:r>
      <w:r>
        <w:t xml:space="preserve"> </w:t>
      </w:r>
      <w:r>
        <w:t xml:space="preserve">The drone appears to invert the mechanism: $3,000 units on consumer-electronics supply chains, adopted by Hizbullah within months. But the essay locates decisive capacity in the connective tissue — satellite constellations, Maven-class targeting fed by frontier models, kill chains, encryptors procured urgently because data outran networks — all standing, peacetime, continuously funded commitments at bloc scale. Capital intensity migrated from the projectile to the seeing-and-deciding apparatus. The drone is this cycle’s arquebus (cheap, diffused, tactically transformative, strategically subordinate); the sensor-targeting complex is the siege train. Diffusion at the tactical layer, consolidation at the systemic layer, simultaneously. Pair with the fifteenth-century handgun/arquebus diffusion material (Hussites; Burgundian ordonnance gunner retainers). Fits whichever chapter answers</w:t>
      </w:r>
      <w:r>
        <w:t xml:space="preserve"> </w:t>
      </w:r>
      <w:r>
        <w:t xml:space="preserve">“</w:t>
      </w:r>
      <w:r>
        <w:t xml:space="preserve">modern technology fragments rather than consolidates</w:t>
      </w:r>
      <w:r>
        <w:t xml:space="preserve">”</w:t>
      </w:r>
      <w:r>
        <w:t xml:space="preserve"> </w:t>
      </w:r>
      <w:r>
        <w:t xml:space="preserve">— likely ch10 §VIII or ch12; also the modern face of spine §8(a)’s ratchet. Tag as book’s-own.</w:t>
      </w:r>
    </w:p>
    <w:p>
      <w:pPr>
        <w:numPr>
          <w:ilvl w:val="0"/>
          <w:numId w:val="1003"/>
        </w:numPr>
      </w:pPr>
      <w:r>
        <w:rPr>
          <w:bCs/>
          <w:b/>
        </w:rPr>
        <w:t xml:space="preserve">Epic Fury as the living Depreter case.</w:t>
      </w:r>
      <w:r>
        <w:t xml:space="preserve"> </w:t>
      </w:r>
      <w:r>
        <w:t xml:space="preserve">Depreter’s refinement (apparatus without a coherent political centre predicts failure; Burgundy 1477) has a 2026 instance: the most exquisite strike apparatus in history against Iran produced stalemate because the political centre could not specify what the apparatus was for. Necessary, never sufficient. Place beside Burgundy in ch10; it also answers the technological-determinism charge. Flag every Iran BDA figure [RE-CHECK AT PRESS]; CRS R48887 is the primary already in ch12.</w:t>
      </w:r>
    </w:p>
    <w:p>
      <w:pPr>
        <w:numPr>
          <w:ilvl w:val="0"/>
          <w:numId w:val="1003"/>
        </w:numPr>
      </w:pPr>
      <w:r>
        <w:rPr>
          <w:bCs/>
          <w:b/>
        </w:rPr>
        <w:t xml:space="preserve">ch06 §VI — Talbot and the Belloc syndrome.</w:t>
      </w:r>
      <w:r>
        <w:t xml:space="preserve"> </w:t>
      </w:r>
      <w:r>
        <w:t xml:space="preserve">Talbot died from underestimating the apparatus; Belloc’s Blood (the Maxim-gun couplet) and the knock-out-blow prophets (Freedman’s genealogy; Bush 2003; the 2017</w:t>
      </w:r>
      <w:r>
        <w:t xml:space="preserve"> </w:t>
      </w:r>
      <w:r>
        <w:t xml:space="preserve">“</w:t>
      </w:r>
      <w:r>
        <w:t xml:space="preserve">cannot win</w:t>
      </w:r>
      <w:r>
        <w:t xml:space="preserve">”</w:t>
      </w:r>
      <w:r>
        <w:t xml:space="preserve">; 5,000 targets a day for a war without aims) from overestimating it. Both mistake the weapon for the system. Connects to the Kemp thesis: a targeting pipeline running without defined war aims is artificial authority — machinery without a king. Two-error symmetry as a section device; Freedman as the T2 anchor.</w:t>
      </w:r>
    </w:p>
    <w:p>
      <w:pPr>
        <w:numPr>
          <w:ilvl w:val="0"/>
          <w:numId w:val="1003"/>
        </w:numPr>
      </w:pPr>
      <w:r>
        <w:rPr>
          <w:bCs/>
          <w:b/>
        </w:rPr>
        <w:t xml:space="preserve">The sceptics-concede arc, compressed.</w:t>
      </w:r>
      <w:r>
        <w:t xml:space="preserve"> </w:t>
      </w:r>
      <w:r>
        <w:t xml:space="preserve">Biddle (</w:t>
      </w:r>
      <w:r>
        <w:t xml:space="preserve">“</w:t>
      </w:r>
      <w:r>
        <w:t xml:space="preserve">easy to exaggerate</w:t>
      </w:r>
      <w:r>
        <w:t xml:space="preserve">”</w:t>
      </w:r>
      <w:r>
        <w:t xml:space="preserve">), Owen (first-rate forces render FPVs irrelevant), Radakin (the Israeli stand-off model) each erode inside the essay — Biddle’s own Fort Irwin observation, Gady’s Lebanon evidence, Radakin’s model tried at scale in Iran. The Rogers/DeVries/Curry arc of thirty years in one article. Candidate for the historiography discussion; also a Current Preoccupations column before it becomes a chapter passage.</w:t>
      </w:r>
    </w:p>
    <w:p>
      <w:pPr>
        <w:numPr>
          <w:ilvl w:val="0"/>
          <w:numId w:val="1003"/>
        </w:numPr>
      </w:pPr>
      <w:r>
        <w:rPr>
          <w:bCs/>
          <w:b/>
        </w:rPr>
        <w:t xml:space="preserve">The nuclear ceiling — a confessed limit for the conclusion.</w:t>
      </w:r>
      <w:r>
        <w:t xml:space="preserve"> </w:t>
      </w:r>
      <w:r>
        <w:t xml:space="preserve">The Taiwan material: attacking China’s connective tissue means attacking systems that also control nuclear forces; the full transparency war between blocs may be unfightable; nobody knows where the red lines are, only that they exist. The blocs may consolidate but never test each other — a permanent, armed, mutually observed pause rather than a Bosworth. Is that a Tudor settlement or something without precedent? Put the question explicitly in ch12/coda. Consistent with spine §5’s nuclear-overhang paragraph and GPT 5.6 Sol’s</w:t>
      </w:r>
      <w:r>
        <w:t xml:space="preserve"> </w:t>
      </w:r>
      <w:r>
        <w:t xml:space="preserve">“</w:t>
      </w:r>
      <w:r>
        <w:t xml:space="preserve">nuclear as scope condition</w:t>
      </w:r>
      <w:r>
        <w:t xml:space="preserve">”</w:t>
      </w:r>
      <w:r>
        <w:t xml:space="preserve"> </w:t>
      </w:r>
      <w:r>
        <w:t xml:space="preserve">(model-council-synthesis.md).</w:t>
      </w:r>
    </w:p>
    <w:p>
      <w:pPr>
        <w:numPr>
          <w:ilvl w:val="0"/>
          <w:numId w:val="1003"/>
        </w:numPr>
      </w:pPr>
      <w:r>
        <w:rPr>
          <w:bCs/>
          <w:b/>
        </w:rPr>
        <w:t xml:space="preserve">Attrition-belt production as fiscal-mobilisation evidence.</w:t>
      </w:r>
      <w:r>
        <w:t xml:space="preserve"> </w:t>
      </w:r>
      <w:r>
        <w:t xml:space="preserve">Thousands of FPVs daily, 24,000 UGV medical missions in a quarter, NATO’s</w:t>
      </w:r>
      <w:r>
        <w:t xml:space="preserve"> </w:t>
      </w:r>
      <w:r>
        <w:t xml:space="preserve">“</w:t>
      </w:r>
      <w:r>
        <w:t xml:space="preserve">failed and failed dramatically</w:t>
      </w:r>
      <w:r>
        <w:t xml:space="preserve">”</w:t>
      </w:r>
      <w:r>
        <w:t xml:space="preserve"> </w:t>
      </w:r>
      <w:r>
        <w:t xml:space="preserve">drone exercise, the 1918 who-learns point (doctrine, not tanks, won 1940). Transparency warfare rewards administrative depth and industrial mobilisation — the pressure that forces intermediate polities into blocs. Evidence for the administrative-capacity chapters; the</w:t>
      </w:r>
      <w:r>
        <w:t xml:space="preserve"> </w:t>
      </w:r>
      <w:r>
        <w:t xml:space="preserve">“</w:t>
      </w:r>
      <w:r>
        <w:t xml:space="preserve">which polity institutionalises humility</w:t>
      </w:r>
      <w:r>
        <w:t xml:space="preserve">”</w:t>
      </w:r>
      <w:r>
        <w:t xml:space="preserve"> </w:t>
      </w:r>
      <w:r>
        <w:t xml:space="preserve">question is an institutional answer of the book’s kind.</w:t>
      </w:r>
    </w:p>
    <w:bookmarkEnd w:id="43"/>
    <w:bookmarkStart w:id="44" w:name="X20b106616d4ccda45db19b3d8a89317ac6c10ac"/>
    <w:p>
      <w:pPr>
        <w:pStyle w:val="Heading2"/>
      </w:pPr>
      <w:r>
        <w:t xml:space="preserve">Research batch (drafted 16 August, not yet run)</w:t>
      </w:r>
    </w:p>
    <w:p>
      <w:pPr>
        <w:pStyle w:val="FirstParagraph"/>
      </w:pPr>
      <w:r>
        <w:t xml:space="preserve">Integrate the essay against spine.md (now including §8). Tasks: (1) draft the diffusion-objection insert with the projectile→apparatus migration, locating parallel fifteenth-century evidence for cheap-firearm diffusion under a sovereign siege-train monopoly; (2) add Epic Fury to the Depreter section as the contemporary control case, cross-referenced to Burgundy 1477, with hedges where BDA figures are single-sourced; (3) ch06 §VI: pair the Belloc syndrome and Freedman’s knock-out-blow genealogy with the seize-the-train hypothesis; (4) map Biddle/Owen/Radakin onto the Rogers/DeVries/Curry arc for the historiography discussion; (5) coda brief: the nuclear-ceiling question; (6) do not edit spine.md; per-chapter research notes in standard batch format, British English, PENDING HUMAN REVIEW.</w:t>
      </w:r>
    </w:p>
    <w:bookmarkEnd w:id="44"/>
    <w:bookmarkStart w:id="45" w:name="Xbdb6bc41fbf2835b2c0311a38cd5b5d2e11ba1c"/>
    <w:p>
      <w:pPr>
        <w:pStyle w:val="Heading2"/>
      </w:pPr>
      <w:r>
        <w:t xml:space="preserve">A5. Appendix C — American sub-wager, DRAFT candidate indicators (appendix-c/memo.md)</w:t>
      </w:r>
    </w:p>
    <w:bookmarkEnd w:id="45"/>
    <w:bookmarkStart w:id="46" w:name="Xaa4e12e10b8140a8463ff622ed8c2f36dd7a210"/>
    <w:p>
      <w:pPr>
        <w:pStyle w:val="Heading2"/>
      </w:pPr>
      <w:r>
        <w:t xml:space="preserve">American sub-wager — DRAFT candidate indicators (2026-09-02) — PENDING HUMAN REVIEW</w:t>
      </w:r>
    </w:p>
    <w:p>
      <w:pPr>
        <w:pStyle w:val="FirstParagraph"/>
      </w:pPr>
      <w:r>
        <w:t xml:space="preserve">Filed by Claude/Cowork on Roderick’s instruction, from spine §8(c) and</w:t>
      </w:r>
      <w:r>
        <w:t xml:space="preserve"> </w:t>
      </w:r>
      <w:r>
        <w:t xml:space="preserve">research/overmighty-citizen-playbook.md (outside the provenance chain).</w:t>
      </w:r>
      <w:r>
        <w:t xml:space="preserve"> </w:t>
      </w:r>
      <w:r>
        <w:t xml:space="preserve">Purpose: convert the playbook’s prescriptive menu into the falsifiable</w:t>
      </w:r>
      <w:r>
        <w:t xml:space="preserve"> </w:t>
      </w:r>
      <w:r>
        <w:t xml:space="preserve">form the council asked for — dated disconfirmation thresholds, 2026</w:t>
      </w:r>
      <w:r>
        <w:t xml:space="preserve"> </w:t>
      </w:r>
      <w:r>
        <w:t xml:space="preserve">baselines — so that ch12’s American section predicts rather than</w:t>
      </w:r>
      <w:r>
        <w:t xml:space="preserve"> </w:t>
      </w:r>
      <w:r>
        <w:t xml:space="preserve">counsels. Per CLAUDE.md §9 no indicator is FINAL until its baseline is</w:t>
      </w:r>
      <w:r>
        <w:t xml:space="preserve"> </w:t>
      </w:r>
      <w:r>
        <w:t xml:space="preserve">sourced; every baseline below is marked. The playbook’s own 2026–30</w:t>
      </w:r>
      <w:r>
        <w:t xml:space="preserve"> </w:t>
      </w:r>
      <w:r>
        <w:t xml:space="preserve">sequencing supplies the dates. The unifying criterion (GPT 5.6 Sol’s</w:t>
      </w:r>
      <w:r>
        <w:t xml:space="preserve"> </w:t>
      </w:r>
      <w:r>
        <w:t xml:space="preserve">revocation metric = the playbook’s</w:t>
      </w:r>
      <w:r>
        <w:t xml:space="preserve"> </w:t>
      </w:r>
      <w:r>
        <w:t xml:space="preserve">“</w:t>
      </w:r>
      <w:r>
        <w:t xml:space="preserve">power switch test</w:t>
      </w:r>
      <w:r>
        <w:t xml:space="preserve">”</w:t>
      </w:r>
      <w:r>
        <w:t xml:space="preserve">): does the</w:t>
      </w:r>
      <w:r>
        <w:t xml:space="preserve"> </w:t>
      </w:r>
      <w:r>
        <w:t xml:space="preserve">state, by 2030, hold reviewable authority over who computes,</w:t>
      </w:r>
      <w:r>
        <w:t xml:space="preserve"> </w:t>
      </w:r>
      <w:r>
        <w:t xml:space="preserve">communicates, transacts, authenticates or connects — while equity</w:t>
      </w:r>
      <w:r>
        <w:t xml:space="preserve"> </w:t>
      </w:r>
      <w:r>
        <w:t xml:space="preserve">stays private?</w:t>
      </w:r>
    </w:p>
    <w:p>
      <w:pPr>
        <w:pStyle w:val="BodyText"/>
      </w:pPr>
      <w:r>
        <w:rPr>
          <w:bCs/>
          <w:b/>
        </w:rPr>
        <w:t xml:space="preserve">CA-1 — Common-carrier designation of critical cloud [baseline</w:t>
      </w:r>
      <w:r>
        <w:rPr>
          <w:bCs/>
          <w:b/>
        </w:rPr>
        <w:t xml:space="preserve"> </w:t>
      </w:r>
      <w:r>
        <w:rPr>
          <w:bCs/>
          <w:b/>
        </w:rPr>
        <w:t xml:space="preserve">PENDING].</w:t>
      </w:r>
      <w:r>
        <w:t xml:space="preserve"> </w:t>
      </w:r>
      <w:r>
        <w:rPr>
          <w:iCs/>
          <w:i/>
        </w:rPr>
        <w:t xml:space="preserve">Measures:</w:t>
      </w:r>
      <w:r>
        <w:t xml:space="preserve"> </w:t>
      </w:r>
      <w:r>
        <w:t xml:space="preserve">statutory or regulatory designation of a</w:t>
      </w:r>
      <w:r>
        <w:t xml:space="preserve"> </w:t>
      </w:r>
      <w:r>
        <w:t xml:space="preserve">hyperscale cloud provider as a common carrier / essential service with</w:t>
      </w:r>
      <w:r>
        <w:t xml:space="preserve"> </w:t>
      </w:r>
      <w:r>
        <w:t xml:space="preserve">nondiscrimination, continuity and appeal duties (federal); UK SMS</w:t>
      </w:r>
      <w:r>
        <w:t xml:space="preserve"> </w:t>
      </w:r>
      <w:r>
        <w:t xml:space="preserve">designation as the comparator.</w:t>
      </w:r>
      <w:r>
        <w:t xml:space="preserve"> </w:t>
      </w:r>
      <w:r>
        <w:rPr>
          <w:iCs/>
          <w:i/>
        </w:rPr>
        <w:t xml:space="preserve">Baseline 2026:</w:t>
      </w:r>
      <w:r>
        <w:t xml:space="preserve"> </w:t>
      </w:r>
      <w:r>
        <w:t xml:space="preserve">none in US law;</w:t>
      </w:r>
      <w:r>
        <w:t xml:space="preserve"> </w:t>
      </w:r>
      <w:r>
        <w:t xml:space="preserve">CMA provisional findings (UK) — [RE-CHECK AT PRESS; source the CMA</w:t>
      </w:r>
      <w:r>
        <w:t xml:space="preserve"> </w:t>
      </w:r>
      <w:r>
        <w:t xml:space="preserve">document].</w:t>
      </w:r>
      <w:r>
        <w:t xml:space="preserve"> </w:t>
      </w:r>
      <w:r>
        <w:rPr>
          <w:iCs/>
          <w:i/>
        </w:rPr>
        <w:t xml:space="preserve">Threshold:</w:t>
      </w:r>
      <w:r>
        <w:t xml:space="preserve"> </w:t>
      </w:r>
      <w:r>
        <w:t xml:space="preserve">designation enacted or ordered by end-2029 =</w:t>
      </w:r>
      <w:r>
        <w:t xml:space="preserve"> </w:t>
      </w:r>
      <w:r>
        <w:t xml:space="preserve">consolidation via carriage (the ICC/Hepburn route); none = sub-wager</w:t>
      </w:r>
      <w:r>
        <w:t xml:space="preserve"> </w:t>
      </w:r>
      <w:r>
        <w:t xml:space="preserve">weakens.</w:t>
      </w:r>
      <w:r>
        <w:t xml:space="preserve"> </w:t>
      </w:r>
      <w:r>
        <w:rPr>
          <w:iCs/>
          <w:i/>
        </w:rPr>
        <w:t xml:space="preserve">Disconfirmation:</w:t>
      </w:r>
      <w:r>
        <w:t xml:space="preserve"> </w:t>
      </w:r>
      <w:r>
        <w:t xml:space="preserve">a federal statute expressly disclaiming</w:t>
      </w:r>
      <w:r>
        <w:t xml:space="preserve"> </w:t>
      </w:r>
      <w:r>
        <w:t xml:space="preserve">common-carrier treatment of cloud.</w:t>
      </w:r>
    </w:p>
    <w:p>
      <w:pPr>
        <w:pStyle w:val="BodyText"/>
      </w:pPr>
      <w:r>
        <w:rPr>
          <w:bCs/>
          <w:b/>
        </w:rPr>
        <w:t xml:space="preserve">CA-2 — Starlink/continuity conditions on strategic connectivity</w:t>
      </w:r>
      <w:r>
        <w:rPr>
          <w:bCs/>
          <w:b/>
        </w:rPr>
        <w:t xml:space="preserve"> </w:t>
      </w:r>
      <w:r>
        <w:rPr>
          <w:bCs/>
          <w:b/>
        </w:rPr>
        <w:t xml:space="preserve">[baseline PARTIAL].</w:t>
      </w:r>
      <w:r>
        <w:t xml:space="preserve"> </w:t>
      </w:r>
      <w:r>
        <w:rPr>
          <w:iCs/>
          <w:i/>
        </w:rPr>
        <w:t xml:space="preserve">Measures:</w:t>
      </w:r>
      <w:r>
        <w:t xml:space="preserve"> </w:t>
      </w:r>
      <w:r>
        <w:t xml:space="preserve">federal launch, spectrum or defence</w:t>
      </w:r>
      <w:r>
        <w:t xml:space="preserve"> </w:t>
      </w:r>
      <w:r>
        <w:t xml:space="preserve">contracts conditioned on continuity, lawful-priority and escalation</w:t>
      </w:r>
      <w:r>
        <w:t xml:space="preserve"> </w:t>
      </w:r>
      <w:r>
        <w:t xml:space="preserve">duties; a documented government override process.</w:t>
      </w:r>
      <w:r>
        <w:t xml:space="preserve"> </w:t>
      </w:r>
      <w:r>
        <w:rPr>
          <w:iCs/>
          <w:i/>
        </w:rPr>
        <w:t xml:space="preserve">Baseline:</w:t>
      </w:r>
      <w:r>
        <w:t xml:space="preserve"> </w:t>
      </w:r>
      <w:r>
        <w:t xml:space="preserve">the</w:t>
      </w:r>
      <w:r>
        <w:t xml:space="preserve"> </w:t>
      </w:r>
      <w:r>
        <w:t xml:space="preserve">March 2025 suspension week (C12-1, sourced) and the Starlink</w:t>
      </w:r>
      <w:r>
        <w:t xml:space="preserve"> </w:t>
      </w:r>
      <w:r>
        <w:t xml:space="preserve">shutdown-order investigation (the council’s template — [UNVERIFIED —</w:t>
      </w:r>
      <w:r>
        <w:t xml:space="preserve"> </w:t>
      </w:r>
      <w:r>
        <w:t xml:space="preserve">RETRIEVAL]).</w:t>
      </w:r>
      <w:r>
        <w:t xml:space="preserve"> </w:t>
      </w:r>
      <w:r>
        <w:rPr>
          <w:iCs/>
          <w:i/>
        </w:rPr>
        <w:t xml:space="preserve">Threshold:</w:t>
      </w:r>
      <w:r>
        <w:t xml:space="preserve"> </w:t>
      </w:r>
      <w:r>
        <w:t xml:space="preserve">conditions written into contract or statute</w:t>
      </w:r>
      <w:r>
        <w:t xml:space="preserve"> </w:t>
      </w:r>
      <w:r>
        <w:t xml:space="preserve">by 2028.</w:t>
      </w:r>
      <w:r>
        <w:t xml:space="preserve"> </w:t>
      </w:r>
      <w:r>
        <w:rPr>
          <w:iCs/>
          <w:i/>
        </w:rPr>
        <w:t xml:space="preserve">Note:</w:t>
      </w:r>
      <w:r>
        <w:t xml:space="preserve"> </w:t>
      </w:r>
      <w:r>
        <w:t xml:space="preserve">this is the cleanest revocation-rights test in the</w:t>
      </w:r>
      <w:r>
        <w:t xml:space="preserve"> </w:t>
      </w:r>
      <w:r>
        <w:t xml:space="preserve">set — the private operator’s unilateral switch made reviewable.</w:t>
      </w:r>
    </w:p>
    <w:p>
      <w:pPr>
        <w:pStyle w:val="BodyText"/>
      </w:pPr>
      <w:r>
        <w:rPr>
          <w:bCs/>
          <w:b/>
        </w:rPr>
        <w:t xml:space="preserve">CA-3 — Frontier-compute licensing [baseline IN HAND, dated].</w:t>
      </w:r>
      <w:r>
        <w:t xml:space="preserve"> </w:t>
      </w:r>
      <w:r>
        <w:rPr>
          <w:iCs/>
          <w:i/>
        </w:rPr>
        <w:t xml:space="preserve">Measures:</w:t>
      </w:r>
      <w:r>
        <w:t xml:space="preserve"> </w:t>
      </w:r>
      <w:r>
        <w:t xml:space="preserve">a statutory licence to train above a compute threshold,</w:t>
      </w:r>
      <w:r>
        <w:t xml:space="preserve"> </w:t>
      </w:r>
      <w:r>
        <w:t xml:space="preserve">with beneficial-ownership disclosure.</w:t>
      </w:r>
      <w:r>
        <w:t xml:space="preserve"> </w:t>
      </w:r>
      <w:r>
        <w:rPr>
          <w:iCs/>
          <w:i/>
        </w:rPr>
        <w:t xml:space="preserve">Baseline:</w:t>
      </w:r>
      <w:r>
        <w:t xml:space="preserve"> </w:t>
      </w:r>
      <w:r>
        <w:t xml:space="preserve">EO 14110 reporting</w:t>
      </w:r>
      <w:r>
        <w:t xml:space="preserve"> </w:t>
      </w:r>
      <w:r>
        <w:t xml:space="preserve">rescinded Jan 2025; California SB 53 (2025) as the state floor —</w:t>
      </w:r>
      <w:r>
        <w:t xml:space="preserve"> </w:t>
      </w:r>
      <w:r>
        <w:t xml:space="preserve">[RE-CHECK AT PRESS; pin both instruments].</w:t>
      </w:r>
      <w:r>
        <w:t xml:space="preserve"> </w:t>
      </w:r>
      <w:r>
        <w:rPr>
          <w:iCs/>
          <w:i/>
        </w:rPr>
        <w:t xml:space="preserve">Threshold:</w:t>
      </w:r>
      <w:r>
        <w:t xml:space="preserve"> </w:t>
      </w:r>
      <w:r>
        <w:t xml:space="preserve">federal</w:t>
      </w:r>
      <w:r>
        <w:t xml:space="preserve"> </w:t>
      </w:r>
      <w:r>
        <w:t xml:space="preserve">licensing statute by 2029 = licensing-not-socialisation confirmed</w:t>
      </w:r>
      <w:r>
        <w:t xml:space="preserve"> </w:t>
      </w:r>
      <w:r>
        <w:t xml:space="preserve">(spine §5, §8(c)); executive-only or none = the American route stalls</w:t>
      </w:r>
      <w:r>
        <w:t xml:space="preserve"> </w:t>
      </w:r>
      <w:r>
        <w:t xml:space="preserve">at the pre-antitrust moment.</w:t>
      </w:r>
    </w:p>
    <w:p>
      <w:pPr>
        <w:pStyle w:val="BodyText"/>
      </w:pPr>
      <w:r>
        <w:rPr>
          <w:bCs/>
          <w:b/>
        </w:rPr>
        <w:t xml:space="preserve">CA-4 — Structural separation executed, not ordered [baseline IN</w:t>
      </w:r>
      <w:r>
        <w:rPr>
          <w:bCs/>
          <w:b/>
        </w:rPr>
        <w:t xml:space="preserve"> </w:t>
      </w:r>
      <w:r>
        <w:rPr>
          <w:bCs/>
          <w:b/>
        </w:rPr>
        <w:t xml:space="preserve">HAND, dated].</w:t>
      </w:r>
      <w:r>
        <w:t xml:space="preserve"> </w:t>
      </w:r>
      <w:r>
        <w:rPr>
          <w:iCs/>
          <w:i/>
        </w:rPr>
        <w:t xml:space="preserve">Measures:</w:t>
      </w:r>
      <w:r>
        <w:t xml:space="preserve"> </w:t>
      </w:r>
      <w:r>
        <w:t xml:space="preserve">a completed divestiture severing a</w:t>
      </w:r>
      <w:r>
        <w:t xml:space="preserve"> </w:t>
      </w:r>
      <w:r>
        <w:t xml:space="preserve">platform’s vertical link (ad exchange from publisher tools; app store</w:t>
      </w:r>
      <w:r>
        <w:t xml:space="preserve"> </w:t>
      </w:r>
      <w:r>
        <w:t xml:space="preserve">from first-party apps; cloud from commerce).</w:t>
      </w:r>
      <w:r>
        <w:t xml:space="preserve"> </w:t>
      </w:r>
      <w:r>
        <w:rPr>
          <w:iCs/>
          <w:i/>
        </w:rPr>
        <w:t xml:space="preserve">Baseline:</w:t>
      </w:r>
      <w:r>
        <w:t xml:space="preserve"> </w:t>
      </w:r>
      <w:r>
        <w:t xml:space="preserve">DOJ ad-tech</w:t>
      </w:r>
      <w:r>
        <w:t xml:space="preserve"> </w:t>
      </w:r>
      <w:r>
        <w:t xml:space="preserve">liability judgment; Google search final judgment (Dec 2025) stopping</w:t>
      </w:r>
      <w:r>
        <w:t xml:space="preserve"> </w:t>
      </w:r>
      <w:r>
        <w:t xml:space="preserve">short of Chrome divestiture; FTC v. Meta lost at trial, on appeal Jan</w:t>
      </w:r>
      <w:r>
        <w:t xml:space="preserve"> </w:t>
      </w:r>
      <w:r>
        <w:t xml:space="preserve">2026 — [RE-CHECK AT PRESS; pin each].</w:t>
      </w:r>
      <w:r>
        <w:t xml:space="preserve"> </w:t>
      </w:r>
      <w:r>
        <w:rPr>
          <w:iCs/>
          <w:i/>
        </w:rPr>
        <w:t xml:space="preserve">Threshold:</w:t>
      </w:r>
      <w:r>
        <w:t xml:space="preserve"> </w:t>
      </w:r>
      <w:r>
        <w:t xml:space="preserve">one executed</w:t>
      </w:r>
      <w:r>
        <w:t xml:space="preserve"> </w:t>
      </w:r>
      <w:r>
        <w:t xml:space="preserve">structural separation by 2030 = the Paramount/AT&amp;T route live; none</w:t>
      </w:r>
      <w:r>
        <w:t xml:space="preserve"> </w:t>
      </w:r>
      <w:r>
        <w:t xml:space="preserve">= conduct remedies only (the Microsoft route), which is consolidation</w:t>
      </w:r>
      <w:r>
        <w:t xml:space="preserve"> </w:t>
      </w:r>
      <w:r>
        <w:t xml:space="preserve">of a weaker kind — score as partial.</w:t>
      </w:r>
    </w:p>
    <w:p>
      <w:pPr>
        <w:pStyle w:val="BodyText"/>
      </w:pPr>
      <w:r>
        <w:rPr>
          <w:bCs/>
          <w:b/>
        </w:rPr>
        <w:t xml:space="preserve">CA-5 — A standing digital regulator [baseline IN HAND].</w:t>
      </w:r>
      <w:r>
        <w:t xml:space="preserve"> </w:t>
      </w:r>
      <w:r>
        <w:rPr>
          <w:iCs/>
          <w:i/>
        </w:rPr>
        <w:t xml:space="preserve">Measures:</w:t>
      </w:r>
      <w:r>
        <w:t xml:space="preserve"> </w:t>
      </w:r>
      <w:r>
        <w:t xml:space="preserve">enactment of a Digital Platforms Commission or equivalent</w:t>
      </w:r>
      <w:r>
        <w:t xml:space="preserve"> </w:t>
      </w:r>
      <w:r>
        <w:t xml:space="preserve">with rulemaking and structural-remedy referral authority (the</w:t>
      </w:r>
      <w:r>
        <w:t xml:space="preserve"> </w:t>
      </w:r>
      <w:r>
        <w:t xml:space="preserve">Bennet–Welch proposal).</w:t>
      </w:r>
      <w:r>
        <w:t xml:space="preserve"> </w:t>
      </w:r>
      <w:r>
        <w:rPr>
          <w:iCs/>
          <w:i/>
        </w:rPr>
        <w:t xml:space="preserve">Baseline:</w:t>
      </w:r>
      <w:r>
        <w:t xml:space="preserve"> </w:t>
      </w:r>
      <w:r>
        <w:t xml:space="preserve">proposed, not enacted (2026).</w:t>
      </w:r>
      <w:r>
        <w:t xml:space="preserve"> </w:t>
      </w:r>
      <w:r>
        <w:rPr>
          <w:iCs/>
          <w:i/>
        </w:rPr>
        <w:t xml:space="preserve">Threshold:</w:t>
      </w:r>
      <w:r>
        <w:t xml:space="preserve"> </w:t>
      </w:r>
      <w:r>
        <w:t xml:space="preserve">enacted by 2028 per the playbook’s own sequencing =</w:t>
      </w:r>
      <w:r>
        <w:t xml:space="preserve"> </w:t>
      </w:r>
      <w:r>
        <w:t xml:space="preserve">the ICC/SEC pattern repeating; not enacted by 2030 = the American</w:t>
      </w:r>
      <w:r>
        <w:t xml:space="preserve"> </w:t>
      </w:r>
      <w:r>
        <w:t xml:space="preserve">route relying on episodic litigation, scored against the thesis.</w:t>
      </w:r>
    </w:p>
    <w:p>
      <w:pPr>
        <w:pStyle w:val="BodyText"/>
      </w:pPr>
      <w:r>
        <w:rPr>
          <w:bCs/>
          <w:b/>
        </w:rPr>
        <w:t xml:space="preserve">CA-6 — Revenue cut versus control right (the H200 test) [baseline</w:t>
      </w:r>
      <w:r>
        <w:rPr>
          <w:bCs/>
          <w:b/>
        </w:rPr>
        <w:t xml:space="preserve"> </w:t>
      </w:r>
      <w:r>
        <w:rPr>
          <w:bCs/>
          <w:b/>
        </w:rPr>
        <w:t xml:space="preserve">IN HAND, dated].</w:t>
      </w:r>
      <w:r>
        <w:t xml:space="preserve"> </w:t>
      </w:r>
      <w:r>
        <w:rPr>
          <w:iCs/>
          <w:i/>
        </w:rPr>
        <w:t xml:space="preserve">Measures:</w:t>
      </w:r>
      <w:r>
        <w:t xml:space="preserve"> </w:t>
      </w:r>
      <w:r>
        <w:t xml:space="preserve">whether Washington’s take from</w:t>
      </w:r>
      <w:r>
        <w:t xml:space="preserve"> </w:t>
      </w:r>
      <w:r>
        <w:t xml:space="preserve">controlled-chip exports remains a revenue share (income) or is</w:t>
      </w:r>
      <w:r>
        <w:t xml:space="preserve"> </w:t>
      </w:r>
      <w:r>
        <w:t xml:space="preserve">replaced by revocation authority (control).</w:t>
      </w:r>
      <w:r>
        <w:t xml:space="preserve"> </w:t>
      </w:r>
      <w:r>
        <w:rPr>
          <w:iCs/>
          <w:i/>
        </w:rPr>
        <w:t xml:space="preserve">Baseline:</w:t>
      </w:r>
      <w:r>
        <w:t xml:space="preserve"> </w:t>
      </w:r>
      <w:r>
        <w:t xml:space="preserve">the 15% H200</w:t>
      </w:r>
      <w:r>
        <w:t xml:space="preserve"> </w:t>
      </w:r>
      <w:r>
        <w:t xml:space="preserve">arrangement (research/model-council-synthesis.md — [UNVERIFIED —</w:t>
      </w:r>
      <w:r>
        <w:t xml:space="preserve"> </w:t>
      </w:r>
      <w:r>
        <w:t xml:space="preserve">RETRIEVAL; primary instrument to pin]).</w:t>
      </w:r>
      <w:r>
        <w:t xml:space="preserve"> </w:t>
      </w:r>
      <w:r>
        <w:rPr>
          <w:iCs/>
          <w:i/>
        </w:rPr>
        <w:t xml:space="preserve">Threshold:</w:t>
      </w:r>
      <w:r>
        <w:t xml:space="preserve"> </w:t>
      </w:r>
      <w:r>
        <w:t xml:space="preserve">the cut replaced</w:t>
      </w:r>
      <w:r>
        <w:t xml:space="preserve"> </w:t>
      </w:r>
      <w:r>
        <w:t xml:space="preserve">or subordinated by licensing/revocation terms by 2028 = spine §8(c)’s</w:t>
      </w:r>
      <w:r>
        <w:t xml:space="preserve"> </w:t>
      </w:r>
      <w:r>
        <w:t xml:space="preserve">predicted correction; the cut entrenched = Opus 5’s venality reading</w:t>
      </w:r>
      <w:r>
        <w:t xml:space="preserve"> </w:t>
      </w:r>
      <w:r>
        <w:t xml:space="preserve">holds. This is the sub-wager’s sharpest single test.</w:t>
      </w:r>
    </w:p>
    <w:p>
      <w:pPr>
        <w:pStyle w:val="BodyText"/>
      </w:pPr>
      <w:r>
        <w:rPr>
          <w:bCs/>
          <w:b/>
        </w:rPr>
        <w:t xml:space="preserve">CA-7 — Cross-ownership and interlock enforcement [baseline IN</w:t>
      </w:r>
      <w:r>
        <w:rPr>
          <w:bCs/>
          <w:b/>
        </w:rPr>
        <w:t xml:space="preserve"> </w:t>
      </w:r>
      <w:r>
        <w:rPr>
          <w:bCs/>
          <w:b/>
        </w:rPr>
        <w:t xml:space="preserve">HAND].</w:t>
      </w:r>
      <w:r>
        <w:t xml:space="preserve"> </w:t>
      </w:r>
      <w:r>
        <w:rPr>
          <w:iCs/>
          <w:i/>
        </w:rPr>
        <w:t xml:space="preserve">Measures:</w:t>
      </w:r>
      <w:r>
        <w:t xml:space="preserve"> </w:t>
      </w:r>
      <w:r>
        <w:t xml:space="preserve">Clayton §8 actions or statutory extension to</w:t>
      </w:r>
      <w:r>
        <w:t xml:space="preserve"> </w:t>
      </w:r>
      <w:r>
        <w:t xml:space="preserve">platform/model/chip/cloud boards and observer seats.</w:t>
      </w:r>
      <w:r>
        <w:t xml:space="preserve"> </w:t>
      </w:r>
      <w:r>
        <w:rPr>
          <w:iCs/>
          <w:i/>
        </w:rPr>
        <w:t xml:space="preserve">Baseline:</w:t>
      </w:r>
      <w:r>
        <w:t xml:space="preserve"> </w:t>
      </w:r>
      <w:r>
        <w:t xml:space="preserve">DOJ</w:t>
      </w:r>
      <w:r>
        <w:t xml:space="preserve"> </w:t>
      </w:r>
      <w:r>
        <w:t xml:space="preserve">resignations campaign from 2022 — [RE-CHECK; pin DOJ release].</w:t>
      </w:r>
      <w:r>
        <w:t xml:space="preserve"> </w:t>
      </w:r>
      <w:r>
        <w:rPr>
          <w:iCs/>
          <w:i/>
        </w:rPr>
        <w:t xml:space="preserve">Threshold:</w:t>
      </w:r>
      <w:r>
        <w:t xml:space="preserve"> </w:t>
      </w:r>
      <w:r>
        <w:t xml:space="preserve">extension to non-corporate entities / minority stakes by</w:t>
      </w:r>
      <w:r>
        <w:t xml:space="preserve"> </w:t>
      </w:r>
      <w:r>
        <w:t xml:space="preserve">2029.</w:t>
      </w:r>
    </w:p>
    <w:p>
      <w:pPr>
        <w:pStyle w:val="BodyText"/>
      </w:pPr>
      <w:r>
        <w:rPr>
          <w:bCs/>
          <w:b/>
        </w:rPr>
        <w:t xml:space="preserve">CA-8 — Inward-open, outward-closed [composite; baseline</w:t>
      </w:r>
      <w:r>
        <w:rPr>
          <w:bCs/>
          <w:b/>
        </w:rPr>
        <w:t xml:space="preserve"> </w:t>
      </w:r>
      <w:r>
        <w:rPr>
          <w:bCs/>
          <w:b/>
        </w:rPr>
        <w:t xml:space="preserve">PARTIAL].</w:t>
      </w:r>
      <w:r>
        <w:t xml:space="preserve"> </w:t>
      </w:r>
      <w:r>
        <w:rPr>
          <w:iCs/>
          <w:i/>
        </w:rPr>
        <w:t xml:space="preserve">Measures:</w:t>
      </w:r>
      <w:r>
        <w:t xml:space="preserve"> </w:t>
      </w:r>
      <w:r>
        <w:t xml:space="preserve">the pairing of domestic interoperability or</w:t>
      </w:r>
      <w:r>
        <w:t xml:space="preserve"> </w:t>
      </w:r>
      <w:r>
        <w:t xml:space="preserve">portability mandates (opening the stack inward) with export controls</w:t>
      </w:r>
      <w:r>
        <w:t xml:space="preserve"> </w:t>
      </w:r>
      <w:r>
        <w:t xml:space="preserve">on chips, tools and servicing (closing it outward).</w:t>
      </w:r>
      <w:r>
        <w:t xml:space="preserve"> </w:t>
      </w:r>
      <w:r>
        <w:rPr>
          <w:iCs/>
          <w:i/>
        </w:rPr>
        <w:t xml:space="preserve">Baseline:</w:t>
      </w:r>
      <w:r>
        <w:t xml:space="preserve"> </w:t>
      </w:r>
      <w:r>
        <w:t xml:space="preserve">VEU</w:t>
      </w:r>
      <w:r>
        <w:t xml:space="preserve"> </w:t>
      </w:r>
      <w:r>
        <w:t xml:space="preserve">revocation for TSMC/Samsung/SK Hynix; ASML servicing denial (council</w:t>
      </w:r>
      <w:r>
        <w:t xml:space="preserve"> </w:t>
      </w:r>
      <w:r>
        <w:t xml:space="preserve">— [UNVERIFIED — RETRIEVAL]); no federal portability statute.</w:t>
      </w:r>
      <w:r>
        <w:t xml:space="preserve"> </w:t>
      </w:r>
      <w:r>
        <w:rPr>
          <w:iCs/>
          <w:i/>
        </w:rPr>
        <w:t xml:space="preserve">Threshold:</w:t>
      </w:r>
      <w:r>
        <w:t xml:space="preserve"> </w:t>
      </w:r>
      <w:r>
        <w:t xml:space="preserve">both halves present by 2030 = the state licensing the</w:t>
      </w:r>
      <w:r>
        <w:t xml:space="preserve"> </w:t>
      </w:r>
      <w:r>
        <w:t xml:space="preserve">guilds at home while embargoing the foundry abroad — the full Tudor</w:t>
      </w:r>
      <w:r>
        <w:t xml:space="preserve"> </w:t>
      </w:r>
      <w:r>
        <w:t xml:space="preserve">move in the American idiom.</w:t>
      </w:r>
    </w:p>
    <w:p>
      <w:pPr>
        <w:pStyle w:val="BodyText"/>
      </w:pPr>
      <w:r>
        <w:rPr>
          <w:iCs/>
          <w:i/>
        </w:rPr>
        <w:t xml:space="preserve">Scoring rule (draft):</w:t>
      </w:r>
      <w:r>
        <w:t xml:space="preserve"> </w:t>
      </w:r>
      <w:r>
        <w:t xml:space="preserve">CA-6 and CA-2 are the discriminating tests;</w:t>
      </w:r>
      <w:r>
        <w:t xml:space="preserve"> </w:t>
      </w:r>
      <w:r>
        <w:t xml:space="preserve">CA-1, CA-3, CA-5 are the institutional ones; CA-4, CA-7 are the</w:t>
      </w:r>
      <w:r>
        <w:t xml:space="preserve"> </w:t>
      </w:r>
      <w:r>
        <w:t xml:space="preserve">structural ones; CA-8 is the composite. Sub-wager WINS if CA-6 turns</w:t>
      </w:r>
      <w:r>
        <w:t xml:space="preserve"> </w:t>
      </w:r>
      <w:r>
        <w:t xml:space="preserve">and any two of CA-1/3/5 are enacted by 2030; FAILS if CA-6 entrenches</w:t>
      </w:r>
      <w:r>
        <w:t xml:space="preserve"> </w:t>
      </w:r>
      <w:r>
        <w:t xml:space="preserve">and none of CA-1/3/5 is enacted. Everything between is scored</w:t>
      </w:r>
      <w:r>
        <w:t xml:space="preserve"> </w:t>
      </w:r>
      <w:r>
        <w:t xml:space="preserve">partial, with the lag refinement from ch12/standard-oil-offswitch.md</w:t>
      </w:r>
      <w:r>
        <w:t xml:space="preserve"> </w:t>
      </w:r>
      <w:r>
        <w:t xml:space="preserve">§6 in mind: 1911 decoupled first and built the public off-switch over</w:t>
      </w:r>
      <w:r>
        <w:t xml:space="preserve"> </w:t>
      </w:r>
      <w:r>
        <w:t xml:space="preserve">a generation.</w:t>
      </w:r>
    </w:p>
    <w:p>
      <w:r>
        <w:pict>
          <v:rect style="width:0;height:1.5pt" o:hralign="center" o:hrstd="t" o:hr="t"/>
        </w:pict>
      </w:r>
    </w:p>
    <w:p>
      <w:pPr>
        <w:pStyle w:val="FirstParagraph"/>
      </w:pPr>
      <w:r>
        <w:rPr>
          <w:iCs/>
          <w:i/>
        </w:rPr>
        <w:t xml:space="preserve">Seeded from ch06/memo.md (2026-07-22); extended from ch01, ch02, ch05,</w:t>
      </w:r>
      <w:r>
        <w:rPr>
          <w:iCs/>
          <w:i/>
        </w:rPr>
        <w:t xml:space="preserve"> </w:t>
      </w:r>
      <w:r>
        <w:rPr>
          <w:iCs/>
          <w:i/>
        </w:rPr>
        <w:t xml:space="preserve">ch03, ch07, and ch04 memos (2026-07-22); extended from ch08 and ch10</w:t>
      </w:r>
      <w:r>
        <w:rPr>
          <w:iCs/>
          <w:i/>
        </w:rPr>
        <w:t xml:space="preserve"> </w:t>
      </w:r>
      <w:r>
        <w:rPr>
          <w:iCs/>
          <w:i/>
        </w:rPr>
        <w:t xml:space="preserve">memos (2026-07-23); extended from ch11 and ch12 memos and the ch00-intro</w:t>
      </w:r>
      <w:r>
        <w:rPr>
          <w:iCs/>
          <w:i/>
        </w:rPr>
        <w:t xml:space="preserve"> </w:t>
      </w:r>
      <w:r>
        <w:rPr>
          <w:iCs/>
          <w:i/>
        </w:rPr>
        <w:t xml:space="preserve">wager linkage (2026-07-24). To be extended by each subsequent chapter</w:t>
      </w:r>
      <w:r>
        <w:rPr>
          <w:iCs/>
          <w:i/>
        </w:rPr>
        <w:t xml:space="preserve"> </w:t>
      </w:r>
      <w:r>
        <w:rPr>
          <w:iCs/>
          <w:i/>
        </w:rPr>
        <w:t xml:space="preserve">job; assembly per the directive above.</w:t>
      </w:r>
    </w:p>
    <w:bookmarkEnd w:id="46"/>
    <w:bookmarkEnd w:id="47"/>
    <w:bookmarkStart w:id="49" w:name="Xc03bfbaf3a456d02c96bd5ada9e592d2b5b46b6"/>
    <w:p>
      <w:pPr>
        <w:pStyle w:val="Heading1"/>
      </w:pPr>
      <w:r>
        <w:t xml:space="preserve">Part B — Probe documents awaiting acceptance (whole)</w:t>
      </w:r>
    </w:p>
    <w:bookmarkStart w:id="48" w:name="Xdf656de4aa59c04e6e159ee6734edbbacb5794d"/>
    <w:p>
      <w:pPr>
        <w:pStyle w:val="Heading2"/>
      </w:pPr>
      <w:r>
        <w:t xml:space="preserve">B1. ch10/fiscal-settlement.md — the French fiscal settlement (spine §8(a) RESEARCH ORDER)</w:t>
      </w:r>
    </w:p>
    <w:bookmarkEnd w:id="48"/>
    <w:bookmarkEnd w:id="49"/>
    <w:bookmarkStart w:id="61" w:name="X771dc3de87a635cc4afb883b0f8eecb48a72912"/>
    <w:p>
      <w:pPr>
        <w:pStyle w:val="Heading1"/>
      </w:pPr>
      <w:r>
        <w:t xml:space="preserve">The French Fiscal Settlement, 1439–1446 — Evidentiary Probe</w:t>
      </w:r>
    </w:p>
    <w:bookmarkStart w:id="50" w:name="Xe13da43271aa22fac041f694b8f57e6cff6e78f"/>
    <w:p>
      <w:pPr>
        <w:pStyle w:val="Heading2"/>
      </w:pPr>
      <w:r>
        <w:t xml:space="preserve">The Estates of Orléans, the taille, the machinery, the Praguerie, the gradualism</w:t>
      </w:r>
    </w:p>
    <w:p>
      <w:pPr>
        <w:pStyle w:val="FirstParagraph"/>
      </w:pPr>
      <w:r>
        <w:rPr>
          <w:bCs/>
          <w:b/>
        </w:rPr>
        <w:t xml:space="preserve">Companion evidence file to ch10/memo.md (REVIEWED). Compiled</w:t>
      </w:r>
      <w:r>
        <w:rPr>
          <w:bCs/>
          <w:b/>
        </w:rPr>
        <w:t xml:space="preserve"> </w:t>
      </w:r>
      <w:r>
        <w:rPr>
          <w:bCs/>
          <w:b/>
        </w:rPr>
        <w:t xml:space="preserve">2026-09-02 under spine §8(a)’s RESEARCH ORDER. Buff Box standard</w:t>
      </w:r>
      <w:r>
        <w:rPr>
          <w:bCs/>
          <w:b/>
        </w:rPr>
        <w:t xml:space="preserve"> </w:t>
      </w:r>
      <w:r>
        <w:rPr>
          <w:bCs/>
          <w:b/>
        </w:rPr>
        <w:t xml:space="preserve">throughout (CLAUDE.md §§4–5): omission over invention; nothing cited</w:t>
      </w:r>
      <w:r>
        <w:rPr>
          <w:bCs/>
          <w:b/>
        </w:rPr>
        <w:t xml:space="preserve"> </w:t>
      </w:r>
      <w:r>
        <w:rPr>
          <w:bCs/>
          <w:b/>
        </w:rPr>
        <w:t xml:space="preserve">from memory as if consulted; every gated dependency flagged</w:t>
      </w:r>
      <w:r>
        <w:rPr>
          <w:bCs/>
          <w:b/>
        </w:rPr>
        <w:t xml:space="preserve"> </w:t>
      </w:r>
      <w:r>
        <w:rPr>
          <w:bCs/>
          <w:b/>
        </w:rPr>
        <w:t xml:space="preserve">[UNVERIFIED — RETRIEVAL] with the dependent claim named. Primary</w:t>
      </w:r>
      <w:r>
        <w:rPr>
          <w:bCs/>
          <w:b/>
        </w:rPr>
        <w:t xml:space="preserve"> </w:t>
      </w:r>
      <w:r>
        <w:rPr>
          <w:bCs/>
          <w:b/>
        </w:rPr>
        <w:t xml:space="preserve">working source: Contamine,</w:t>
      </w:r>
      <w:r>
        <w:rPr>
          <w:bCs/>
          <w:b/>
        </w:rPr>
        <w:t xml:space="preserve"> </w:t>
      </w:r>
      <w:r>
        <w:rPr>
          <w:iCs/>
          <w:i/>
          <w:bCs/>
          <w:b/>
        </w:rPr>
        <w:t xml:space="preserve">Guerre, État et société à la fin du Moyen</w:t>
      </w:r>
      <w:r>
        <w:rPr>
          <w:iCs/>
          <w:i/>
          <w:bCs/>
          <w:b/>
        </w:rPr>
        <w:t xml:space="preserve"> </w:t>
      </w:r>
      <w:r>
        <w:rPr>
          <w:iCs/>
          <w:i/>
          <w:bCs/>
          <w:b/>
        </w:rPr>
        <w:t xml:space="preserve">Âge</w:t>
      </w:r>
      <w:r>
        <w:rPr>
          <w:bCs/>
          <w:b/>
        </w:rPr>
        <w:t xml:space="preserve"> </w:t>
      </w:r>
      <w:r>
        <w:rPr>
          <w:bCs/>
          <w:b/>
        </w:rPr>
        <w:t xml:space="preserve">(1972; EHESS reprint), Tomes 1–2 IN REPO with OCR sidecars —</w:t>
      </w:r>
      <w:r>
        <w:rPr>
          <w:bCs/>
          <w:b/>
        </w:rPr>
        <w:t xml:space="preserve"> </w:t>
      </w:r>
      <w:r>
        <w:rPr>
          <w:bCs/>
          <w:b/>
        </w:rPr>
        <w:t xml:space="preserve">extraction run this session, verbatim French with OCR line pins.</w:t>
      </w:r>
      <w:r>
        <w:rPr>
          <w:bCs/>
          <w:b/>
        </w:rPr>
        <w:t xml:space="preserve"> </w:t>
      </w:r>
      <w:r>
        <w:rPr>
          <w:bCs/>
          <w:b/>
        </w:rPr>
        <w:t xml:space="preserve">Rogers 1993 and DeVries 1998 in repo. Wolfe, Henneman (2 vols) and</w:t>
      </w:r>
      <w:r>
        <w:rPr>
          <w:bCs/>
          <w:b/>
        </w:rPr>
        <w:t xml:space="preserve"> </w:t>
      </w:r>
      <w:r>
        <w:rPr>
          <w:bCs/>
          <w:b/>
        </w:rPr>
        <w:t xml:space="preserve">Major are GATED (retrieval-master, 2026-09-02 section); the probe</w:t>
      </w:r>
      <w:r>
        <w:rPr>
          <w:bCs/>
          <w:b/>
        </w:rPr>
        <w:t xml:space="preserve"> </w:t>
      </w:r>
      <w:r>
        <w:rPr>
          <w:bCs/>
          <w:b/>
        </w:rPr>
        <w:t xml:space="preserve">records what cannot be closed without them rather than closing it</w:t>
      </w:r>
      <w:r>
        <w:rPr>
          <w:bCs/>
          <w:b/>
        </w:rPr>
        <w:t xml:space="preserve"> </w:t>
      </w:r>
      <w:r>
        <w:rPr>
          <w:bCs/>
          <w:b/>
        </w:rPr>
        <w:t xml:space="preserve">from memory.</w:t>
      </w:r>
    </w:p>
    <w:p>
      <w:pPr>
        <w:pStyle w:val="BodyText"/>
      </w:pPr>
      <w:r>
        <w:rPr>
          <w:bCs/>
          <w:b/>
        </w:rPr>
        <w:t xml:space="preserve">PAGINATION CAVEAT (governs every Contamine pin below and existing</w:t>
      </w:r>
      <w:r>
        <w:rPr>
          <w:bCs/>
          <w:b/>
        </w:rPr>
        <w:t xml:space="preserve"> </w:t>
      </w:r>
      <w:r>
        <w:rPr>
          <w:bCs/>
          <w:b/>
        </w:rPr>
        <w:t xml:space="preserve">memo pins).</w:t>
      </w:r>
      <w:r>
        <w:t xml:space="preserve"> </w:t>
      </w:r>
      <w:r>
        <w:t xml:space="preserve">The OCR sidecars are of the OpenEdition/EHESS reprint;</w:t>
      </w:r>
      <w:r>
        <w:t xml:space="preserve"> </w:t>
      </w:r>
      <w:r>
        <w:t xml:space="preserve">the bare inline page numbers drift against the original print</w:t>
      </w:r>
      <w:r>
        <w:t xml:space="preserve"> </w:t>
      </w:r>
      <w:r>
        <w:t xml:space="preserve">pagination by up to ~8 pages in tome 1 (verified three ways in this</w:t>
      </w:r>
      <w:r>
        <w:t xml:space="preserve"> </w:t>
      </w:r>
      <w:r>
        <w:t xml:space="preserve">session’s extraction: the Bourré note inline</w:t>
      </w:r>
      <w:r>
        <w:t xml:space="preserve"> </w:t>
      </w:r>
      <w:r>
        <w:t xml:space="preserve">“</w:t>
      </w:r>
      <w:r>
        <w:t xml:space="preserve">391</w:t>
      </w:r>
      <w:r>
        <w:t xml:space="preserve">”</w:t>
      </w:r>
      <w:r>
        <w:t xml:space="preserve"> </w:t>
      </w:r>
      <w:r>
        <w:t xml:space="preserve">is index-confirmed</w:t>
      </w:r>
      <w:r>
        <w:t xml:space="preserve"> </w:t>
      </w:r>
      <w:r>
        <w:t xml:space="preserve">print p. 405; the Bessonneau succession inline</w:t>
      </w:r>
      <w:r>
        <w:t xml:space="preserve"> </w:t>
      </w:r>
      <w:r>
        <w:t xml:space="preserve">“</w:t>
      </w:r>
      <w:r>
        <w:t xml:space="preserve">246</w:t>
      </w:r>
      <w:r>
        <w:t xml:space="preserve">”</w:t>
      </w:r>
      <w:r>
        <w:t xml:space="preserve"> </w:t>
      </w:r>
      <w:r>
        <w:t xml:space="preserve">is</w:t>
      </w:r>
      <w:r>
        <w:t xml:space="preserve"> </w:t>
      </w:r>
      <w:r>
        <w:t xml:space="preserve">index-confirmed print p. 238; the canonniers section inline</w:t>
      </w:r>
      <w:r>
        <w:t xml:space="preserve"> </w:t>
      </w:r>
      <w:r>
        <w:t xml:space="preserve">“</w:t>
      </w:r>
      <w:r>
        <w:t xml:space="preserve">290</w:t>
      </w:r>
      <w:r>
        <w:t xml:space="preserve">”</w:t>
      </w:r>
      <w:r>
        <w:t xml:space="preserve"> </w:t>
      </w:r>
      <w:r>
        <w:t xml:space="preserve">is</w:t>
      </w:r>
      <w:r>
        <w:t xml:space="preserve"> </w:t>
      </w:r>
      <w:r>
        <w:t xml:space="preserve">indexed ~297). Reliable pins come from chapter/annexe headings and</w:t>
      </w:r>
      <w:r>
        <w:t xml:space="preserve"> </w:t>
      </w:r>
      <w:r>
        <w:t xml:space="preserve">the tome-2 indexes. Pins below give the OCR line range (authoritative</w:t>
      </w:r>
      <w:r>
        <w:t xml:space="preserve"> </w:t>
      </w:r>
      <w:r>
        <w:t xml:space="preserve">re-find mechanism) plus the print page where index-confirmed, else</w:t>
      </w:r>
      <w:r>
        <w:t xml:space="preserve"> </w:t>
      </w:r>
      <w:r>
        <w:t xml:space="preserve">“</w:t>
      </w:r>
      <w:r>
        <w:t xml:space="preserve">[approx]</w:t>
      </w:r>
      <w:r>
        <w:t xml:space="preserve">”</w:t>
      </w:r>
      <w:r>
        <w:t xml:space="preserve">. Print-image verification before any draft quotation.</w:t>
      </w:r>
    </w:p>
    <w:p>
      <w:r>
        <w:pict>
          <v:rect style="width:0;height:1.5pt" o:hralign="center" o:hrstd="t" o:hr="t"/>
        </w:pict>
      </w:r>
    </w:p>
    <w:bookmarkEnd w:id="50"/>
    <w:bookmarkStart w:id="51" w:name="Xaeeac74165b8057675fa4111288bae06fb83c97"/>
    <w:p>
      <w:pPr>
        <w:pStyle w:val="Heading2"/>
      </w:pPr>
      <w:r>
        <w:t xml:space="preserve">1. What the act of 2 November 1439 actually was</w:t>
      </w:r>
    </w:p>
    <w:p>
      <w:pPr>
        <w:pStyle w:val="FirstParagraph"/>
      </w:pPr>
      <w:r>
        <w:rPr>
          <w:bCs/>
          <w:b/>
        </w:rPr>
        <w:t xml:space="preserve">The verifiable core [T2 — Contamine].</w:t>
      </w:r>
      <w:r>
        <w:t xml:space="preserve"> </w:t>
      </w:r>
      <w:r>
        <w:t xml:space="preserve">Contamine calls the 2</w:t>
      </w:r>
      <w:r>
        <w:t xml:space="preserve"> </w:t>
      </w:r>
      <w:r>
        <w:t xml:space="preserve">November 1439 act</w:t>
      </w:r>
      <w:r>
        <w:t xml:space="preserve"> </w:t>
      </w:r>
      <w:r>
        <w:t xml:space="preserve">“</w:t>
      </w:r>
      <w:r>
        <w:t xml:space="preserve">la grande « pragmatique sanction »</w:t>
      </w:r>
      <w:r>
        <w:t xml:space="preserve">”</w:t>
      </w:r>
      <w:r>
        <w:t xml:space="preserve"> </w:t>
      </w:r>
      <w:r>
        <w:t xml:space="preserve">by which</w:t>
      </w:r>
      <w:r>
        <w:t xml:space="preserve"> </w:t>
      </w:r>
      <w:r>
        <w:t xml:space="preserve">Charles VII</w:t>
      </w:r>
      <w:r>
        <w:t xml:space="preserve"> </w:t>
      </w:r>
      <w:r>
        <w:t xml:space="preserve">“</w:t>
      </w:r>
      <w:r>
        <w:t xml:space="preserve">revendiqu[a]</w:t>
      </w:r>
      <w:r>
        <w:t xml:space="preserve"> </w:t>
      </w:r>
      <w:r>
        <w:rPr>
          <w:bCs/>
          <w:b/>
        </w:rPr>
        <w:t xml:space="preserve">le droit exclusif de lever des troupes</w:t>
      </w:r>
      <w:r>
        <w:t xml:space="preserve">”</w:t>
      </w:r>
      <w:r>
        <w:t xml:space="preserve"> </w:t>
      </w:r>
      <w:r>
        <w:t xml:space="preserve">(t1 OCR ll. 16798–16816, print ~pp. 266–67 [approx]). His one</w:t>
      </w:r>
      <w:r>
        <w:t xml:space="preserve"> </w:t>
      </w:r>
      <w:r>
        <w:t xml:space="preserve">verbatim quotation from the text is the captain-licensing clause: the</w:t>
      </w:r>
      <w:r>
        <w:t xml:space="preserve"> </w:t>
      </w:r>
      <w:r>
        <w:t xml:space="preserve">king</w:t>
      </w:r>
      <w:r>
        <w:t xml:space="preserve"> </w:t>
      </w:r>
      <w:r>
        <w:t xml:space="preserve">“</w:t>
      </w:r>
      <w:r>
        <w:t xml:space="preserve">a ordonné que certain nombre de capitaines de gens d’armes et</w:t>
      </w:r>
      <w:r>
        <w:t xml:space="preserve"> </w:t>
      </w:r>
      <w:r>
        <w:t xml:space="preserve">de traict sera ordonné pour la conduicte de la guerre</w:t>
      </w:r>
      <w:r>
        <w:t xml:space="preserve">”</w:t>
      </w:r>
      <w:r>
        <w:t xml:space="preserve"> </w:t>
      </w:r>
      <w:r>
        <w:t xml:space="preserve">(ch. X fn 2,</w:t>
      </w:r>
      <w:r>
        <w:t xml:space="preserve"> </w:t>
      </w:r>
      <w:r>
        <w:t xml:space="preserve">t1 ll. 19169–73; edition cited:</w:t>
      </w:r>
      <w:r>
        <w:t xml:space="preserve"> </w:t>
      </w:r>
      <w:r>
        <w:rPr>
          <w:iCs/>
          <w:i/>
        </w:rPr>
        <w:t xml:space="preserve">Ordonnances des Roys de France</w:t>
      </w:r>
      <w:r>
        <w:t xml:space="preserve">, t.</w:t>
      </w:r>
      <w:r>
        <w:t xml:space="preserve"> </w:t>
      </w:r>
      <w:r>
        <w:t xml:space="preserve">XIII, pp. 306–313). The diagnosis presented to the Estates at Orléans</w:t>
      </w:r>
      <w:r>
        <w:t xml:space="preserve"> </w:t>
      </w:r>
      <w:r>
        <w:t xml:space="preserve">was Jean Jouvenel des Ursins’s:</w:t>
      </w:r>
      <w:r>
        <w:t xml:space="preserve"> </w:t>
      </w:r>
      <w:r>
        <w:t xml:space="preserve">“</w:t>
      </w:r>
      <w:r>
        <w:t xml:space="preserve">les seigneurs ont levé et mis sus</w:t>
      </w:r>
      <w:r>
        <w:t xml:space="preserve"> </w:t>
      </w:r>
      <w:r>
        <w:t xml:space="preserve">plusieurs gens de guerre… ce sont les rassemblements de troupes</w:t>
      </w:r>
      <w:r>
        <w:t xml:space="preserve"> </w:t>
      </w:r>
      <w:r>
        <w:t xml:space="preserve">opérées par les « seigneurs » — entendons les princes —, qui se</w:t>
      </w:r>
      <w:r>
        <w:t xml:space="preserve"> </w:t>
      </w:r>
      <w:r>
        <w:t xml:space="preserve">trouvent à la racine du mal</w:t>
      </w:r>
      <w:r>
        <w:t xml:space="preserve">”</w:t>
      </w:r>
      <w:r>
        <w:t xml:space="preserve"> </w:t>
      </w:r>
      <w:r>
        <w:t xml:space="preserve">(t1 ll. 16086–94, ~pp. 256–58 [approx]).</w:t>
      </w:r>
      <w:r>
        <w:t xml:space="preserve"> </w:t>
      </w:r>
      <w:r>
        <w:t xml:space="preserve">The 1439–40 implementation failed under princely pressure (</w:t>
      </w:r>
      <w:r>
        <w:t xml:space="preserve">“</w:t>
      </w:r>
      <w:r>
        <w:t xml:space="preserve">sous la</w:t>
      </w:r>
      <w:r>
        <w:t xml:space="preserve"> </w:t>
      </w:r>
      <w:r>
        <w:t xml:space="preserve">pression des princes, au premier rang desquels le duc de Bourbon…</w:t>
      </w:r>
      <w:r>
        <w:t xml:space="preserve"> </w:t>
      </w:r>
      <w:r>
        <w:t xml:space="preserve">cette première tentative concertée et préparée de réforme militaire</w:t>
      </w:r>
      <w:r>
        <w:t xml:space="preserve"> </w:t>
      </w:r>
      <w:r>
        <w:t xml:space="preserve">échoua</w:t>
      </w:r>
      <w:r>
        <w:t xml:space="preserve">”</w:t>
      </w:r>
      <w:r>
        <w:t xml:space="preserve">), but the method was already defined:</w:t>
      </w:r>
      <w:r>
        <w:t xml:space="preserve"> </w:t>
      </w:r>
      <w:r>
        <w:t xml:space="preserve">“</w:t>
      </w:r>
      <w:r>
        <w:t xml:space="preserve">faire dépendre du roi</w:t>
      </w:r>
      <w:r>
        <w:t xml:space="preserve"> </w:t>
      </w:r>
      <w:r>
        <w:t xml:space="preserve">seul, « sans moyen », tous les capitaines, toutes les troupes, de</w:t>
      </w:r>
      <w:r>
        <w:t xml:space="preserve"> </w:t>
      </w:r>
      <w:r>
        <w:t xml:space="preserve">leur assigner une garnison, de procéder à une sélection, de prévoir</w:t>
      </w:r>
      <w:r>
        <w:t xml:space="preserve"> </w:t>
      </w:r>
      <w:r>
        <w:t xml:space="preserve">un payement et un contrôle réguliers</w:t>
      </w:r>
      <w:r>
        <w:t xml:space="preserve">”</w:t>
      </w:r>
      <w:r>
        <w:t xml:space="preserve"> </w:t>
      </w:r>
      <w:r>
        <w:t xml:space="preserve">(t1 ll. 16798–16816).</w:t>
      </w:r>
    </w:p>
    <w:p>
      <w:pPr>
        <w:pStyle w:val="BodyText"/>
      </w:pPr>
      <w:r>
        <w:rPr>
          <w:bCs/>
          <w:b/>
        </w:rPr>
        <w:t xml:space="preserve">The taille question — the probe’s first structural finding.</w:t>
      </w:r>
      <w:r>
        <w:rPr>
          <w:bCs/>
          <w:b/>
        </w:rPr>
        <w:t xml:space="preserve"> </w:t>
      </w:r>
      <w:r>
        <w:rPr>
          <w:bCs/>
          <w:b/>
        </w:rPr>
        <w:t xml:space="preserve">Contamine is SILENT on a 1439 taille grant.</w:t>
      </w:r>
      <w:r>
        <w:t xml:space="preserve"> </w:t>
      </w:r>
      <w:r>
        <w:t xml:space="preserve">Nowhere in either tome</w:t>
      </w:r>
      <w:r>
        <w:t xml:space="preserve"> </w:t>
      </w:r>
      <w:r>
        <w:t xml:space="preserve">does he state that the Estates of Orléans granted the taille,</w:t>
      </w:r>
      <w:r>
        <w:t xml:space="preserve"> </w:t>
      </w:r>
      <w:r>
        <w:t xml:space="preserve">permanent or otherwise;</w:t>
      </w:r>
      <w:r>
        <w:t xml:space="preserve"> </w:t>
      </w:r>
      <w:r>
        <w:t xml:space="preserve">“</w:t>
      </w:r>
      <w:r>
        <w:t xml:space="preserve">taille</w:t>
      </w:r>
      <w:r>
        <w:t xml:space="preserve">”</w:t>
      </w:r>
      <w:r>
        <w:t xml:space="preserve"> </w:t>
      </w:r>
      <w:r>
        <w:t xml:space="preserve">and 1439 never co-occur as</w:t>
      </w:r>
      <w:r>
        <w:t xml:space="preserve"> </w:t>
      </w:r>
      <w:r>
        <w:t xml:space="preserve">grant-language in the monograph; the index has no entry for taille,</w:t>
      </w:r>
      <w:r>
        <w:t xml:space="preserve"> </w:t>
      </w:r>
      <w:r>
        <w:t xml:space="preserve">aides or gabelle. His 1439 is exclusively the troop-monopoly act.</w:t>
      </w:r>
      <w:r>
        <w:t xml:space="preserve"> </w:t>
      </w:r>
      <w:r>
        <w:t xml:space="preserve">The familiar textbook sentence —</w:t>
      </w:r>
      <w:r>
        <w:t xml:space="preserve"> </w:t>
      </w:r>
      <w:r>
        <w:t xml:space="preserve">“</w:t>
      </w:r>
      <w:r>
        <w:t xml:space="preserve">the Estates of Orléans granted the</w:t>
      </w:r>
      <w:r>
        <w:t xml:space="preserve"> </w:t>
      </w:r>
      <w:r>
        <w:t xml:space="preserve">king a permanent taille</w:t>
      </w:r>
      <w:r>
        <w:t xml:space="preserve">”</w:t>
      </w:r>
      <w:r>
        <w:t xml:space="preserve"> </w:t>
      </w:r>
      <w:r>
        <w:t xml:space="preserve">— is therefore carried in this repo only at</w:t>
      </w:r>
      <w:r>
        <w:t xml:space="preserve"> </w:t>
      </w:r>
      <w:r>
        <w:t xml:space="preserve">T3 (ch10 memo §2 cites Britannica-grade tertiary sources), and the</w:t>
      </w:r>
      <w:r>
        <w:t xml:space="preserve"> </w:t>
      </w:r>
      <w:r>
        <w:t xml:space="preserve">question of what the ordonnance’s fiscal articles actually said</w:t>
      </w:r>
      <w:r>
        <w:t xml:space="preserve"> </w:t>
      </w:r>
      <w:r>
        <w:t xml:space="preserve">(including the clause structure on tailles — the tradition that art.</w:t>
      </w:r>
      <w:r>
        <w:t xml:space="preserve"> </w:t>
      </w:r>
      <w:r>
        <w:t xml:space="preserve">44 forbade seigneurial tailles and reserved the levy to the king)</w:t>
      </w:r>
      <w:r>
        <w:t xml:space="preserve"> </w:t>
      </w:r>
      <w:r>
        <w:rPr>
          <w:bCs/>
          <w:b/>
        </w:rPr>
        <w:t xml:space="preserve">cannot currently be verified from anything in repo</w:t>
      </w:r>
      <w:r>
        <w:t xml:space="preserve">:</w:t>
      </w:r>
      <w:r>
        <w:t xml:space="preserve"> </w:t>
      </w:r>
      <w:r>
        <w:t xml:space="preserve">-</w:t>
      </w:r>
      <w:r>
        <w:t xml:space="preserve"> </w:t>
      </w:r>
      <w:r>
        <w:rPr>
          <w:bCs/>
          <w:b/>
        </w:rPr>
        <w:t xml:space="preserve">[UNVERIFIED — RETRIEVAL: the ordonnance text itself.**</w:t>
      </w:r>
      <w:r>
        <w:rPr>
          <w:bCs/>
          <w:b/>
        </w:rPr>
        <w:t xml:space="preserve"> </w:t>
      </w:r>
      <w:r>
        <w:rPr>
          <w:iCs/>
          <w:i/>
          <w:bCs/>
          <w:b/>
        </w:rPr>
        <w:t xml:space="preserve">Ord. des</w:t>
      </w:r>
      <w:r>
        <w:rPr>
          <w:iCs/>
          <w:i/>
          <w:bCs/>
          <w:b/>
        </w:rPr>
        <w:t xml:space="preserve"> </w:t>
      </w:r>
      <w:r>
        <w:rPr>
          <w:iCs/>
          <w:i/>
          <w:bCs/>
          <w:b/>
        </w:rPr>
        <w:t xml:space="preserve">Roys de France</w:t>
      </w:r>
      <w:r>
        <w:rPr>
          <w:bCs/>
          <w:b/>
        </w:rPr>
        <w:t xml:space="preserve"> </w:t>
      </w:r>
      <w:r>
        <w:rPr>
          <w:bCs/>
          <w:b/>
        </w:rPr>
        <w:t xml:space="preserve">t. XIII, pp. 306–313, is OPEN on Gallica</w:t>
      </w:r>
      <w:r>
        <w:rPr>
          <w:bCs/>
          <w:b/>
        </w:rPr>
        <w:t xml:space="preserve"> </w:t>
      </w:r>
      <w:r>
        <w:rPr>
          <w:bCs/>
          <w:b/>
        </w:rPr>
        <w:t xml:space="preserve">(ark:/12148/bpt6k108684h) but the site is bot-blocked — HUMAN PULL;</w:t>
      </w:r>
      <w:r>
        <w:rPr>
          <w:bCs/>
          <w:b/>
        </w:rPr>
        <w:t xml:space="preserve"> </w:t>
      </w:r>
      <w:r>
        <w:rPr>
          <w:bCs/>
          <w:b/>
        </w:rPr>
        <w:t xml:space="preserve">entered on retrieval-master. Dependent claims: every article-level</w:t>
      </w:r>
      <w:r>
        <w:rPr>
          <w:bCs/>
          <w:b/>
        </w:rPr>
        <w:t xml:space="preserve"> </w:t>
      </w:r>
      <w:r>
        <w:rPr>
          <w:bCs/>
          <w:b/>
        </w:rPr>
        <w:t xml:space="preserve">statement about the 1439 text, including any taille clause and the</w:t>
      </w:r>
      <w:r>
        <w:rPr>
          <w:bCs/>
          <w:b/>
        </w:rPr>
        <w:t xml:space="preserve"> </w:t>
      </w:r>
      <w:r>
        <w:rPr>
          <w:bCs/>
          <w:b/>
        </w:rPr>
        <w:t xml:space="preserve">seigneurial-taille ban.]</w:t>
      </w:r>
      <w:r>
        <w:rPr>
          <w:bCs/>
          <w:b/>
        </w:rPr>
        <w:t xml:space="preserve"> </w:t>
      </w:r>
      <w:r>
        <w:rPr>
          <w:bCs/>
          <w:b/>
        </w:rPr>
        <w:t xml:space="preserve">-</w:t>
      </w:r>
      <w:r>
        <w:rPr>
          <w:bCs/>
          <w:b/>
        </w:rPr>
        <w:t xml:space="preserve"> </w:t>
      </w:r>
      <w:r>
        <w:t xml:space="preserve">[UNVERIFIED — RETRIEVAL: Henneman,</w:t>
      </w:r>
      <w:r>
        <w:t xml:space="preserve"> </w:t>
      </w:r>
      <w:r>
        <w:rPr>
          <w:iCs/>
          <w:i/>
        </w:rPr>
        <w:t xml:space="preserve">Royal Taxation in</w:t>
      </w:r>
      <w:r>
        <w:rPr>
          <w:iCs/>
          <w:i/>
        </w:rPr>
        <w:t xml:space="preserve"> </w:t>
      </w:r>
      <w:r>
        <w:rPr>
          <w:iCs/>
          <w:i/>
        </w:rPr>
        <w:t xml:space="preserve">Fourteenth-Century France</w:t>
      </w:r>
      <w:r>
        <w:t xml:space="preserve"> </w:t>
      </w:r>
      <w:r>
        <w:t xml:space="preserve">(context: what the taille and aides were</w:t>
      </w:r>
      <w:r>
        <w:t xml:space="preserve"> </w:t>
      </w:r>
      <w:r>
        <w:t xml:space="preserve">by 1439 and in what legal form they had been levied since the</w:t>
      </w:r>
      <w:r>
        <w:t xml:space="preserve"> </w:t>
      </w:r>
      <w:r>
        <w:t xml:space="preserve">1350s–60s); Major,</w:t>
      </w:r>
      <w:r>
        <w:t xml:space="preserve"> </w:t>
      </w:r>
      <w:r>
        <w:rPr>
          <w:iCs/>
          <w:i/>
        </w:rPr>
        <w:t xml:space="preserve">Representative Government in Early Modern</w:t>
      </w:r>
      <w:r>
        <w:rPr>
          <w:iCs/>
          <w:i/>
        </w:rPr>
        <w:t xml:space="preserve"> </w:t>
      </w:r>
      <w:r>
        <w:rPr>
          <w:iCs/>
          <w:i/>
        </w:rPr>
        <w:t xml:space="preserve">France</w:t>
      </w:r>
      <w:r>
        <w:t xml:space="preserve"> </w:t>
      </w:r>
      <w:r>
        <w:t xml:space="preserve">(the Estates’ politics at Orléans and after); Wolfe,</w:t>
      </w:r>
      <w:r>
        <w:t xml:space="preserve"> </w:t>
      </w:r>
      <w:r>
        <w:rPr>
          <w:iCs/>
          <w:i/>
        </w:rPr>
        <w:t xml:space="preserve">The</w:t>
      </w:r>
      <w:r>
        <w:rPr>
          <w:iCs/>
          <w:i/>
        </w:rPr>
        <w:t xml:space="preserve"> </w:t>
      </w:r>
      <w:r>
        <w:rPr>
          <w:iCs/>
          <w:i/>
        </w:rPr>
        <w:t xml:space="preserve">Fiscal System of Renaissance France</w:t>
      </w:r>
      <w:r>
        <w:t xml:space="preserve"> </w:t>
      </w:r>
      <w:r>
        <w:t xml:space="preserve">(what the 1439 clauses did and</w:t>
      </w:r>
      <w:r>
        <w:t xml:space="preserve"> </w:t>
      </w:r>
      <w:r>
        <w:t xml:space="preserve">what later practice made of them). Dependent claim: the entire</w:t>
      </w:r>
      <w:r>
        <w:t xml:space="preserve"> </w:t>
      </w:r>
      <w:r>
        <w:t xml:space="preserve">“</w:t>
      </w:r>
      <w:r>
        <w:t xml:space="preserve">grant → permanence</w:t>
      </w:r>
      <w:r>
        <w:t xml:space="preserve">”</w:t>
      </w:r>
      <w:r>
        <w:t xml:space="preserve"> </w:t>
      </w:r>
      <w:r>
        <w:t xml:space="preserve">legal question.]**</w:t>
      </w:r>
    </w:p>
    <w:p>
      <w:pPr>
        <w:pStyle w:val="BodyText"/>
      </w:pPr>
      <w:r>
        <w:t xml:space="preserve">What CAN be said now, on Contamine’s authority: whatever the 1439</w:t>
      </w:r>
      <w:r>
        <w:t xml:space="preserve"> </w:t>
      </w:r>
      <w:r>
        <w:t xml:space="preserve">text granted,</w:t>
      </w:r>
      <w:r>
        <w:t xml:space="preserve"> </w:t>
      </w:r>
      <w:r>
        <w:rPr>
          <w:bCs/>
          <w:b/>
        </w:rPr>
        <w:t xml:space="preserve">permanence was made in practice, not at Orléans</w:t>
      </w:r>
      <w:r>
        <w:t xml:space="preserve"> </w:t>
      </w:r>
      <w:r>
        <w:t xml:space="preserve">—</w:t>
      </w:r>
      <w:r>
        <w:t xml:space="preserve"> </w:t>
      </w:r>
      <w:r>
        <w:t xml:space="preserve">see §6 below. The probe therefore treats</w:t>
      </w:r>
      <w:r>
        <w:t xml:space="preserve"> </w:t>
      </w:r>
      <w:r>
        <w:t xml:space="preserve">“</w:t>
      </w:r>
      <w:r>
        <w:t xml:space="preserve">the taille of 1439</w:t>
      </w:r>
      <w:r>
        <w:t xml:space="preserve">”</w:t>
      </w:r>
      <w:r>
        <w:t xml:space="preserve"> </w:t>
      </w:r>
      <w:r>
        <w:t xml:space="preserve">as</w:t>
      </w:r>
      <w:r>
        <w:t xml:space="preserve"> </w:t>
      </w:r>
      <w:r>
        <w:t xml:space="preserve">shorthand for a process running 1439–c. 1451, not as a datable act.</w:t>
      </w:r>
    </w:p>
    <w:p>
      <w:r>
        <w:pict>
          <v:rect style="width:0;height:1.5pt" o:hralign="center" o:hrstd="t" o:hr="t"/>
        </w:pict>
      </w:r>
    </w:p>
    <w:bookmarkEnd w:id="51"/>
    <w:bookmarkStart w:id="52" w:name="Xfad2ef716b4ad974c9c6c0cf977f359df0aa6b3"/>
    <w:p>
      <w:pPr>
        <w:pStyle w:val="Heading2"/>
      </w:pPr>
      <w:r>
        <w:t xml:space="preserve">2. The architecture: aides, taille, gabelle; élus, généraux, généralités</w:t>
      </w:r>
    </w:p>
    <w:p>
      <w:pPr>
        <w:pStyle w:val="FirstParagraph"/>
      </w:pPr>
      <w:r>
        <w:rPr>
          <w:bCs/>
          <w:b/>
        </w:rPr>
        <w:t xml:space="preserve">Second structural finding: the machinery is NOT closable from</w:t>
      </w:r>
      <w:r>
        <w:rPr>
          <w:bCs/>
          <w:b/>
        </w:rPr>
        <w:t xml:space="preserve"> </w:t>
      </w:r>
      <w:r>
        <w:rPr>
          <w:bCs/>
          <w:b/>
        </w:rPr>
        <w:t xml:space="preserve">Contamine.</w:t>
      </w:r>
      <w:r>
        <w:t xml:space="preserve"> </w:t>
      </w:r>
      <w:r>
        <w:t xml:space="preserve">The monograph has no chapter on fiscal administration</w:t>
      </w:r>
      <w:r>
        <w:t xml:space="preserve"> </w:t>
      </w:r>
      <w:r>
        <w:t xml:space="preserve">and no index entries for the three taxes;</w:t>
      </w:r>
      <w:r>
        <w:t xml:space="preserve"> </w:t>
      </w:r>
      <w:r>
        <w:t xml:space="preserve">“</w:t>
      </w:r>
      <w:r>
        <w:t xml:space="preserve">généraux des finances</w:t>
      </w:r>
      <w:r>
        <w:t xml:space="preserve">”</w:t>
      </w:r>
      <w:r>
        <w:t xml:space="preserve"> </w:t>
      </w:r>
      <w:r>
        <w:t xml:space="preserve">does not occur. What it attests is the machinery</w:t>
      </w:r>
      <w:r>
        <w:t xml:space="preserve"> </w:t>
      </w:r>
      <w:r>
        <w:rPr>
          <w:iCs/>
          <w:i/>
        </w:rPr>
        <w:t xml:space="preserve">in use</w:t>
      </w:r>
      <w:r>
        <w:t xml:space="preserve"> </w:t>
      </w:r>
      <w:r>
        <w:t xml:space="preserve">by the</w:t>
      </w:r>
      <w:r>
        <w:t xml:space="preserve"> </w:t>
      </w:r>
      <w:r>
        <w:t xml:space="preserve">army:</w:t>
      </w:r>
    </w:p>
    <w:p>
      <w:pPr>
        <w:numPr>
          <w:ilvl w:val="0"/>
          <w:numId w:val="1004"/>
        </w:numPr>
        <w:pStyle w:val="Compact"/>
      </w:pPr>
      <w:r>
        <w:rPr>
          <w:bCs/>
          <w:b/>
        </w:rPr>
        <w:t xml:space="preserve">Élections as the assessment frame for military levies.</w:t>
      </w:r>
      <w:r>
        <w:t xml:space="preserve"> </w:t>
      </w:r>
      <w:r>
        <w:t xml:space="preserve">Francs-archers were chosen</w:t>
      </w:r>
      <w:r>
        <w:t xml:space="preserve"> </w:t>
      </w:r>
      <w:r>
        <w:t xml:space="preserve">“</w:t>
      </w:r>
      <w:r>
        <w:t xml:space="preserve">dans le cadre de l’élection</w:t>
      </w:r>
      <w:r>
        <w:t xml:space="preserve">”</w:t>
      </w:r>
      <w:r>
        <w:t xml:space="preserve"> </w:t>
      </w:r>
      <w:r>
        <w:t xml:space="preserve">(t1 l.</w:t>
      </w:r>
      <w:r>
        <w:t xml:space="preserve"> </w:t>
      </w:r>
      <w:r>
        <w:t xml:space="preserve">21163); pioneers and carters were</w:t>
      </w:r>
      <w:r>
        <w:t xml:space="preserve"> </w:t>
      </w:r>
      <w:r>
        <w:t xml:space="preserve">“</w:t>
      </w:r>
      <w:r>
        <w:t xml:space="preserve">taxées, dans le cadre financier</w:t>
      </w:r>
      <w:r>
        <w:t xml:space="preserve"> </w:t>
      </w:r>
      <w:r>
        <w:t xml:space="preserve">des élections, à un certain nombre d’hommes et de chevaux</w:t>
      </w:r>
      <w:r>
        <w:t xml:space="preserve">”</w:t>
      </w:r>
      <w:r>
        <w:t xml:space="preserve"> </w:t>
      </w:r>
      <w:r>
        <w:t xml:space="preserve">— for</w:t>
      </w:r>
      <w:r>
        <w:t xml:space="preserve"> </w:t>
      </w:r>
      <w:r>
        <w:t xml:space="preserve">Guyenne 1453, and for Brittany 1489</w:t>
      </w:r>
      <w:r>
        <w:t xml:space="preserve"> </w:t>
      </w:r>
      <w:r>
        <w:t xml:space="preserve">“</w:t>
      </w:r>
      <w:r>
        <w:t xml:space="preserve">on eut recours jusqu’aux</w:t>
      </w:r>
      <w:r>
        <w:t xml:space="preserve"> </w:t>
      </w:r>
      <w:r>
        <w:t xml:space="preserve">élections d’Orléans et de Bourges</w:t>
      </w:r>
      <w:r>
        <w:t xml:space="preserve">”</w:t>
      </w:r>
      <w:r>
        <w:t xml:space="preserve"> </w:t>
      </w:r>
      <w:r>
        <w:t xml:space="preserve">(t1 ll. 18843–52, print ~pp.</w:t>
      </w:r>
      <w:r>
        <w:t xml:space="preserve"> </w:t>
      </w:r>
      <w:r>
        <w:t xml:space="preserve">297–98). Repartition units listed once:</w:t>
      </w:r>
      <w:r>
        <w:t xml:space="preserve"> </w:t>
      </w:r>
      <w:r>
        <w:t xml:space="preserve">“</w:t>
      </w:r>
      <w:r>
        <w:t xml:space="preserve">sénéchaussées, diocèses,</w:t>
      </w:r>
      <w:r>
        <w:t xml:space="preserve"> </w:t>
      </w:r>
      <w:r>
        <w:t xml:space="preserve">élections, voire parties d’élections</w:t>
      </w:r>
      <w:r>
        <w:t xml:space="preserve">”</w:t>
      </w:r>
      <w:r>
        <w:t xml:space="preserve"> </w:t>
      </w:r>
      <w:r>
        <w:t xml:space="preserve">(t1 l. 20296).</w:t>
      </w:r>
    </w:p>
    <w:p>
      <w:pPr>
        <w:numPr>
          <w:ilvl w:val="0"/>
          <w:numId w:val="1004"/>
        </w:numPr>
        <w:pStyle w:val="Compact"/>
      </w:pPr>
      <w:r>
        <w:rPr>
          <w:bCs/>
          <w:b/>
        </w:rPr>
        <w:t xml:space="preserve">The three taxes as boundary-markers of privilege.</w:t>
      </w:r>
      <w:r>
        <w:t xml:space="preserve"> </w:t>
      </w:r>
      <w:r>
        <w:t xml:space="preserve">Franc-archer</w:t>
      </w:r>
      <w:r>
        <w:t xml:space="preserve"> </w:t>
      </w:r>
      <w:r>
        <w:t xml:space="preserve">recruits</w:t>
      </w:r>
      <w:r>
        <w:t xml:space="preserve"> </w:t>
      </w:r>
      <w:r>
        <w:t xml:space="preserve">“</w:t>
      </w:r>
      <w:r>
        <w:t xml:space="preserve">restaient soumises aux aides et à la gabelle…</w:t>
      </w:r>
      <w:r>
        <w:t xml:space="preserve"> </w:t>
      </w:r>
      <w:r>
        <w:t xml:space="preserve">affranchies de la taille, de la taxe des gens d’armes et de</w:t>
      </w:r>
      <w:r>
        <w:t xml:space="preserve"> </w:t>
      </w:r>
      <w:r>
        <w:t xml:space="preserve">l’imposition de guet et garde</w:t>
      </w:r>
      <w:r>
        <w:t xml:space="preserve">”</w:t>
      </w:r>
      <w:r>
        <w:t xml:space="preserve"> </w:t>
      </w:r>
      <w:r>
        <w:t xml:space="preserve">(t1 ll. 21073–81); the 1480s debate</w:t>
      </w:r>
      <w:r>
        <w:t xml:space="preserve"> </w:t>
      </w:r>
      <w:r>
        <w:t xml:space="preserve">on funding infantry from the gabelle foundered partly on nobles</w:t>
      </w:r>
      <w:r>
        <w:t xml:space="preserve"> </w:t>
      </w:r>
      <w:r>
        <w:t xml:space="preserve">being</w:t>
      </w:r>
      <w:r>
        <w:t xml:space="preserve"> </w:t>
      </w:r>
      <w:r>
        <w:t xml:space="preserve">“</w:t>
      </w:r>
      <w:r>
        <w:t xml:space="preserve">exempts de gabelle</w:t>
      </w:r>
      <w:r>
        <w:t xml:space="preserve">”</w:t>
      </w:r>
      <w:r>
        <w:t xml:space="preserve"> </w:t>
      </w:r>
      <w:r>
        <w:t xml:space="preserve">(t1 ll. 21310–14).</w:t>
      </w:r>
    </w:p>
    <w:p>
      <w:pPr>
        <w:numPr>
          <w:ilvl w:val="0"/>
          <w:numId w:val="1004"/>
        </w:numPr>
        <w:pStyle w:val="Compact"/>
      </w:pPr>
      <w:r>
        <w:rPr>
          <w:bCs/>
          <w:b/>
        </w:rPr>
        <w:t xml:space="preserve">Pays d’états in action, not in doctrine.</w:t>
      </w:r>
      <w:r>
        <w:t xml:space="preserve"> </w:t>
      </w:r>
      <w:r>
        <w:t xml:space="preserve">“</w:t>
      </w:r>
      <w:r>
        <w:t xml:space="preserve">Les trois états de</w:t>
      </w:r>
      <w:r>
        <w:t xml:space="preserve"> </w:t>
      </w:r>
      <w:r>
        <w:t xml:space="preserve">Languedoc</w:t>
      </w:r>
      <w:r>
        <w:t xml:space="preserve">”</w:t>
      </w:r>
      <w:r>
        <w:t xml:space="preserve"> </w:t>
      </w:r>
      <w:r>
        <w:t xml:space="preserve">granting aides (t1 ll. 15822–28);</w:t>
      </w:r>
      <w:r>
        <w:t xml:space="preserve"> </w:t>
      </w:r>
      <w:r>
        <w:t xml:space="preserve">“</w:t>
      </w:r>
      <w:r>
        <w:t xml:space="preserve">les états du</w:t>
      </w:r>
      <w:r>
        <w:t xml:space="preserve"> </w:t>
      </w:r>
      <w:r>
        <w:t xml:space="preserve">Rouergue</w:t>
      </w:r>
      <w:r>
        <w:t xml:space="preserve">”</w:t>
      </w:r>
      <w:r>
        <w:t xml:space="preserve"> </w:t>
      </w:r>
      <w:r>
        <w:t xml:space="preserve">ordered to pay the lances monthly (t2 ll. 11980–82);</w:t>
      </w:r>
      <w:r>
        <w:t xml:space="preserve"> </w:t>
      </w:r>
      <w:r>
        <w:t xml:space="preserve">“</w:t>
      </w:r>
      <w:r>
        <w:t xml:space="preserve">généralités dessus et deça les rivières de Seine et Yonne</w:t>
      </w:r>
      <w:r>
        <w:t xml:space="preserve">”</w:t>
      </w:r>
      <w:r>
        <w:t xml:space="preserve"> </w:t>
      </w:r>
      <w:r>
        <w:t xml:space="preserve">once,</w:t>
      </w:r>
      <w:r>
        <w:t xml:space="preserve"> </w:t>
      </w:r>
      <w:r>
        <w:t xml:space="preserve">in a Louis XI infantry scheme (t1 l. 21350).</w:t>
      </w:r>
    </w:p>
    <w:p>
      <w:pPr>
        <w:pStyle w:val="FirstParagraph"/>
      </w:pPr>
      <w:r>
        <w:t xml:space="preserve">The structure the ch10 memo sketches at §2 — élus and élections</w:t>
      </w:r>
      <w:r>
        <w:t xml:space="preserve"> </w:t>
      </w:r>
      <w:r>
        <w:t xml:space="preserve">(inherited from the 1350s) subordinated under four généralités (six</w:t>
      </w:r>
      <w:r>
        <w:t xml:space="preserve"> </w:t>
      </w:r>
      <w:r>
        <w:t xml:space="preserve">by 1484), receveurs below — remains</w:t>
      </w:r>
      <w:r>
        <w:t xml:space="preserve"> </w:t>
      </w:r>
      <w:r>
        <w:rPr>
          <w:bCs/>
          <w:b/>
        </w:rPr>
        <w:t xml:space="preserve">[UNVERIFIED — RETRIEVAL:</w:t>
      </w:r>
      <w:r>
        <w:rPr>
          <w:bCs/>
          <w:b/>
        </w:rPr>
        <w:t xml:space="preserve"> </w:t>
      </w:r>
      <w:r>
        <w:rPr>
          <w:bCs/>
          <w:b/>
        </w:rPr>
        <w:t xml:space="preserve">Wolfe; Henneman vol. 2 for the élus’ fourteenth-century origins;</w:t>
      </w:r>
      <w:r>
        <w:rPr>
          <w:bCs/>
          <w:b/>
        </w:rPr>
        <w:t xml:space="preserve"> </w:t>
      </w:r>
      <w:r>
        <w:rPr>
          <w:bCs/>
          <w:b/>
        </w:rPr>
        <w:t xml:space="preserve">Major for pays d’élection vs pays d’états]</w:t>
      </w:r>
      <w:r>
        <w:t xml:space="preserve">. Nothing in repo can</w:t>
      </w:r>
      <w:r>
        <w:t xml:space="preserve"> </w:t>
      </w:r>
      <w:r>
        <w:t xml:space="preserve">carry it above T3/T4.</w:t>
      </w:r>
    </w:p>
    <w:p>
      <w:r>
        <w:pict>
          <v:rect style="width:0;height:1.5pt" o:hralign="center" o:hrstd="t" o:hr="t"/>
        </w:pict>
      </w:r>
    </w:p>
    <w:bookmarkEnd w:id="52"/>
    <w:bookmarkStart w:id="53" w:name="the-taille-des-lances"/>
    <w:p>
      <w:pPr>
        <w:pStyle w:val="Heading2"/>
      </w:pPr>
      <w:r>
        <w:t xml:space="preserve">3. The taille des lances</w:t>
      </w:r>
    </w:p>
    <w:p>
      <w:pPr>
        <w:pStyle w:val="FirstParagraph"/>
      </w:pPr>
      <w:r>
        <w:rPr>
          <w:bCs/>
          <w:b/>
        </w:rPr>
        <w:t xml:space="preserve">Third finding: the PHRASE</w:t>
      </w:r>
      <w:r>
        <w:rPr>
          <w:bCs/>
          <w:b/>
        </w:rPr>
        <w:t xml:space="preserve"> </w:t>
      </w:r>
      <w:r>
        <w:rPr>
          <w:bCs/>
          <w:b/>
        </w:rPr>
        <w:t xml:space="preserve">“</w:t>
      </w:r>
      <w:r>
        <w:rPr>
          <w:bCs/>
          <w:b/>
        </w:rPr>
        <w:t xml:space="preserve">taille des lances</w:t>
      </w:r>
      <w:r>
        <w:rPr>
          <w:bCs/>
          <w:b/>
        </w:rPr>
        <w:t xml:space="preserve">”</w:t>
      </w:r>
      <w:r>
        <w:rPr>
          <w:bCs/>
          <w:b/>
        </w:rPr>
        <w:t xml:space="preserve"> </w:t>
      </w:r>
      <w:r>
        <w:rPr>
          <w:bCs/>
          <w:b/>
        </w:rPr>
        <w:t xml:space="preserve">does not occur in</w:t>
      </w:r>
      <w:r>
        <w:rPr>
          <w:bCs/>
          <w:b/>
        </w:rPr>
        <w:t xml:space="preserve"> </w:t>
      </w:r>
      <w:r>
        <w:rPr>
          <w:bCs/>
          <w:b/>
        </w:rPr>
        <w:t xml:space="preserve">Contamine 1972</w:t>
      </w:r>
      <w:r>
        <w:t xml:space="preserve"> </w:t>
      </w:r>
      <w:r>
        <w:t xml:space="preserve">(both tomes searched). The council synthesis and</w:t>
      </w:r>
      <w:r>
        <w:t xml:space="preserve"> </w:t>
      </w:r>
      <w:r>
        <w:t xml:space="preserve">the spine use the term; its scholarly carrier must be identified at</w:t>
      </w:r>
      <w:r>
        <w:t xml:space="preserve"> </w:t>
      </w:r>
      <w:r>
        <w:t xml:space="preserve">retrieval</w:t>
      </w:r>
      <w:r>
        <w:t xml:space="preserve"> </w:t>
      </w:r>
      <w:r>
        <w:rPr>
          <w:bCs/>
          <w:b/>
        </w:rPr>
        <w:t xml:space="preserve">[UNVERIFIED — RETRIEVAL: Wolfe / Henneman / the</w:t>
      </w:r>
      <w:r>
        <w:rPr>
          <w:bCs/>
          <w:b/>
        </w:rPr>
        <w:t xml:space="preserve"> </w:t>
      </w:r>
      <w:r>
        <w:rPr>
          <w:bCs/>
          <w:b/>
        </w:rPr>
        <w:t xml:space="preserve">secondary literature the term comes from — do not use the term in a</w:t>
      </w:r>
      <w:r>
        <w:rPr>
          <w:bCs/>
          <w:b/>
        </w:rPr>
        <w:t xml:space="preserve"> </w:t>
      </w:r>
      <w:r>
        <w:rPr>
          <w:bCs/>
          <w:b/>
        </w:rPr>
        <w:t xml:space="preserve">draft with attribution to Contamine]</w:t>
      </w:r>
      <w:r>
        <w:t xml:space="preserve">. The SUBSTANCE — taille</w:t>
      </w:r>
      <w:r>
        <w:t xml:space="preserve"> </w:t>
      </w:r>
      <w:r>
        <w:t xml:space="preserve">receipts earmarked to pay the compagnies — is, however, one of the</w:t>
      </w:r>
      <w:r>
        <w:t xml:space="preserve"> </w:t>
      </w:r>
      <w:r>
        <w:t xml:space="preserve">monograph’s best-documented points:</w:t>
      </w:r>
    </w:p>
    <w:p>
      <w:pPr>
        <w:numPr>
          <w:ilvl w:val="0"/>
          <w:numId w:val="1005"/>
        </w:numPr>
        <w:pStyle w:val="Compact"/>
      </w:pPr>
      <w:r>
        <w:rPr>
          <w:bCs/>
          <w:b/>
        </w:rPr>
        <w:t xml:space="preserve">The predictable-receipts statement [T2, the probe’s most</w:t>
      </w:r>
      <w:r>
        <w:rPr>
          <w:bCs/>
          <w:b/>
        </w:rPr>
        <w:t xml:space="preserve"> </w:t>
      </w:r>
      <w:r>
        <w:rPr>
          <w:bCs/>
          <w:b/>
        </w:rPr>
        <w:t xml:space="preserve">load-bearing extract]:</w:t>
      </w:r>
      <w:r>
        <w:t xml:space="preserve"> </w:t>
      </w:r>
      <w:r>
        <w:t xml:space="preserve">“</w:t>
      </w:r>
      <w:r>
        <w:t xml:space="preserve">Si l’ordonnance du roi fut à cet égard</w:t>
      </w:r>
      <w:r>
        <w:t xml:space="preserve"> </w:t>
      </w:r>
      <w:r>
        <w:t xml:space="preserve">privilégiée, c’est qu’on pouvait prévoir avec une exactitude</w:t>
      </w:r>
      <w:r>
        <w:t xml:space="preserve"> </w:t>
      </w:r>
      <w:r>
        <w:t xml:space="preserve">suffisante, au début de chaque exercice, les recettes nécessaires</w:t>
      </w:r>
      <w:r>
        <w:t xml:space="preserve"> </w:t>
      </w:r>
      <w:r>
        <w:t xml:space="preserve">à l’ordinaire des guerres, dont elle dépendait. En d’autres</w:t>
      </w:r>
      <w:r>
        <w:t xml:space="preserve"> </w:t>
      </w:r>
      <w:r>
        <w:t xml:space="preserve">termes,</w:t>
      </w:r>
      <w:r>
        <w:t xml:space="preserve"> </w:t>
      </w:r>
      <w:r>
        <w:rPr>
          <w:bCs/>
          <w:b/>
        </w:rPr>
        <w:t xml:space="preserve">l’infrastructure financière de l’armée permanente fit</w:t>
      </w:r>
      <w:r>
        <w:rPr>
          <w:bCs/>
          <w:b/>
        </w:rPr>
        <w:t xml:space="preserve"> </w:t>
      </w:r>
      <w:r>
        <w:rPr>
          <w:bCs/>
          <w:b/>
        </w:rPr>
        <w:t xml:space="preserve">preuve, à partir de 1445, d’une incontestable efficacité</w:t>
      </w:r>
      <w:r>
        <w:t xml:space="preserve">”</w:t>
      </w:r>
      <w:r>
        <w:t xml:space="preserve"> </w:t>
      </w:r>
      <w:r>
        <w:t xml:space="preserve">(t2</w:t>
      </w:r>
      <w:r>
        <w:t xml:space="preserve"> </w:t>
      </w:r>
      <w:r>
        <w:t xml:space="preserve">ll. 2902–12, ch. XVI, print pp. 488–530 [~500–02 approx]). Before</w:t>
      </w:r>
      <w:r>
        <w:t xml:space="preserve"> </w:t>
      </w:r>
      <w:r>
        <w:t xml:space="preserve">1444: appatis legalised,</w:t>
      </w:r>
      <w:r>
        <w:t xml:space="preserve"> </w:t>
      </w:r>
      <w:r>
        <w:t xml:space="preserve">“</w:t>
      </w:r>
      <w:r>
        <w:t xml:space="preserve">ni budget, ni prévisions : l’événement</w:t>
      </w:r>
      <w:r>
        <w:t xml:space="preserve"> </w:t>
      </w:r>
      <w:r>
        <w:t xml:space="preserve">immédiat et ses exigences commandaient</w:t>
      </w:r>
      <w:r>
        <w:t xml:space="preserve">”</w:t>
      </w:r>
      <w:r>
        <w:t xml:space="preserve"> </w:t>
      </w:r>
      <w:r>
        <w:t xml:space="preserve">(t1 l. 15863).</w:t>
      </w:r>
    </w:p>
    <w:p>
      <w:pPr>
        <w:numPr>
          <w:ilvl w:val="0"/>
          <w:numId w:val="1005"/>
        </w:numPr>
        <w:pStyle w:val="Compact"/>
      </w:pPr>
      <w:r>
        <w:rPr>
          <w:bCs/>
          <w:b/>
        </w:rPr>
        <w:t xml:space="preserve">District assignment of lances to fiscal circumscriptions</w:t>
      </w:r>
      <w:r>
        <w:t xml:space="preserve"> </w:t>
      </w:r>
      <w:r>
        <w:t xml:space="preserve">(ch.</w:t>
      </w:r>
      <w:r>
        <w:t xml:space="preserve"> </w:t>
      </w:r>
      <w:r>
        <w:t xml:space="preserve">X fn 31, t1 ll. 19290–19335):</w:t>
      </w:r>
      <w:r>
        <w:t xml:space="preserve"> </w:t>
      </w:r>
      <w:r>
        <w:t xml:space="preserve">“</w:t>
      </w:r>
      <w:r>
        <w:t xml:space="preserve">Lances logées (1446–1448)</w:t>
      </w:r>
      <w:r>
        <w:t xml:space="preserve">”</w:t>
      </w:r>
      <w:r>
        <w:t xml:space="preserve"> </w:t>
      </w:r>
      <w:r>
        <w:t xml:space="preserve">per</w:t>
      </w:r>
      <w:r>
        <w:t xml:space="preserve"> </w:t>
      </w:r>
      <w:r>
        <w:t xml:space="preserve">district — élection de Lyon 30, Basse Auvergne 120, Anjou et</w:t>
      </w:r>
      <w:r>
        <w:t xml:space="preserve"> </w:t>
      </w:r>
      <w:r>
        <w:t xml:space="preserve">Maine 140, Poitou 190, Rouergue 80, etc.; 896 lances known for</w:t>
      </w:r>
      <w:r>
        <w:t xml:space="preserve"> </w:t>
      </w:r>
      <w:r>
        <w:t xml:space="preserve">1446–49 (t1 ll. 17838–44). The fiscal weight of a province was a</w:t>
      </w:r>
      <w:r>
        <w:t xml:space="preserve"> </w:t>
      </w:r>
      <w:r>
        <w:t xml:space="preserve">known quantity: ceding Normandy in 1465 would have cost Louis XI</w:t>
      </w:r>
      <w:r>
        <w:t xml:space="preserve"> </w:t>
      </w:r>
      <w:r>
        <w:t xml:space="preserve">“</w:t>
      </w:r>
      <w:r>
        <w:t xml:space="preserve">une province qui fournissait la solde et le logement d’environ</w:t>
      </w:r>
      <w:r>
        <w:t xml:space="preserve"> </w:t>
      </w:r>
      <w:r>
        <w:t xml:space="preserve">600 lances,</w:t>
      </w:r>
      <w:r>
        <w:t xml:space="preserve">”</w:t>
      </w:r>
      <w:r>
        <w:t xml:space="preserve"> </w:t>
      </w:r>
      <w:r>
        <w:t xml:space="preserve">so he</w:t>
      </w:r>
      <w:r>
        <w:t xml:space="preserve"> </w:t>
      </w:r>
      <w:r>
        <w:t xml:space="preserve">“</w:t>
      </w:r>
      <w:r>
        <w:t xml:space="preserve">imposa au Dauphiné, jusqu’alors privilégié,</w:t>
      </w:r>
      <w:r>
        <w:t xml:space="preserve"> </w:t>
      </w:r>
      <w:r>
        <w:t xml:space="preserve">le payement de cent lances fournies</w:t>
      </w:r>
      <w:r>
        <w:t xml:space="preserve">”</w:t>
      </w:r>
      <w:r>
        <w:t xml:space="preserve"> </w:t>
      </w:r>
      <w:r>
        <w:t xml:space="preserve">(t1 ll. 17862–68, ~pp.</w:t>
      </w:r>
      <w:r>
        <w:t xml:space="preserve"> </w:t>
      </w:r>
      <w:r>
        <w:t xml:space="preserve">282–83).</w:t>
      </w:r>
    </w:p>
    <w:p>
      <w:pPr>
        <w:numPr>
          <w:ilvl w:val="0"/>
          <w:numId w:val="1005"/>
        </w:numPr>
        <w:pStyle w:val="Compact"/>
      </w:pPr>
      <w:r>
        <w:rPr>
          <w:bCs/>
          <w:b/>
        </w:rPr>
        <w:t xml:space="preserve">Payment in kind per district, instituted immediately after</w:t>
      </w:r>
      <w:r>
        <w:rPr>
          <w:bCs/>
          <w:b/>
        </w:rPr>
        <w:t xml:space="preserve"> </w:t>
      </w:r>
      <w:r>
        <w:rPr>
          <w:bCs/>
          <w:b/>
        </w:rPr>
        <w:t xml:space="preserve">1445</w:t>
      </w:r>
      <w:r>
        <w:t xml:space="preserve"> </w:t>
      </w:r>
      <w:r>
        <w:t xml:space="preserve">(Annexe IX, print pp. 641–643, t2 ll. 11947–92): Senlis in</w:t>
      </w:r>
      <w:r>
        <w:t xml:space="preserve"> </w:t>
      </w:r>
      <w:r>
        <w:t xml:space="preserve">grain/wine/meat per lance; Auvergne’s</w:t>
      </w:r>
      <w:r>
        <w:t xml:space="preserve"> </w:t>
      </w:r>
      <w:r>
        <w:t xml:space="preserve">“</w:t>
      </w:r>
      <w:r>
        <w:t xml:space="preserve">trois voies</w:t>
      </w:r>
      <w:r>
        <w:t xml:space="preserve">”</w:t>
      </w:r>
      <w:r>
        <w:t xml:space="preserve"> </w:t>
      </w:r>
      <w:r>
        <w:t xml:space="preserve">(full</w:t>
      </w:r>
      <w:r>
        <w:t xml:space="preserve"> </w:t>
      </w:r>
      <w:r>
        <w:t xml:space="preserve">victuals + 9 francs; part-kind + 21 francs; all-cash 31</w:t>
      </w:r>
      <w:r>
        <w:t xml:space="preserve"> </w:t>
      </w:r>
      <w:r>
        <w:t xml:space="preserve">francs/month per lance); Rouergue fixed at 18 l. 7s. 10d.t., then</w:t>
      </w:r>
      <w:r>
        <w:t xml:space="preserve"> </w:t>
      </w:r>
      <w:r>
        <w:t xml:space="preserve">from March 1446</w:t>
      </w:r>
      <w:r>
        <w:t xml:space="preserve"> </w:t>
      </w:r>
      <w:r>
        <w:t xml:space="preserve">“</w:t>
      </w:r>
      <w:r>
        <w:t xml:space="preserve">21 L.t. et… le reste — soit 10 Lt. — en vivres</w:t>
      </w:r>
      <w:r>
        <w:t xml:space="preserve">”</w:t>
      </w:r>
      <w:r>
        <w:t xml:space="preserve">;</w:t>
      </w:r>
      <w:r>
        <w:t xml:space="preserve"> </w:t>
      </w:r>
      <w:r>
        <w:t xml:space="preserve">the in-kind system quickly abandoned by the contribuables. A</w:t>
      </w:r>
      <w:r>
        <w:t xml:space="preserve"> </w:t>
      </w:r>
      <w:r>
        <w:t xml:space="preserve">lance fournie</w:t>
      </w:r>
      <w:r>
        <w:t xml:space="preserve"> </w:t>
      </w:r>
      <w:r>
        <w:t xml:space="preserve">“</w:t>
      </w:r>
      <w:r>
        <w:t xml:space="preserve">touchait 30 livres de gages par mois</w:t>
      </w:r>
      <w:r>
        <w:t xml:space="preserve">”</w:t>
      </w:r>
      <w:r>
        <w:t xml:space="preserve"> </w:t>
      </w:r>
      <w:r>
        <w:t xml:space="preserve">(Reims 1468;</w:t>
      </w:r>
      <w:r>
        <w:t xml:space="preserve"> </w:t>
      </w:r>
      <w:r>
        <w:t xml:space="preserve">t2 ll. 11919–23).</w:t>
      </w:r>
    </w:p>
    <w:p>
      <w:r>
        <w:pict>
          <v:rect style="width:0;height:1.5pt" o:hralign="center" o:hrstd="t" o:hr="t"/>
        </w:pict>
      </w:r>
    </w:p>
    <w:bookmarkEnd w:id="53"/>
    <w:bookmarkStart w:id="54" w:name="Xc9fdab5148ce024a4fea59a5525d5d5889141f3"/>
    <w:p>
      <w:pPr>
        <w:pStyle w:val="Heading2"/>
      </w:pPr>
      <w:r>
        <w:t xml:space="preserve">4. The ordonnance of 1445 and the compagnies’ financing</w:t>
      </w:r>
    </w:p>
    <w:p>
      <w:pPr>
        <w:numPr>
          <w:ilvl w:val="0"/>
          <w:numId w:val="1006"/>
        </w:numPr>
        <w:pStyle w:val="Compact"/>
      </w:pPr>
      <w:r>
        <w:rPr>
          <w:bCs/>
          <w:b/>
        </w:rPr>
        <w:t xml:space="preserve">The founding text is lost</w:t>
      </w:r>
      <w:r>
        <w:t xml:space="preserve"> </w:t>
      </w:r>
      <w:r>
        <w:t xml:space="preserve">(ch10 memo §0.1, confirmed):</w:t>
      </w:r>
      <w:r>
        <w:t xml:space="preserve"> </w:t>
      </w:r>
      <w:r>
        <w:t xml:space="preserve">“</w:t>
      </w:r>
      <w:r>
        <w:t xml:space="preserve">la</w:t>
      </w:r>
      <w:r>
        <w:t xml:space="preserve"> </w:t>
      </w:r>
      <w:r>
        <w:t xml:space="preserve">célèbre ordonnance perdue de 1445, qui énumérait les chefs de</w:t>
      </w:r>
      <w:r>
        <w:t xml:space="preserve"> </w:t>
      </w:r>
      <w:r>
        <w:t xml:space="preserve">guerre retenus par le roi… définissait également la lance fournie</w:t>
      </w:r>
      <w:r>
        <w:t xml:space="preserve"> </w:t>
      </w:r>
      <w:r>
        <w:t xml:space="preserve">ou garnie, composée de six hommes et de six chevaux</w:t>
      </w:r>
      <w:r>
        <w:t xml:space="preserve">”</w:t>
      </w:r>
      <w:r>
        <w:t xml:space="preserve"> </w:t>
      </w:r>
      <w:r>
        <w:t xml:space="preserve">(t1 ll.</w:t>
      </w:r>
      <w:r>
        <w:t xml:space="preserve"> </w:t>
      </w:r>
      <w:r>
        <w:t xml:space="preserve">17715–18); bracketed between the Nancy ordonnance of 9 January</w:t>
      </w:r>
      <w:r>
        <w:t xml:space="preserve"> </w:t>
      </w:r>
      <w:r>
        <w:t xml:space="preserve">1445 (Tuetey) and that of</w:t>
      </w:r>
      <w:r>
        <w:t xml:space="preserve"> </w:t>
      </w:r>
      <w:r>
        <w:rPr>
          <w:bCs/>
          <w:b/>
        </w:rPr>
        <w:t xml:space="preserve">“</w:t>
      </w:r>
      <w:r>
        <w:rPr>
          <w:bCs/>
          <w:b/>
        </w:rPr>
        <w:t xml:space="preserve">Louppy-le-Château,</w:t>
      </w:r>
      <w:r>
        <w:rPr>
          <w:bCs/>
          <w:b/>
        </w:rPr>
        <w:t xml:space="preserve">”</w:t>
      </w:r>
      <w:r>
        <w:rPr>
          <w:bCs/>
          <w:b/>
        </w:rPr>
        <w:t xml:space="preserve"> </w:t>
      </w:r>
      <w:r>
        <w:rPr>
          <w:bCs/>
          <w:b/>
        </w:rPr>
        <w:t xml:space="preserve">26 May 1445</w:t>
      </w:r>
      <w:r>
        <w:t xml:space="preserve"> </w:t>
      </w:r>
      <w:r>
        <w:t xml:space="preserve">(Cosneau,</w:t>
      </w:r>
      <w:r>
        <w:t xml:space="preserve"> </w:t>
      </w:r>
      <w:r>
        <w:rPr>
          <w:iCs/>
          <w:i/>
        </w:rPr>
        <w:t xml:space="preserve">Richemont</w:t>
      </w:r>
      <w:r>
        <w:t xml:space="preserve">, app. LXXXIV, pp. 610–12), the phantom act</w:t>
      </w:r>
      <w:r>
        <w:t xml:space="preserve"> </w:t>
      </w:r>
      <w:r>
        <w:t xml:space="preserve">placed</w:t>
      </w:r>
      <w:r>
        <w:t xml:space="preserve"> </w:t>
      </w:r>
      <w:r>
        <w:t xml:space="preserve">“</w:t>
      </w:r>
      <w:r>
        <w:t xml:space="preserve">fin mars</w:t>
      </w:r>
      <w:r>
        <w:t xml:space="preserve">”</w:t>
      </w:r>
      <w:r>
        <w:t xml:space="preserve"> </w:t>
      </w:r>
      <w:r>
        <w:t xml:space="preserve">(fn 4, t1 ll. 19178–83).</w:t>
      </w:r>
      <w:r>
        <w:t xml:space="preserve"> </w:t>
      </w:r>
      <w:r>
        <w:rPr>
          <w:bCs/>
          <w:b/>
        </w:rPr>
        <w:t xml:space="preserve">Spelling variance</w:t>
      </w:r>
      <w:r>
        <w:rPr>
          <w:bCs/>
          <w:b/>
        </w:rPr>
        <w:t xml:space="preserve"> </w:t>
      </w:r>
      <w:r>
        <w:rPr>
          <w:bCs/>
          <w:b/>
        </w:rPr>
        <w:t xml:space="preserve">flag:</w:t>
      </w:r>
      <w:r>
        <w:t xml:space="preserve"> </w:t>
      </w:r>
      <w:r>
        <w:t xml:space="preserve">Contamine prints</w:t>
      </w:r>
      <w:r>
        <w:t xml:space="preserve"> </w:t>
      </w:r>
      <w:r>
        <w:t xml:space="preserve">“</w:t>
      </w:r>
      <w:r>
        <w:t xml:space="preserve">Louppy-le-Château</w:t>
      </w:r>
      <w:r>
        <w:t xml:space="preserve">”</w:t>
      </w:r>
      <w:r>
        <w:t xml:space="preserve">; the ch10 memo has</w:t>
      </w:r>
      <w:r>
        <w:t xml:space="preserve"> </w:t>
      </w:r>
      <w:r>
        <w:t xml:space="preserve">“</w:t>
      </w:r>
      <w:r>
        <w:t xml:space="preserve">Louppy-le-Châtel</w:t>
      </w:r>
      <w:r>
        <w:t xml:space="preserve">”</w:t>
      </w:r>
      <w:r>
        <w:t xml:space="preserve"> </w:t>
      </w:r>
      <w:r>
        <w:t xml:space="preserve">throughout — check against Cosneau before any</w:t>
      </w:r>
      <w:r>
        <w:t xml:space="preserve"> </w:t>
      </w:r>
      <w:r>
        <w:t xml:space="preserve">draft use.</w:t>
      </w:r>
    </w:p>
    <w:p>
      <w:pPr>
        <w:numPr>
          <w:ilvl w:val="0"/>
          <w:numId w:val="1006"/>
        </w:numPr>
        <w:pStyle w:val="Compact"/>
      </w:pPr>
      <w:r>
        <w:rPr>
          <w:bCs/>
          <w:b/>
        </w:rPr>
        <w:t xml:space="preserve">Establishment:</w:t>
      </w:r>
      <w:r>
        <w:t xml:space="preserve"> </w:t>
      </w:r>
      <w:r>
        <w:t xml:space="preserve">narrative sources give 1,500 lances;</w:t>
      </w:r>
      <w:r>
        <w:t xml:space="preserve"> </w:t>
      </w:r>
      <w:r>
        <w:t xml:space="preserve">“</w:t>
      </w:r>
      <w:r>
        <w:t xml:space="preserve">Thomas</w:t>
      </w:r>
      <w:r>
        <w:t xml:space="preserve"> </w:t>
      </w:r>
      <w:r>
        <w:t xml:space="preserve">Basin précise même qu’elles étaient réparties en quinze compagnies</w:t>
      </w:r>
      <w:r>
        <w:t xml:space="preserve"> </w:t>
      </w:r>
      <w:r>
        <w:t xml:space="preserve">d’égale dimension</w:t>
      </w:r>
      <w:r>
        <w:t xml:space="preserve">”</w:t>
      </w:r>
      <w:r>
        <w:t xml:space="preserve"> </w:t>
      </w:r>
      <w:r>
        <w:t xml:space="preserve">(t1 ll. 17824–27); an unexecuted 1444 project</w:t>
      </w:r>
      <w:r>
        <w:t xml:space="preserve"> </w:t>
      </w:r>
      <w:r>
        <w:t xml:space="preserve">of 13+1 companies/1,400 lances (t1 ll. 17834–38); the actual</w:t>
      </w:r>
      <w:r>
        <w:t xml:space="preserve"> </w:t>
      </w:r>
      <w:r>
        <w:t xml:space="preserve">establishment rose</w:t>
      </w:r>
      <w:r>
        <w:t xml:space="preserve"> </w:t>
      </w:r>
      <w:r>
        <w:t xml:space="preserve">“</w:t>
      </w:r>
      <w:r>
        <w:t xml:space="preserve">à environ 1 800 lances fournies</w:t>
      </w:r>
      <w:r>
        <w:t xml:space="preserve">”</w:t>
      </w:r>
      <w:r>
        <w:t xml:space="preserve"> </w:t>
      </w:r>
      <w:r>
        <w:t xml:space="preserve">(t1 ll.</w:t>
      </w:r>
      <w:r>
        <w:t xml:space="preserve"> </w:t>
      </w:r>
      <w:r>
        <w:t xml:space="preserve">17842–44); the 1461 Raguier account counts 1,729 lances under 34</w:t>
      </w:r>
      <w:r>
        <w:t xml:space="preserve"> </w:t>
      </w:r>
      <w:r>
        <w:t xml:space="preserve">captains (t1 ll. 17853–56).</w:t>
      </w:r>
    </w:p>
    <w:p>
      <w:pPr>
        <w:numPr>
          <w:ilvl w:val="0"/>
          <w:numId w:val="1006"/>
        </w:numPr>
        <w:pStyle w:val="Compact"/>
      </w:pPr>
      <w:r>
        <w:rPr>
          <w:bCs/>
          <w:b/>
        </w:rPr>
        <w:t xml:space="preserve">The reform’s setting:</w:t>
      </w:r>
      <w:r>
        <w:t xml:space="preserve"> </w:t>
      </w:r>
      <w:r>
        <w:t xml:space="preserve">“</w:t>
      </w:r>
      <w:r>
        <w:t xml:space="preserve">Lorsqu’en 1445, mettant à profit les</w:t>
      </w:r>
      <w:r>
        <w:t xml:space="preserve"> </w:t>
      </w:r>
      <w:r>
        <w:t xml:space="preserve">trêves conclues l’année précédente avec les Anglais, l’entourage</w:t>
      </w:r>
      <w:r>
        <w:t xml:space="preserve"> </w:t>
      </w:r>
      <w:r>
        <w:t xml:space="preserve">politique, militaire et financier de Charles VII, réuni à Nancy…</w:t>
      </w:r>
      <w:r>
        <w:t xml:space="preserve"> </w:t>
      </w:r>
      <w:r>
        <w:t xml:space="preserve">entreprit… la réforme de l’armée royale, il jeta les bases d’une</w:t>
      </w:r>
      <w:r>
        <w:t xml:space="preserve"> </w:t>
      </w:r>
      <w:r>
        <w:t xml:space="preserve">organisation nouvelle qui, dans ses grandes lignes, resta</w:t>
      </w:r>
      <w:r>
        <w:t xml:space="preserve"> </w:t>
      </w:r>
      <w:r>
        <w:t xml:space="preserve">inchangée au moins jusqu’au milieu du 16e siècle</w:t>
      </w:r>
      <w:r>
        <w:t xml:space="preserve">”</w:t>
      </w:r>
      <w:r>
        <w:t xml:space="preserve"> </w:t>
      </w:r>
      <w:r>
        <w:t xml:space="preserve">(t1 ll.</w:t>
      </w:r>
      <w:r>
        <w:t xml:space="preserve"> </w:t>
      </w:r>
      <w:r>
        <w:t xml:space="preserve">17680–84, print ~pp. 277–80).</w:t>
      </w:r>
      <w:r>
        <w:t xml:space="preserve"> </w:t>
      </w:r>
      <w:r>
        <w:t xml:space="preserve">“</w:t>
      </w:r>
      <w:r>
        <w:t xml:space="preserve">À partir de 1445, le rôle du</w:t>
      </w:r>
      <w:r>
        <w:t xml:space="preserve"> </w:t>
      </w:r>
      <w:r>
        <w:t xml:space="preserve">trésorier des guerres redevint essentiel</w:t>
      </w:r>
      <w:r>
        <w:t xml:space="preserve">”</w:t>
      </w:r>
      <w:r>
        <w:t xml:space="preserve"> </w:t>
      </w:r>
      <w:r>
        <w:t xml:space="preserve">(t1 ll. 15984–85); one</w:t>
      </w:r>
      <w:r>
        <w:t xml:space="preserve"> </w:t>
      </w:r>
      <w:r>
        <w:t xml:space="preserve">treasurer of wars paid the whole grande ordonnance until Louis XI</w:t>
      </w:r>
      <w:r>
        <w:t xml:space="preserve"> </w:t>
      </w:r>
      <w:r>
        <w:t xml:space="preserve">doubled the office in 1476 (t2 ll. 2914–31).</w:t>
      </w:r>
    </w:p>
    <w:p>
      <w:pPr>
        <w:numPr>
          <w:ilvl w:val="0"/>
          <w:numId w:val="1006"/>
        </w:numPr>
        <w:pStyle w:val="Compact"/>
      </w:pPr>
      <w:r>
        <w:rPr>
          <w:bCs/>
          <w:b/>
        </w:rPr>
        <w:t xml:space="preserve">The 1445 oath as the constitutional instrument:</w:t>
      </w:r>
      <w:r>
        <w:t xml:space="preserve"> </w:t>
      </w:r>
      <w:r>
        <w:t xml:space="preserve">captains swore</w:t>
      </w:r>
      <w:r>
        <w:t xml:space="preserve"> </w:t>
      </w:r>
      <w:r>
        <w:t xml:space="preserve">to serve the king</w:t>
      </w:r>
      <w:r>
        <w:t xml:space="preserve"> </w:t>
      </w:r>
      <w:r>
        <w:t xml:space="preserve">“</w:t>
      </w:r>
      <w:r>
        <w:t xml:space="preserve">envers tous et contre tous, sans nul excepter,</w:t>
      </w:r>
      <w:r>
        <w:t xml:space="preserve"> </w:t>
      </w:r>
      <w:r>
        <w:rPr>
          <w:bCs/>
          <w:b/>
        </w:rPr>
        <w:t xml:space="preserve">soit leur seigneur naturel ou autre quelconque</w:t>
      </w:r>
      <w:r>
        <w:t xml:space="preserve">”</w:t>
      </w:r>
      <w:r>
        <w:t xml:space="preserve"> </w:t>
      </w:r>
      <w:r>
        <w:t xml:space="preserve">(t1 ll.</w:t>
      </w:r>
      <w:r>
        <w:t xml:space="preserve"> </w:t>
      </w:r>
      <w:r>
        <w:t xml:space="preserve">24777–79, ch. XIV) — dissolving the adveu system (</w:t>
      </w:r>
      <w:r>
        <w:t xml:space="preserve">“</w:t>
      </w:r>
      <w:r>
        <w:t xml:space="preserve">tous jours</w:t>
      </w:r>
      <w:r>
        <w:t xml:space="preserve"> </w:t>
      </w:r>
      <w:r>
        <w:t xml:space="preserve">advouoient iceulx capitaines quelque adveu de ung des seigneurs de</w:t>
      </w:r>
      <w:r>
        <w:t xml:space="preserve"> </w:t>
      </w:r>
      <w:r>
        <w:t xml:space="preserve">France,</w:t>
      </w:r>
      <w:r>
        <w:t xml:space="preserve">”</w:t>
      </w:r>
      <w:r>
        <w:t xml:space="preserve"> </w:t>
      </w:r>
      <w:r>
        <w:t xml:space="preserve">t1 ll. 16798–16816) that had wrecked the 1439–40 attempt.</w:t>
      </w:r>
    </w:p>
    <w:p>
      <w:r>
        <w:pict>
          <v:rect style="width:0;height:1.5pt" o:hralign="center" o:hrstd="t" o:hr="t"/>
        </w:pict>
      </w:r>
    </w:p>
    <w:bookmarkEnd w:id="54"/>
    <w:bookmarkStart w:id="55" w:name="X77f915c7b5e9b8c7ed50040da3e832a37651dfd"/>
    <w:p>
      <w:pPr>
        <w:pStyle w:val="Heading2"/>
      </w:pPr>
      <w:r>
        <w:t xml:space="preserve">5. The Praguerie, 1440 — the settlement’s civil war</w:t>
      </w:r>
    </w:p>
    <w:p>
      <w:pPr>
        <w:numPr>
          <w:ilvl w:val="0"/>
          <w:numId w:val="1007"/>
        </w:numPr>
        <w:pStyle w:val="Compact"/>
      </w:pPr>
      <w:r>
        <w:rPr>
          <w:bCs/>
          <w:b/>
        </w:rPr>
        <w:t xml:space="preserve">Its origins are AT the 1439 moment, in Contamine’s own</w:t>
      </w:r>
      <w:r>
        <w:rPr>
          <w:bCs/>
          <w:b/>
        </w:rPr>
        <w:t xml:space="preserve"> </w:t>
      </w:r>
      <w:r>
        <w:rPr>
          <w:bCs/>
          <w:b/>
        </w:rPr>
        <w:t xml:space="preserve">narrative:</w:t>
      </w:r>
      <w:r>
        <w:t xml:space="preserve"> </w:t>
      </w:r>
      <w:r>
        <w:t xml:space="preserve">in February–March 1439 Bourbon</w:t>
      </w:r>
      <w:r>
        <w:t xml:space="preserve"> </w:t>
      </w:r>
      <w:r>
        <w:t xml:space="preserve">“</w:t>
      </w:r>
      <w:r>
        <w:t xml:space="preserve">incita secrètement</w:t>
      </w:r>
      <w:r>
        <w:t xml:space="preserve"> </w:t>
      </w:r>
      <w:r>
        <w:t xml:space="preserve">les Ecorcheurs à désobéir aux ordres royaux… le duc de Bourbon ne</w:t>
      </w:r>
      <w:r>
        <w:t xml:space="preserve"> </w:t>
      </w:r>
      <w:r>
        <w:t xml:space="preserve">se rendit pas à Meaux, mais s’arrêta à Orléans où il trouva</w:t>
      </w:r>
      <w:r>
        <w:t xml:space="preserve"> </w:t>
      </w:r>
      <w:r>
        <w:t xml:space="preserve">Dunois, le maréchal de la Fayette, Jacques de Chabannes et</w:t>
      </w:r>
      <w:r>
        <w:t xml:space="preserve"> </w:t>
      </w:r>
      <w:r>
        <w:t xml:space="preserve">d’autres seigneurs :</w:t>
      </w:r>
      <w:r>
        <w:t xml:space="preserve"> </w:t>
      </w:r>
      <w:r>
        <w:rPr>
          <w:bCs/>
          <w:b/>
        </w:rPr>
        <w:t xml:space="preserve">déjà la Praguerie commençait</w:t>
      </w:r>
      <w:r>
        <w:t xml:space="preserve">”</w:t>
      </w:r>
      <w:r>
        <w:t xml:space="preserve"> </w:t>
      </w:r>
      <w:r>
        <w:t xml:space="preserve">(t1 ll.</w:t>
      </w:r>
      <w:r>
        <w:t xml:space="preserve"> </w:t>
      </w:r>
      <w:r>
        <w:t xml:space="preserve">16693–706, ~pp. 264–65 [approx]). The revolt was against</w:t>
      </w:r>
      <w:r>
        <w:t xml:space="preserve"> </w:t>
      </w:r>
      <w:r>
        <w:t xml:space="preserve">precisely the licensing-and-payment programme — Contamine’s</w:t>
      </w:r>
      <w:r>
        <w:t xml:space="preserve"> </w:t>
      </w:r>
      <w:r>
        <w:t xml:space="preserve">judgment on the whole 1439–45 obstruction: the obstacle was</w:t>
      </w:r>
      <w:r>
        <w:t xml:space="preserve"> </w:t>
      </w:r>
      <w:r>
        <w:t xml:space="preserve">“</w:t>
      </w:r>
      <w:r>
        <w:t xml:space="preserve">moins… le manque d’argent que… l’intervention des grands</w:t>
      </w:r>
      <w:r>
        <w:t xml:space="preserve"> </w:t>
      </w:r>
      <w:r>
        <w:t xml:space="preserve">seigneurs.</w:t>
      </w:r>
      <w:r>
        <w:t xml:space="preserve"> </w:t>
      </w:r>
      <w:r>
        <w:rPr>
          <w:bCs/>
          <w:b/>
        </w:rPr>
        <w:t xml:space="preserve">Crise politique, plus encore qu’économique ou</w:t>
      </w:r>
      <w:r>
        <w:rPr>
          <w:bCs/>
          <w:b/>
        </w:rPr>
        <w:t xml:space="preserve"> </w:t>
      </w:r>
      <w:r>
        <w:rPr>
          <w:bCs/>
          <w:b/>
        </w:rPr>
        <w:t xml:space="preserve">sociale</w:t>
      </w:r>
      <w:r>
        <w:t xml:space="preserve">”</w:t>
      </w:r>
      <w:r>
        <w:t xml:space="preserve"> </w:t>
      </w:r>
      <w:r>
        <w:t xml:space="preserve">(t1 ll. 16807–12).</w:t>
      </w:r>
    </w:p>
    <w:p>
      <w:pPr>
        <w:numPr>
          <w:ilvl w:val="0"/>
          <w:numId w:val="1007"/>
        </w:numPr>
        <w:pStyle w:val="Compact"/>
      </w:pPr>
      <w:r>
        <w:rPr>
          <w:bCs/>
          <w:b/>
        </w:rPr>
        <w:t xml:space="preserve">The constitutional exchange [T2; already partially in memo</w:t>
      </w:r>
      <w:r>
        <w:rPr>
          <w:bCs/>
          <w:b/>
        </w:rPr>
        <w:t xml:space="preserve"> </w:t>
      </w:r>
      <w:r>
        <w:rPr>
          <w:bCs/>
          <w:b/>
        </w:rPr>
        <w:t xml:space="preserve">Revisions 14, whose pin is corrected below]:</w:t>
      </w:r>
      <w:r>
        <w:t xml:space="preserve"> </w:t>
      </w:r>
      <w:r>
        <w:t xml:space="preserve">“</w:t>
      </w:r>
      <w:r>
        <w:t xml:space="preserve">Entre 1440 et</w:t>
      </w:r>
      <w:r>
        <w:t xml:space="preserve"> </w:t>
      </w:r>
      <w:r>
        <w:t xml:space="preserve">1442, lors de la Praguerie,</w:t>
      </w:r>
      <w:r>
        <w:t xml:space="preserve">”</w:t>
      </w:r>
      <w:r>
        <w:t xml:space="preserve"> </w:t>
      </w:r>
      <w:r>
        <w:t xml:space="preserve">the princes (Bourbon, René d’Anjou,</w:t>
      </w:r>
      <w:r>
        <w:t xml:space="preserve"> </w:t>
      </w:r>
      <w:r>
        <w:t xml:space="preserve">Alençon) asked the king to choose</w:t>
      </w:r>
      <w:r>
        <w:t xml:space="preserve"> </w:t>
      </w:r>
      <w:r>
        <w:t xml:space="preserve">“</w:t>
      </w:r>
      <w:r>
        <w:t xml:space="preserve">capitaines convenables et</w:t>
      </w:r>
      <w:r>
        <w:t xml:space="preserve"> </w:t>
      </w:r>
      <w:r>
        <w:t xml:space="preserve">suffisans, tant de ceulx du roy comme de mesdiz seigneurs…</w:t>
      </w:r>
      <w:r>
        <w:t xml:space="preserve"> </w:t>
      </w:r>
      <w:r>
        <w:t xml:space="preserve">proposant ainsi un partage à l’amiable</w:t>
      </w:r>
      <w:r>
        <w:t xml:space="preserve">”</w:t>
      </w:r>
      <w:r>
        <w:t xml:space="preserve">; Charles VII answered</w:t>
      </w:r>
      <w:r>
        <w:t xml:space="preserve"> </w:t>
      </w:r>
      <w:r>
        <w:t xml:space="preserve">“</w:t>
      </w:r>
      <w:r>
        <w:t xml:space="preserve">que « toute la guerre du royaume appartient au roy et a ses</w:t>
      </w:r>
      <w:r>
        <w:t xml:space="preserve"> </w:t>
      </w:r>
      <w:r>
        <w:t xml:space="preserve">officiers, et non a autre, et n’est nul si grant audit royaume</w:t>
      </w:r>
      <w:r>
        <w:t xml:space="preserve"> </w:t>
      </w:r>
      <w:r>
        <w:t xml:space="preserve">qui puisse ou doive mouvoir guerre ne tenir gens d’armes en</w:t>
      </w:r>
      <w:r>
        <w:t xml:space="preserve"> </w:t>
      </w:r>
      <w:r>
        <w:t xml:space="preserve">icelluy sans l’auctorité, commission et mandement du roy »…</w:t>
      </w:r>
      <w:r>
        <w:t xml:space="preserve"> </w:t>
      </w:r>
      <w:r>
        <w:rPr>
          <w:bCs/>
          <w:b/>
        </w:rPr>
        <w:t xml:space="preserve">Mais il n’avait pu imposer ses vues. En 1445 au contraire, la</w:t>
      </w:r>
      <w:r>
        <w:rPr>
          <w:bCs/>
          <w:b/>
        </w:rPr>
        <w:t xml:space="preserve"> </w:t>
      </w:r>
      <w:r>
        <w:rPr>
          <w:bCs/>
          <w:b/>
        </w:rPr>
        <w:t xml:space="preserve">monarchie sortait victorieuse de ce conflit</w:t>
      </w:r>
      <w:r>
        <w:t xml:space="preserve">”</w:t>
      </w:r>
      <w:r>
        <w:t xml:space="preserve"> </w:t>
      </w:r>
      <w:r>
        <w:t xml:space="preserve">(t1 ll. 24786–807,</w:t>
      </w:r>
      <w:r>
        <w:t xml:space="preserve"> </w:t>
      </w:r>
      <w:r>
        <w:t xml:space="preserve">ch. XIV, print ~pp. 402–03; the adjacent Bourré note is</w:t>
      </w:r>
      <w:r>
        <w:t xml:space="preserve"> </w:t>
      </w:r>
      <w:r>
        <w:t xml:space="preserve">index-confirmed print p. 405).</w:t>
      </w:r>
      <w:r>
        <w:t xml:space="preserve"> </w:t>
      </w:r>
      <w:r>
        <w:rPr>
          <w:bCs/>
          <w:b/>
        </w:rPr>
        <w:t xml:space="preserve">Pin correction:</w:t>
      </w:r>
      <w:r>
        <w:t xml:space="preserve"> </w:t>
      </w:r>
      <w:r>
        <w:t xml:space="preserve">ch10 memo</w:t>
      </w:r>
      <w:r>
        <w:t xml:space="preserve"> </w:t>
      </w:r>
      <w:r>
        <w:t xml:space="preserve">Revisions 14 places this passage at</w:t>
      </w:r>
      <w:r>
        <w:t xml:space="preserve"> </w:t>
      </w:r>
      <w:r>
        <w:t xml:space="preserve">“</w:t>
      </w:r>
      <w:r>
        <w:t xml:space="preserve">T1 ~pp. 267–68</w:t>
      </w:r>
      <w:r>
        <w:t xml:space="preserve">”</w:t>
      </w:r>
      <w:r>
        <w:t xml:space="preserve"> </w:t>
      </w:r>
      <w:r>
        <w:t xml:space="preserve">— an</w:t>
      </w:r>
      <w:r>
        <w:t xml:space="preserve"> </w:t>
      </w:r>
      <w:r>
        <w:t xml:space="preserve">artefact of the reprint’s drifting inline markers; it sits in ch.</w:t>
      </w:r>
      <w:r>
        <w:t xml:space="preserve"> </w:t>
      </w:r>
      <w:r>
        <w:t xml:space="preserve">XIV (print pp. 399–450).</w:t>
      </w:r>
    </w:p>
    <w:p>
      <w:pPr>
        <w:numPr>
          <w:ilvl w:val="0"/>
          <w:numId w:val="1007"/>
        </w:numPr>
        <w:pStyle w:val="Compact"/>
      </w:pPr>
      <w:r>
        <w:rPr>
          <w:bCs/>
          <w:b/>
        </w:rPr>
        <w:t xml:space="preserve">Date-range flag:</w:t>
      </w:r>
      <w:r>
        <w:t xml:space="preserve"> </w:t>
      </w:r>
      <w:r>
        <w:t xml:space="preserve">Contamine writes</w:t>
      </w:r>
      <w:r>
        <w:t xml:space="preserve"> </w:t>
      </w:r>
      <w:r>
        <w:t xml:space="preserve">“</w:t>
      </w:r>
      <w:r>
        <w:t xml:space="preserve">entre 1440 et 1442</w:t>
      </w:r>
      <w:r>
        <w:t xml:space="preserve">”</w:t>
      </w:r>
      <w:r>
        <w:t xml:space="preserve"> </w:t>
      </w:r>
      <w:r>
        <w:t xml:space="preserve">—</w:t>
      </w:r>
      <w:r>
        <w:t xml:space="preserve"> </w:t>
      </w:r>
      <w:r>
        <w:t xml:space="preserve">wider than the memo §2’s</w:t>
      </w:r>
      <w:r>
        <w:t xml:space="preserve"> </w:t>
      </w:r>
      <w:r>
        <w:t xml:space="preserve">“</w:t>
      </w:r>
      <w:r>
        <w:t xml:space="preserve">February–July 1440.</w:t>
      </w:r>
      <w:r>
        <w:t xml:space="preserve">”</w:t>
      </w:r>
    </w:p>
    <w:p>
      <w:pPr>
        <w:numPr>
          <w:ilvl w:val="0"/>
          <w:numId w:val="1007"/>
        </w:numPr>
        <w:pStyle w:val="Compact"/>
      </w:pPr>
      <w:r>
        <w:rPr>
          <w:bCs/>
          <w:b/>
        </w:rPr>
        <w:t xml:space="preserve">NOT in Contamine:</w:t>
      </w:r>
      <w:r>
        <w:t xml:space="preserve"> </w:t>
      </w:r>
      <w:r>
        <w:t xml:space="preserve">the revolt’s military course, Richemont’s</w:t>
      </w:r>
      <w:r>
        <w:t xml:space="preserve"> </w:t>
      </w:r>
      <w:r>
        <w:t xml:space="preserve">campaign, the settlement at Cusset, the dauphin’s role. The memo’s</w:t>
      </w:r>
      <w:r>
        <w:t xml:space="preserve"> </w:t>
      </w:r>
      <w:r>
        <w:t xml:space="preserve">narrative (</w:t>
      </w:r>
      <w:r>
        <w:t xml:space="preserve">“</w:t>
      </w:r>
      <w:r>
        <w:t xml:space="preserve">outgeneraled by Richemont, settled at Cusset on</w:t>
      </w:r>
      <w:r>
        <w:t xml:space="preserve"> </w:t>
      </w:r>
      <w:r>
        <w:t xml:space="preserve">generous terms</w:t>
      </w:r>
      <w:r>
        <w:t xml:space="preserve">”</w:t>
      </w:r>
      <w:r>
        <w:t xml:space="preserve">) keeps its T3 sourcing —</w:t>
      </w:r>
      <w:r>
        <w:t xml:space="preserve"> </w:t>
      </w:r>
      <w:r>
        <w:rPr>
          <w:bCs/>
          <w:b/>
        </w:rPr>
        <w:t xml:space="preserve">[UNVERIFIED —</w:t>
      </w:r>
      <w:r>
        <w:rPr>
          <w:bCs/>
          <w:b/>
        </w:rPr>
        <w:t xml:space="preserve"> </w:t>
      </w:r>
      <w:r>
        <w:rPr>
          <w:bCs/>
          <w:b/>
        </w:rPr>
        <w:t xml:space="preserve">RETRIEVAL: a T2 carrier for the Praguerie’s course — Vale,</w:t>
      </w:r>
      <w:r>
        <w:rPr>
          <w:bCs/>
          <w:b/>
        </w:rPr>
        <w:t xml:space="preserve"> </w:t>
      </w:r>
      <w:r>
        <w:rPr>
          <w:iCs/>
          <w:i/>
          <w:bCs/>
          <w:b/>
        </w:rPr>
        <w:t xml:space="preserve">Charles VII</w:t>
      </w:r>
      <w:r>
        <w:rPr>
          <w:bCs/>
          <w:b/>
        </w:rPr>
        <w:t xml:space="preserve">, or Gaussin — to be identified; add to the next</w:t>
      </w:r>
      <w:r>
        <w:rPr>
          <w:bCs/>
          <w:b/>
        </w:rPr>
        <w:t xml:space="preserve"> </w:t>
      </w:r>
      <w:r>
        <w:rPr>
          <w:bCs/>
          <w:b/>
        </w:rPr>
        <w:t xml:space="preserve">retrieval pass if the draft needs the narrative]</w:t>
      </w:r>
      <w:r>
        <w:t xml:space="preserve">.</w:t>
      </w:r>
    </w:p>
    <w:p>
      <w:r>
        <w:pict>
          <v:rect style="width:0;height:1.5pt" o:hralign="center" o:hrstd="t" o:hr="t"/>
        </w:pict>
      </w:r>
    </w:p>
    <w:bookmarkEnd w:id="55"/>
    <w:bookmarkStart w:id="56" w:name="Xd8bd9a627c4d5134a45dd6520c2e80b8adc744e"/>
    <w:p>
      <w:pPr>
        <w:pStyle w:val="Heading2"/>
      </w:pPr>
      <w:r>
        <w:t xml:space="preserve">6.</w:t>
      </w:r>
      <w:r>
        <w:t xml:space="preserve"> </w:t>
      </w:r>
      <w:r>
        <w:t xml:space="preserve">“</w:t>
      </w:r>
      <w:r>
        <w:t xml:space="preserve">Jusqu’à la conclusion de la paix</w:t>
      </w:r>
      <w:r>
        <w:t xml:space="preserve">”</w:t>
      </w:r>
      <w:r>
        <w:t xml:space="preserve"> </w:t>
      </w:r>
      <w:r>
        <w:t xml:space="preserve">— permanence made by practice</w:t>
      </w:r>
    </w:p>
    <w:p>
      <w:pPr>
        <w:numPr>
          <w:ilvl w:val="0"/>
          <w:numId w:val="1008"/>
        </w:numPr>
        <w:pStyle w:val="Compact"/>
      </w:pPr>
      <w:r>
        <w:rPr>
          <w:bCs/>
          <w:b/>
        </w:rPr>
        <w:t xml:space="preserve">The dated act:</w:t>
      </w:r>
      <w:r>
        <w:t xml:space="preserve"> </w:t>
      </w:r>
      <w:r>
        <w:t xml:space="preserve">“</w:t>
      </w:r>
      <w:r>
        <w:t xml:space="preserve">un acte royal, en date du</w:t>
      </w:r>
      <w:r>
        <w:t xml:space="preserve"> </w:t>
      </w:r>
      <w:r>
        <w:rPr>
          <w:bCs/>
          <w:b/>
        </w:rPr>
        <w:t xml:space="preserve">25 avril 1446</w:t>
      </w:r>
      <w:r>
        <w:t xml:space="preserve">,</w:t>
      </w:r>
      <w:r>
        <w:t xml:space="preserve"> </w:t>
      </w:r>
      <w:r>
        <w:t xml:space="preserve">évoque la nécessité d’entretenir,</w:t>
      </w:r>
      <w:r>
        <w:t xml:space="preserve"> </w:t>
      </w:r>
      <w:r>
        <w:rPr>
          <w:bCs/>
          <w:b/>
        </w:rPr>
        <w:t xml:space="preserve">jusqu’à la conclusion de la</w:t>
      </w:r>
      <w:r>
        <w:rPr>
          <w:bCs/>
          <w:b/>
        </w:rPr>
        <w:t xml:space="preserve"> </w:t>
      </w:r>
      <w:r>
        <w:rPr>
          <w:bCs/>
          <w:b/>
        </w:rPr>
        <w:t xml:space="preserve">paix</w:t>
      </w:r>
      <w:r>
        <w:t xml:space="preserve">, 1 500 lances pour la Languedoïl et 500 pour la Languedoc,</w:t>
      </w:r>
      <w:r>
        <w:t xml:space="preserve"> </w:t>
      </w:r>
      <w:r>
        <w:t xml:space="preserve">sans compter les troupes établies aux frontières de Normandie et</w:t>
      </w:r>
      <w:r>
        <w:t xml:space="preserve"> </w:t>
      </w:r>
      <w:r>
        <w:t xml:space="preserve">de Guienne</w:t>
      </w:r>
      <w:r>
        <w:t xml:space="preserve">”</w:t>
      </w:r>
      <w:r>
        <w:t xml:space="preserve"> </w:t>
      </w:r>
      <w:r>
        <w:t xml:space="preserve">(t1 ll. 17831–34, print ~p. 282; source</w:t>
      </w:r>
      <w:r>
        <w:t xml:space="preserve"> </w:t>
      </w:r>
      <w:r>
        <w:rPr>
          <w:iCs/>
          <w:i/>
        </w:rPr>
        <w:t xml:space="preserve">Hist.</w:t>
      </w:r>
      <w:r>
        <w:rPr>
          <w:iCs/>
          <w:i/>
        </w:rPr>
        <w:t xml:space="preserve"> </w:t>
      </w:r>
      <w:r>
        <w:rPr>
          <w:iCs/>
          <w:i/>
        </w:rPr>
        <w:t xml:space="preserve">Languedoc</w:t>
      </w:r>
      <w:r>
        <w:t xml:space="preserve"> </w:t>
      </w:r>
      <w:r>
        <w:t xml:space="preserve">t. XII, col. 9–12).</w:t>
      </w:r>
    </w:p>
    <w:p>
      <w:pPr>
        <w:numPr>
          <w:ilvl w:val="0"/>
          <w:numId w:val="1008"/>
        </w:numPr>
        <w:pStyle w:val="Compact"/>
      </w:pPr>
      <w:r>
        <w:rPr>
          <w:bCs/>
          <w:b/>
        </w:rPr>
        <w:t xml:space="preserve">Provisional in name, definitive in intent:</w:t>
      </w:r>
      <w:r>
        <w:t xml:space="preserve"> </w:t>
      </w:r>
      <w:r>
        <w:t xml:space="preserve">“</w:t>
      </w:r>
      <w:r>
        <w:t xml:space="preserve">pas un instant, il</w:t>
      </w:r>
      <w:r>
        <w:t xml:space="preserve"> </w:t>
      </w:r>
      <w:r>
        <w:t xml:space="preserve">ne fut question… de supprimer l’ordonnance du roi ; si, au moment</w:t>
      </w:r>
      <w:r>
        <w:t xml:space="preserve"> </w:t>
      </w:r>
      <w:r>
        <w:t xml:space="preserve">de sa création,</w:t>
      </w:r>
      <w:r>
        <w:t xml:space="preserve"> </w:t>
      </w:r>
      <w:r>
        <w:rPr>
          <w:bCs/>
          <w:b/>
        </w:rPr>
        <w:t xml:space="preserve">on avait tenu à faire croire aux contribuables</w:t>
      </w:r>
      <w:r>
        <w:rPr>
          <w:bCs/>
          <w:b/>
        </w:rPr>
        <w:t xml:space="preserve"> </w:t>
      </w:r>
      <w:r>
        <w:rPr>
          <w:bCs/>
          <w:b/>
        </w:rPr>
        <w:t xml:space="preserve">que c’était là une mesure toute provisoire</w:t>
      </w:r>
      <w:r>
        <w:t xml:space="preserve">, en fait… elle avait</w:t>
      </w:r>
      <w:r>
        <w:t xml:space="preserve"> </w:t>
      </w:r>
      <w:r>
        <w:t xml:space="preserve">bien dès cette époque, dans l’esprit des conseillers de la</w:t>
      </w:r>
      <w:r>
        <w:t xml:space="preserve"> </w:t>
      </w:r>
      <w:r>
        <w:t xml:space="preserve">monarchie,</w:t>
      </w:r>
      <w:r>
        <w:t xml:space="preserve"> </w:t>
      </w:r>
      <w:r>
        <w:rPr>
          <w:bCs/>
          <w:b/>
        </w:rPr>
        <w:t xml:space="preserve">un caractère quasi définitif</w:t>
      </w:r>
      <w:r>
        <w:t xml:space="preserve">”</w:t>
      </w:r>
      <w:r>
        <w:t xml:space="preserve"> </w:t>
      </w:r>
      <w:r>
        <w:t xml:space="preserve">(t1 ll. 17848–53,</w:t>
      </w:r>
      <w:r>
        <w:t xml:space="preserve"> </w:t>
      </w:r>
      <w:r>
        <w:t xml:space="preserve">~p. 282).</w:t>
      </w:r>
    </w:p>
    <w:p>
      <w:pPr>
        <w:numPr>
          <w:ilvl w:val="0"/>
          <w:numId w:val="1008"/>
        </w:numPr>
        <w:pStyle w:val="Compact"/>
      </w:pPr>
      <w:r>
        <w:rPr>
          <w:bCs/>
          <w:b/>
        </w:rPr>
        <w:t xml:space="preserve">Contamine’s general law of the mechanism:</w:t>
      </w:r>
      <w:r>
        <w:t xml:space="preserve"> </w:t>
      </w:r>
      <w:r>
        <w:t xml:space="preserve">“</w:t>
      </w:r>
      <w:r>
        <w:t xml:space="preserve">L’extraordinaire</w:t>
      </w:r>
      <w:r>
        <w:t xml:space="preserve"> </w:t>
      </w:r>
      <w:r>
        <w:t xml:space="preserve">des guerres désigne des dépenses impromptues ou qu’on juge</w:t>
      </w:r>
      <w:r>
        <w:t xml:space="preserve"> </w:t>
      </w:r>
      <w:r>
        <w:t xml:space="preserve">accidentelles.</w:t>
      </w:r>
      <w:r>
        <w:t xml:space="preserve"> </w:t>
      </w:r>
      <w:r>
        <w:rPr>
          <w:bCs/>
          <w:b/>
        </w:rPr>
        <w:t xml:space="preserve">Mais si l’accidentel se prolonge, si l’impromptu</w:t>
      </w:r>
      <w:r>
        <w:rPr>
          <w:bCs/>
          <w:b/>
        </w:rPr>
        <w:t xml:space="preserve"> </w:t>
      </w:r>
      <w:r>
        <w:rPr>
          <w:bCs/>
          <w:b/>
        </w:rPr>
        <w:t xml:space="preserve">devient prévisible, on peut et on doit en prévoir le financement</w:t>
      </w:r>
      <w:r>
        <w:rPr>
          <w:bCs/>
          <w:b/>
        </w:rPr>
        <w:t xml:space="preserve"> </w:t>
      </w:r>
      <w:r>
        <w:rPr>
          <w:bCs/>
          <w:b/>
        </w:rPr>
        <w:t xml:space="preserve">régulier et l’extraordinaire se mue alors en ordinaire</w:t>
      </w:r>
      <w:r>
        <w:t xml:space="preserve">”</w:t>
      </w:r>
      <w:r>
        <w:t xml:space="preserve"> </w:t>
      </w:r>
      <w:r>
        <w:t xml:space="preserve">(ch. X</w:t>
      </w:r>
      <w:r>
        <w:t xml:space="preserve"> </w:t>
      </w:r>
      <w:r>
        <w:t xml:space="preserve">fn 1, t1 ll. 19161–67).</w:t>
      </w:r>
    </w:p>
    <w:p>
      <w:pPr>
        <w:numPr>
          <w:ilvl w:val="0"/>
          <w:numId w:val="1008"/>
        </w:numPr>
        <w:pStyle w:val="Compact"/>
      </w:pPr>
      <w:r>
        <w:rPr>
          <w:bCs/>
          <w:b/>
        </w:rPr>
        <w:t xml:space="preserve">The pattern repeats:</w:t>
      </w:r>
      <w:r>
        <w:t xml:space="preserve"> </w:t>
      </w:r>
      <w:r>
        <w:t xml:space="preserve">peace of Arras 1482</w:t>
      </w:r>
      <w:r>
        <w:t xml:space="preserve"> </w:t>
      </w:r>
      <w:r>
        <w:t xml:space="preserve">“</w:t>
      </w:r>
      <w:r>
        <w:t xml:space="preserve">n’avait pas été</w:t>
      </w:r>
      <w:r>
        <w:t xml:space="preserve"> </w:t>
      </w:r>
      <w:r>
        <w:t xml:space="preserve">suivie de la moindre diminution des effectifs de l’infanterie</w:t>
      </w:r>
      <w:r>
        <w:t xml:space="preserve">”</w:t>
      </w:r>
      <w:r>
        <w:t xml:space="preserve"> </w:t>
      </w:r>
      <w:r>
        <w:t xml:space="preserve">(t1 ll. 18482–84); the contemporaries’ grievance —</w:t>
      </w:r>
      <w:r>
        <w:t xml:space="preserve"> </w:t>
      </w:r>
      <w:r>
        <w:t xml:space="preserve">“</w:t>
      </w:r>
      <w:r>
        <w:t xml:space="preserve">Ce qui fait</w:t>
      </w:r>
      <w:r>
        <w:t xml:space="preserve"> </w:t>
      </w:r>
      <w:r>
        <w:t xml:space="preserve">problème, voire scandale… c’est que les tailles, les « aides</w:t>
      </w:r>
      <w:r>
        <w:t xml:space="preserve"> </w:t>
      </w:r>
      <w:r>
        <w:t xml:space="preserve">ordonnées pour la guerre », ne soient pas entièrement consacrées</w:t>
      </w:r>
      <w:r>
        <w:t xml:space="preserve"> </w:t>
      </w:r>
      <w:r>
        <w:t xml:space="preserve">à la sécurité du royaume</w:t>
      </w:r>
      <w:r>
        <w:t xml:space="preserve">”</w:t>
      </w:r>
      <w:r>
        <w:t xml:space="preserve"> </w:t>
      </w:r>
      <w:r>
        <w:t xml:space="preserve">(t2 ll. 5264–67, Conclusion); the 1484</w:t>
      </w:r>
      <w:r>
        <w:t xml:space="preserve"> </w:t>
      </w:r>
      <w:r>
        <w:t xml:space="preserve">Estates of Tours forced Charles VIII’s infantry funding back to</w:t>
      </w:r>
      <w:r>
        <w:t xml:space="preserve"> </w:t>
      </w:r>
      <w:r>
        <w:t xml:space="preserve">“</w:t>
      </w:r>
      <w:r>
        <w:t xml:space="preserve">la forme traditionnelle de levées temporaires</w:t>
      </w:r>
      <w:r>
        <w:t xml:space="preserve">”</w:t>
      </w:r>
      <w:r>
        <w:t xml:space="preserve"> </w:t>
      </w:r>
      <w:r>
        <w:t xml:space="preserve">(t1 ll.</w:t>
      </w:r>
      <w:r>
        <w:t xml:space="preserve"> </w:t>
      </w:r>
      <w:r>
        <w:t xml:space="preserve">18488–95) — the control experiment the memo §2 already carries.</w:t>
      </w:r>
    </w:p>
    <w:p>
      <w:r>
        <w:pict>
          <v:rect style="width:0;height:1.5pt" o:hralign="center" o:hrstd="t" o:hr="t"/>
        </w:pict>
      </w:r>
    </w:p>
    <w:bookmarkEnd w:id="56"/>
    <w:bookmarkStart w:id="57" w:name="X7b881615ea84650297b03838462277a7b9efa3b"/>
    <w:p>
      <w:pPr>
        <w:pStyle w:val="Heading2"/>
      </w:pPr>
      <w:r>
        <w:t xml:space="preserve">7. The money (Contamine’s series — expenditure, not yield)</w:t>
      </w:r>
    </w:p>
    <w:p>
      <w:pPr>
        <w:pStyle w:val="FirstParagraph"/>
      </w:pPr>
      <w:r>
        <w:rPr>
          <w:bCs/>
          <w:b/>
        </w:rPr>
        <w:t xml:space="preserve">Fourth finding: Contamine gives NO taille-receipt series for the</w:t>
      </w:r>
      <w:r>
        <w:rPr>
          <w:bCs/>
          <w:b/>
        </w:rPr>
        <w:t xml:space="preserve"> </w:t>
      </w:r>
      <w:r>
        <w:rPr>
          <w:bCs/>
          <w:b/>
        </w:rPr>
        <w:t xml:space="preserve">1440s–60s.</w:t>
      </w:r>
      <w:r>
        <w:t xml:space="preserve"> </w:t>
      </w:r>
      <w:r>
        <w:t xml:space="preserve">The memo §2’s yield arc (~1.8M l.t. end of Charles VII;</w:t>
      </w:r>
      <w:r>
        <w:t xml:space="preserve"> </w:t>
      </w:r>
      <w:r>
        <w:t xml:space="preserve">4.6M in 1481) keeps its tertiary flag —</w:t>
      </w:r>
      <w:r>
        <w:t xml:space="preserve"> </w:t>
      </w:r>
      <w:r>
        <w:rPr>
          <w:bCs/>
          <w:b/>
        </w:rPr>
        <w:t xml:space="preserve">[UNVERIFIED — RETRIEVAL:</w:t>
      </w:r>
      <w:r>
        <w:rPr>
          <w:bCs/>
          <w:b/>
        </w:rPr>
        <w:t xml:space="preserve"> </w:t>
      </w:r>
      <w:r>
        <w:rPr>
          <w:bCs/>
          <w:b/>
        </w:rPr>
        <w:t xml:space="preserve">Wolfe; Bonney (ed.)]</w:t>
      </w:r>
      <w:r>
        <w:t xml:space="preserve">. What Contamine supplies instead: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Figure</w:t>
            </w:r>
          </w:p>
        </w:tc>
        <w:tc>
          <w:tcPr/>
          <w:p>
            <w:pPr>
              <w:pStyle w:val="Compact"/>
              <w:jc w:val="left"/>
            </w:pPr>
            <w:r>
              <w:t xml:space="preserve">Pin</w:t>
            </w:r>
          </w:p>
        </w:tc>
      </w:tr>
      <w:tr>
        <w:tc>
          <w:tcPr/>
          <w:p>
            <w:pPr>
              <w:pStyle w:val="Compact"/>
              <w:jc w:val="left"/>
            </w:pPr>
            <w:r>
              <w:t xml:space="preserve">1422–23</w:t>
            </w:r>
          </w:p>
        </w:tc>
        <w:tc>
          <w:tcPr/>
          <w:p>
            <w:pPr>
              <w:pStyle w:val="Compact"/>
              <w:jc w:val="left"/>
            </w:pPr>
            <w:r>
              <w:t xml:space="preserve">war treasury 219,412 l.t. (royaume de Bourges)</w:t>
            </w:r>
          </w:p>
        </w:tc>
        <w:tc>
          <w:tcPr/>
          <w:p>
            <w:pPr>
              <w:pStyle w:val="Compact"/>
              <w:jc w:val="left"/>
            </w:pPr>
            <w:r>
              <w:t xml:space="preserve">t1 ll. 15604–29, ~pp. 246–47</w:t>
            </w:r>
          </w:p>
        </w:tc>
      </w:tr>
      <w:tr>
        <w:tc>
          <w:tcPr/>
          <w:p>
            <w:pPr>
              <w:pStyle w:val="Compact"/>
              <w:jc w:val="left"/>
            </w:pPr>
            <w:r>
              <w:t xml:space="preserve">1434–40</w:t>
            </w:r>
          </w:p>
        </w:tc>
        <w:tc>
          <w:tcPr/>
          <w:p>
            <w:pPr>
              <w:pStyle w:val="Compact"/>
              <w:jc w:val="left"/>
            </w:pPr>
            <w:r>
              <w:t xml:space="preserve">372,182 l.t. total,</w:t>
            </w:r>
            <w:r>
              <w:t xml:space="preserve"> </w:t>
            </w:r>
            <w:r>
              <w:t xml:space="preserve">“</w:t>
            </w:r>
            <w:r>
              <w:t xml:space="preserve">soit, par an, 52 800 L.t.</w:t>
            </w:r>
            <w:r>
              <w:t xml:space="preserve">”</w:t>
            </w:r>
            <w:r>
              <w:t xml:space="preserve"> </w:t>
            </w:r>
            <w:r>
              <w:t xml:space="preserve">— a fourteenth of 1412–13 spending (654,181 l.t.)</w:t>
            </w:r>
          </w:p>
        </w:tc>
        <w:tc>
          <w:tcPr/>
          <w:p>
            <w:pPr>
              <w:pStyle w:val="Compact"/>
              <w:jc w:val="left"/>
            </w:pPr>
            <w:r>
              <w:t xml:space="preserve">same</w:t>
            </w:r>
          </w:p>
        </w:tc>
      </w:tr>
      <w:tr>
        <w:tc>
          <w:tcPr/>
          <w:p>
            <w:pPr>
              <w:pStyle w:val="Compact"/>
              <w:jc w:val="left"/>
            </w:pPr>
            <w:r>
              <w:t xml:space="preserve">early 1444</w:t>
            </w:r>
          </w:p>
        </w:tc>
        <w:tc>
          <w:tcPr/>
          <w:p>
            <w:pPr>
              <w:pStyle w:val="Compact"/>
              <w:jc w:val="left"/>
            </w:pPr>
            <w:r>
              <w:t xml:space="preserve">Anjou/Maine: 52,660 l.t. for 402½ payes,</w:t>
            </w:r>
            <w:r>
              <w:t xml:space="preserve"> </w:t>
            </w:r>
            <w:r>
              <w:t xml:space="preserve">“</w:t>
            </w:r>
            <w:r>
              <w:t xml:space="preserve">levée « par taille… » et « par appatiz »</w:t>
            </w:r>
            <w:r>
              <w:t xml:space="preserve">”</w:t>
            </w:r>
            <w:r>
              <w:t xml:space="preserve">; captains’ own taxing power</w:t>
            </w:r>
            <w:r>
              <w:t xml:space="preserve"> </w:t>
            </w:r>
            <w:r>
              <w:t xml:space="preserve">“</w:t>
            </w:r>
            <w:r>
              <w:t xml:space="preserve">aboli expressément</w:t>
            </w:r>
            <w:r>
              <w:t xml:space="preserve">”</w:t>
            </w:r>
          </w:p>
        </w:tc>
        <w:tc>
          <w:tcPr/>
          <w:p>
            <w:pPr>
              <w:pStyle w:val="Compact"/>
              <w:jc w:val="left"/>
            </w:pPr>
            <w:r>
              <w:t xml:space="preserve">t1 ll. 15963–71</w:t>
            </w:r>
          </w:p>
        </w:tc>
      </w:tr>
      <w:tr>
        <w:tc>
          <w:tcPr/>
          <w:p>
            <w:pPr>
              <w:pStyle w:val="Compact"/>
              <w:jc w:val="left"/>
            </w:pPr>
            <w:r>
              <w:t xml:space="preserve">mid-1440s</w:t>
            </w:r>
          </w:p>
        </w:tc>
        <w:tc>
          <w:tcPr/>
          <w:p>
            <w:pPr>
              <w:pStyle w:val="Compact"/>
              <w:jc w:val="left"/>
            </w:pPr>
            <w:r>
              <w:t xml:space="preserve">war grants: Languedoc 160,000 moutons d’or; Dauphiné 30,000 florins; Languedoïl 300,000 l.t.</w:t>
            </w:r>
          </w:p>
        </w:tc>
        <w:tc>
          <w:tcPr/>
          <w:p>
            <w:pPr>
              <w:pStyle w:val="Compact"/>
              <w:jc w:val="left"/>
            </w:pPr>
            <w:r>
              <w:t xml:space="preserve">ch. IX fn 156, t1 ll. 17506–10</w:t>
            </w:r>
          </w:p>
        </w:tc>
      </w:tr>
      <w:tr>
        <w:tc>
          <w:tcPr/>
          <w:p>
            <w:pPr>
              <w:pStyle w:val="Compact"/>
              <w:jc w:val="left"/>
            </w:pPr>
            <w:r>
              <w:rPr>
                <w:bCs/>
                <w:b/>
              </w:rPr>
              <w:t xml:space="preserve">1442</w:t>
            </w:r>
          </w:p>
        </w:tc>
        <w:tc>
          <w:tcPr/>
          <w:p>
            <w:pPr>
              <w:pStyle w:val="Compact"/>
              <w:jc w:val="left"/>
            </w:pPr>
            <w:r>
              <w:rPr>
                <w:bCs/>
                <w:b/>
              </w:rPr>
              <w:t xml:space="preserve">Jean Bureau’s artillery programme: new-artillery works 4,198 l.t. + 20,000 lb powder 2,200 l.t. = 6,398 l.t., against 3,100 l.t. for all traditional materiel (30,000 traits, 1,000 lances, 1,000 arcs, 1,000 trousses) —</w:t>
            </w:r>
            <w:r>
              <w:rPr>
                <w:bCs/>
                <w:b/>
              </w:rPr>
              <w:t xml:space="preserve"> </w:t>
            </w:r>
            <w:r>
              <w:rPr>
                <w:bCs/>
                <w:b/>
              </w:rPr>
              <w:t xml:space="preserve">“</w:t>
            </w:r>
            <w:r>
              <w:rPr>
                <w:bCs/>
                <w:b/>
              </w:rPr>
              <w:t xml:space="preserve">dès cette époque, l’artillerie nouvelle coûte plus cher que l’artillerie ancienne ; quant à l’artillerie à trébuchet, il n’en est plus question</w:t>
            </w:r>
            <w:r>
              <w:rPr>
                <w:bCs/>
                <w:b/>
              </w:rPr>
              <w:t xml:space="preserve">”</w:t>
            </w:r>
          </w:p>
        </w:tc>
        <w:tc>
          <w:tcPr/>
          <w:p>
            <w:pPr>
              <w:pStyle w:val="Compact"/>
              <w:jc w:val="left"/>
            </w:pPr>
            <w:r>
              <w:t xml:space="preserve">Annexe XII E,</w:t>
            </w:r>
            <w:r>
              <w:t xml:space="preserve"> </w:t>
            </w:r>
            <w:r>
              <w:rPr>
                <w:bCs/>
                <w:b/>
              </w:rPr>
              <w:t xml:space="preserve">t2 print p. 666</w:t>
            </w:r>
            <w:r>
              <w:t xml:space="preserve"> </w:t>
            </w:r>
            <w:r>
              <w:t xml:space="preserve">(triple index-confirmed), t2 ll. 13554–62</w:t>
            </w:r>
          </w:p>
        </w:tc>
      </w:tr>
      <w:tr>
        <w:tc>
          <w:tcPr/>
          <w:p>
            <w:pPr>
              <w:pStyle w:val="Compact"/>
              <w:jc w:val="left"/>
            </w:pPr>
            <w:r>
              <w:t xml:space="preserve">1451</w:t>
            </w:r>
          </w:p>
        </w:tc>
        <w:tc>
          <w:tcPr/>
          <w:p>
            <w:pPr>
              <w:pStyle w:val="Compact"/>
              <w:jc w:val="left"/>
            </w:pPr>
            <w:r>
              <w:t xml:space="preserve">first Guyenne reconquest: 594,737 l. 6s. 2d.t. —</w:t>
            </w:r>
            <w:r>
              <w:t xml:space="preserve"> </w:t>
            </w:r>
            <w:r>
              <w:t xml:space="preserve">“</w:t>
            </w:r>
            <w:r>
              <w:t xml:space="preserve">la solde de 18 000 à 20 000 combattants pendant cinq mois</w:t>
            </w:r>
            <w:r>
              <w:t xml:space="preserve">”</w:t>
            </w:r>
          </w:p>
        </w:tc>
        <w:tc>
          <w:tcPr/>
          <w:p>
            <w:pPr>
              <w:pStyle w:val="Compact"/>
              <w:jc w:val="left"/>
            </w:pPr>
            <w:r>
              <w:t xml:space="preserve">t1 ll. 18967–74</w:t>
            </w:r>
          </w:p>
        </w:tc>
      </w:tr>
      <w:tr>
        <w:tc>
          <w:tcPr/>
          <w:p>
            <w:pPr>
              <w:pStyle w:val="Compact"/>
              <w:jc w:val="left"/>
            </w:pPr>
            <w:r>
              <w:t xml:space="preserve">1463→1483</w:t>
            </w:r>
          </w:p>
        </w:tc>
        <w:tc>
          <w:tcPr/>
          <w:p>
            <w:pPr>
              <w:pStyle w:val="Compact"/>
              <w:jc w:val="left"/>
            </w:pPr>
            <w:r>
              <w:t xml:space="preserve">artillery ordinaire staff: 40–45 (1463, first conserved artillery budget) → 50–55 (1469) →</w:t>
            </w:r>
            <w:r>
              <w:t xml:space="preserve"> </w:t>
            </w:r>
            <w:r>
              <w:t xml:space="preserve">“</w:t>
            </w:r>
            <w:r>
              <w:t xml:space="preserve">en 1473, l’augmentation est massive</w:t>
            </w:r>
            <w:r>
              <w:t xml:space="preserve">”</w:t>
            </w:r>
            <w:r>
              <w:t xml:space="preserve"> </w:t>
            </w:r>
            <w:r>
              <w:t xml:space="preserve">→ ~100, then 120–130 (1475–76) → 200 (1483)</w:t>
            </w:r>
          </w:p>
        </w:tc>
        <w:tc>
          <w:tcPr/>
          <w:p>
            <w:pPr>
              <w:pStyle w:val="Compact"/>
              <w:jc w:val="left"/>
            </w:pPr>
            <w:r>
              <w:t xml:space="preserve">t1 ll. 18364–70, ~p. 297</w:t>
            </w:r>
          </w:p>
        </w:tc>
      </w:tr>
      <w:tr>
        <w:tc>
          <w:tcPr/>
          <w:p>
            <w:pPr>
              <w:pStyle w:val="Compact"/>
              <w:jc w:val="left"/>
            </w:pPr>
            <w:r>
              <w:t xml:space="preserve">1470</w:t>
            </w:r>
          </w:p>
        </w:tc>
        <w:tc>
          <w:tcPr/>
          <w:p>
            <w:pPr>
              <w:pStyle w:val="Compact"/>
              <w:jc w:val="left"/>
            </w:pPr>
            <w:r>
              <w:t xml:space="preserve">military spending = half of the monarchy’s 2M l.t.</w:t>
            </w:r>
          </w:p>
        </w:tc>
        <w:tc>
          <w:tcPr/>
          <w:p>
            <w:pPr>
              <w:pStyle w:val="Compact"/>
              <w:jc w:val="left"/>
            </w:pPr>
            <w:r>
              <w:t xml:space="preserve">t2 fn 8, ll. 5834–38</w:t>
            </w:r>
          </w:p>
        </w:tc>
      </w:tr>
      <w:tr>
        <w:tc>
          <w:tcPr/>
          <w:p>
            <w:pPr>
              <w:pStyle w:val="Compact"/>
              <w:jc w:val="left"/>
            </w:pPr>
            <w:r>
              <w:t xml:space="preserve">1482</w:t>
            </w:r>
          </w:p>
        </w:tc>
        <w:tc>
          <w:tcPr/>
          <w:p>
            <w:pPr>
              <w:pStyle w:val="Compact"/>
              <w:jc w:val="left"/>
            </w:pPr>
            <w:r>
              <w:t xml:space="preserve">military 3.5M of 4.7M l.t. —</w:t>
            </w:r>
            <w:r>
              <w:t xml:space="preserve"> </w:t>
            </w:r>
            <w:r>
              <w:rPr>
                <w:bCs/>
                <w:b/>
              </w:rPr>
              <w:t xml:space="preserve">74%</w:t>
            </w:r>
            <w:r>
              <w:t xml:space="preserve">; the camp financed by</w:t>
            </w:r>
            <w:r>
              <w:t xml:space="preserve"> </w:t>
            </w:r>
            <w:r>
              <w:t xml:space="preserve">“</w:t>
            </w:r>
            <w:r>
              <w:t xml:space="preserve">la tres excessive taille et cruelle</w:t>
            </w:r>
            <w:r>
              <w:t xml:space="preserve">”</w:t>
            </w:r>
          </w:p>
        </w:tc>
        <w:tc>
          <w:tcPr/>
          <w:p>
            <w:pPr>
              <w:pStyle w:val="Compact"/>
              <w:jc w:val="left"/>
            </w:pPr>
            <w:r>
              <w:t xml:space="preserve">same; t1 ll. 18469–87</w:t>
            </w:r>
          </w:p>
        </w:tc>
      </w:tr>
    </w:tbl>
    <w:p>
      <w:r>
        <w:pict>
          <v:rect style="width:0;height:1.5pt" o:hralign="center" o:hrstd="t" o:hr="t"/>
        </w:pict>
      </w:r>
    </w:p>
    <w:bookmarkEnd w:id="57"/>
    <w:bookmarkStart w:id="58" w:name="Xcdff1df830a4201a1f8a3f9137daeda2d055c04"/>
    <w:p>
      <w:pPr>
        <w:pStyle w:val="Heading2"/>
      </w:pPr>
      <w:r>
        <w:t xml:space="preserve">8. The chronology: fiscal steps against artillery steps</w:t>
      </w:r>
    </w:p>
    <w:p>
      <w:pPr>
        <w:pStyle w:val="FirstParagraph"/>
      </w:pPr>
      <w:r>
        <w:t xml:space="preserve">Dated from in-repo sources only (Contamine as above; Rogers 1993 and</w:t>
      </w:r>
      <w:r>
        <w:t xml:space="preserve"> </w:t>
      </w:r>
      <w:r>
        <w:t xml:space="preserve">DeVries 1998 in repo). Rows marked ◆ are fiscal, ● artillery, ◆●</w:t>
      </w:r>
      <w:r>
        <w:t xml:space="preserve"> </w:t>
      </w:r>
      <w:r>
        <w:t xml:space="preserve">both. The table exists to let spine §8(a)’s co-evolution-with-ratchet</w:t>
      </w:r>
      <w:r>
        <w:t xml:space="preserve"> </w:t>
      </w:r>
      <w:r>
        <w:t xml:space="preserve">reading be tested against the record.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Step</w:t>
            </w:r>
          </w:p>
        </w:tc>
        <w:tc>
          <w:tcPr/>
          <w:p>
            <w:pPr>
              <w:pStyle w:val="Compact"/>
              <w:jc w:val="left"/>
            </w:pPr>
            <w:r>
              <w:t xml:space="preserve">Source (in repo)</w:t>
            </w:r>
          </w:p>
        </w:tc>
      </w:tr>
      <w:tr>
        <w:tc>
          <w:tcPr/>
          <w:p>
            <w:pPr>
              <w:pStyle w:val="Compact"/>
              <w:jc w:val="left"/>
            </w:pPr>
            <w:r>
              <w:t xml:space="preserve">1420s–30s ●</w:t>
            </w:r>
          </w:p>
        </w:tc>
        <w:tc>
          <w:tcPr/>
          <w:p>
            <w:pPr>
              <w:pStyle w:val="Compact"/>
              <w:jc w:val="left"/>
            </w:pPr>
            <w:r>
              <w:t xml:space="preserve">Rogers dates the artillery revolution’s onset to the 1420s–30s (effective siege guns; the</w:t>
            </w:r>
            <w:r>
              <w:t xml:space="preserve"> </w:t>
            </w:r>
            <w:r>
              <w:t xml:space="preserve">“</w:t>
            </w:r>
            <w:r>
              <w:t xml:space="preserve">artillery fortress</w:t>
            </w:r>
            <w:r>
              <w:t xml:space="preserve">”</w:t>
            </w:r>
            <w:r>
              <w:t xml:space="preserve"> </w:t>
            </w:r>
            <w:r>
              <w:t xml:space="preserve">answer only decades later)</w:t>
            </w:r>
          </w:p>
        </w:tc>
        <w:tc>
          <w:tcPr/>
          <w:p>
            <w:pPr>
              <w:pStyle w:val="Compact"/>
              <w:jc w:val="left"/>
            </w:pPr>
            <w:r>
              <w:t xml:space="preserve">Rogers 1993</w:t>
            </w:r>
          </w:p>
        </w:tc>
      </w:tr>
      <w:tr>
        <w:tc>
          <w:tcPr/>
          <w:p>
            <w:pPr>
              <w:pStyle w:val="Compact"/>
              <w:jc w:val="left"/>
            </w:pPr>
            <w:r>
              <w:t xml:space="preserve">1419–37 ●</w:t>
            </w:r>
          </w:p>
        </w:tc>
        <w:tc>
          <w:tcPr/>
          <w:p>
            <w:pPr>
              <w:pStyle w:val="Compact"/>
              <w:jc w:val="left"/>
            </w:pPr>
            <w:r>
              <w:t xml:space="preserve">Bessonneau master of artillery; his fourth account runs 1.10.1422–20.2.1440 —</w:t>
            </w:r>
            <w:r>
              <w:t xml:space="preserve"> </w:t>
            </w:r>
            <w:r>
              <w:t xml:space="preserve">“</w:t>
            </w:r>
            <w:r>
              <w:t xml:space="preserve">17 ans 4 mois</w:t>
            </w:r>
            <w:r>
              <w:t xml:space="preserve">”</w:t>
            </w:r>
            <w:r>
              <w:t xml:space="preserve"> </w:t>
            </w:r>
            <w:r>
              <w:t xml:space="preserve">in one account: the ad-hoc regime measured</w:t>
            </w:r>
          </w:p>
        </w:tc>
        <w:tc>
          <w:tcPr/>
          <w:p>
            <w:pPr>
              <w:pStyle w:val="Compact"/>
              <w:jc w:val="left"/>
            </w:pPr>
            <w:r>
              <w:t xml:space="preserve">Contamine, Annexe VIII, t2 print pp. 639–40</w:t>
            </w:r>
          </w:p>
        </w:tc>
      </w:tr>
      <w:tr>
        <w:tc>
          <w:tcPr/>
          <w:p>
            <w:pPr>
              <w:pStyle w:val="Compact"/>
              <w:jc w:val="left"/>
            </w:pPr>
            <w:r>
              <w:t xml:space="preserve">1429–45 ●</w:t>
            </w:r>
          </w:p>
        </w:tc>
        <w:tc>
          <w:tcPr/>
          <w:p>
            <w:pPr>
              <w:pStyle w:val="Compact"/>
              <w:jc w:val="left"/>
            </w:pPr>
            <w:r>
              <w:t xml:space="preserve">“</w:t>
            </w:r>
            <w:r>
              <w:t xml:space="preserve">l’artillerie connut des progrès tels que cette arme dépassa, du côté français, les réalisations de l’adversaire</w:t>
            </w:r>
            <w:r>
              <w:t xml:space="preserve">”</w:t>
            </w:r>
            <w:r>
              <w:t xml:space="preserve"> </w:t>
            </w:r>
            <w:r>
              <w:t xml:space="preserve">— among the explanations of Charles VII’s successes; the companies’ cohesion in these years</w:t>
            </w:r>
            <w:r>
              <w:t xml:space="preserve"> </w:t>
            </w:r>
            <w:r>
              <w:t xml:space="preserve">“</w:t>
            </w:r>
            <w:r>
              <w:t xml:space="preserve">ne devaient presque rien au pouvoir ou à l’administration monarchique</w:t>
            </w:r>
            <w:r>
              <w:t xml:space="preserve">”</w:t>
            </w:r>
          </w:p>
        </w:tc>
        <w:tc>
          <w:tcPr/>
          <w:p>
            <w:pPr>
              <w:pStyle w:val="Compact"/>
              <w:jc w:val="left"/>
            </w:pPr>
            <w:r>
              <w:t xml:space="preserve">t1 ll. 16826–43</w:t>
            </w:r>
          </w:p>
        </w:tc>
      </w:tr>
      <w:tr>
        <w:tc>
          <w:tcPr/>
          <w:p>
            <w:pPr>
              <w:pStyle w:val="Compact"/>
              <w:jc w:val="left"/>
            </w:pPr>
            <w:r>
              <w:t xml:space="preserve">1437 ●</w:t>
            </w:r>
          </w:p>
        </w:tc>
        <w:tc>
          <w:tcPr/>
          <w:p>
            <w:pPr>
              <w:pStyle w:val="Compact"/>
              <w:jc w:val="left"/>
            </w:pPr>
            <w:r>
              <w:t xml:space="preserve">Jean Bureau directs the artillery at the siege of Montereau — the brothers</w:t>
            </w:r>
            <w:r>
              <w:t xml:space="preserve"> </w:t>
            </w:r>
            <w:r>
              <w:t xml:space="preserve">“</w:t>
            </w:r>
            <w:r>
              <w:t xml:space="preserve">pratiquement supplanté</w:t>
            </w:r>
            <w:r>
              <w:t xml:space="preserve">”</w:t>
            </w:r>
            <w:r>
              <w:t xml:space="preserve"> </w:t>
            </w:r>
            <w:r>
              <w:t xml:space="preserve">Bessonneau</w:t>
            </w:r>
            <w:r>
              <w:t xml:space="preserve"> </w:t>
            </w:r>
            <w:r>
              <w:t xml:space="preserve">“</w:t>
            </w:r>
            <w:r>
              <w:t xml:space="preserve">dès 1437</w:t>
            </w:r>
            <w:r>
              <w:t xml:space="preserve">”</w:t>
            </w:r>
          </w:p>
        </w:tc>
        <w:tc>
          <w:tcPr/>
          <w:p>
            <w:pPr>
              <w:pStyle w:val="Compact"/>
              <w:jc w:val="left"/>
            </w:pPr>
            <w:r>
              <w:t xml:space="preserve">t1 ll. 15504–19 (print p. 238, index-confirmed) + fn 29</w:t>
            </w:r>
          </w:p>
        </w:tc>
      </w:tr>
      <w:tr>
        <w:tc>
          <w:tcPr/>
          <w:p>
            <w:pPr>
              <w:pStyle w:val="Compact"/>
              <w:jc w:val="left"/>
            </w:pPr>
            <w:r>
              <w:t xml:space="preserve">Feb–Mar 1439 ◆</w:t>
            </w:r>
          </w:p>
        </w:tc>
        <w:tc>
          <w:tcPr/>
          <w:p>
            <w:pPr>
              <w:pStyle w:val="Compact"/>
              <w:jc w:val="left"/>
            </w:pPr>
            <w:r>
              <w:t xml:space="preserve">Bourbon’s obstruction begins at Orléans —</w:t>
            </w:r>
            <w:r>
              <w:t xml:space="preserve"> </w:t>
            </w:r>
            <w:r>
              <w:t xml:space="preserve">“</w:t>
            </w:r>
            <w:r>
              <w:t xml:space="preserve">déjà la Praguerie commençait</w:t>
            </w:r>
            <w:r>
              <w:t xml:space="preserve">”</w:t>
            </w:r>
          </w:p>
        </w:tc>
        <w:tc>
          <w:tcPr/>
          <w:p>
            <w:pPr>
              <w:pStyle w:val="Compact"/>
              <w:jc w:val="left"/>
            </w:pPr>
            <w:r>
              <w:t xml:space="preserve">t1 ll. 16693–706</w:t>
            </w:r>
          </w:p>
        </w:tc>
      </w:tr>
      <w:tr>
        <w:tc>
          <w:tcPr/>
          <w:p>
            <w:pPr>
              <w:pStyle w:val="Compact"/>
              <w:jc w:val="left"/>
            </w:pPr>
            <w:r>
              <w:t xml:space="preserve">Aug 1439 ●</w:t>
            </w:r>
          </w:p>
        </w:tc>
        <w:tc>
          <w:tcPr/>
          <w:p>
            <w:pPr>
              <w:pStyle w:val="Compact"/>
              <w:jc w:val="left"/>
            </w:pPr>
            <w:r>
              <w:t xml:space="preserve">Jean Bureau’s first artillery account opens (to 16.6.1441) — annualised artillery accounting begins</w:t>
            </w:r>
          </w:p>
        </w:tc>
        <w:tc>
          <w:tcPr/>
          <w:p>
            <w:pPr>
              <w:pStyle w:val="Compact"/>
              <w:jc w:val="left"/>
            </w:pPr>
            <w:r>
              <w:t xml:space="preserve">Annexe VIII, t2 print pp. 639–40</w:t>
            </w:r>
          </w:p>
        </w:tc>
      </w:tr>
      <w:tr>
        <w:tc>
          <w:tcPr/>
          <w:p>
            <w:pPr>
              <w:pStyle w:val="Compact"/>
              <w:jc w:val="left"/>
            </w:pPr>
            <w:r>
              <w:t xml:space="preserve">1439 (siege of Meaux) ●</w:t>
            </w:r>
          </w:p>
        </w:tc>
        <w:tc>
          <w:tcPr/>
          <w:p>
            <w:pPr>
              <w:pStyle w:val="Compact"/>
              <w:jc w:val="left"/>
            </w:pPr>
            <w:r>
              <w:t xml:space="preserve">Gaspard Bureau’s military career begins; after the epuration he becomes maître de l’artillerie</w:t>
            </w:r>
          </w:p>
        </w:tc>
        <w:tc>
          <w:tcPr/>
          <w:p>
            <w:pPr>
              <w:pStyle w:val="Compact"/>
              <w:jc w:val="left"/>
            </w:pPr>
            <w:r>
              <w:t xml:space="preserve">t1 fn 29, ll. 16963–69; l. 16780</w:t>
            </w:r>
          </w:p>
        </w:tc>
      </w:tr>
      <w:tr>
        <w:tc>
          <w:tcPr/>
          <w:p>
            <w:pPr>
              <w:pStyle w:val="Compact"/>
              <w:jc w:val="left"/>
            </w:pPr>
            <w:r>
              <w:rPr>
                <w:bCs/>
                <w:b/>
              </w:rPr>
              <w:t xml:space="preserve">2 Nov 1439 ◆</w:t>
            </w:r>
          </w:p>
        </w:tc>
        <w:tc>
          <w:tcPr/>
          <w:p>
            <w:pPr>
              <w:pStyle w:val="Compact"/>
              <w:jc w:val="left"/>
            </w:pPr>
            <w:r>
              <w:t xml:space="preserve">The</w:t>
            </w:r>
            <w:r>
              <w:t xml:space="preserve"> </w:t>
            </w:r>
            <w:r>
              <w:t xml:space="preserve">“</w:t>
            </w:r>
            <w:r>
              <w:t xml:space="preserve">grande pragmatique sanction</w:t>
            </w:r>
            <w:r>
              <w:t xml:space="preserve">”</w:t>
            </w:r>
            <w:r>
              <w:t xml:space="preserve">: exclusive royal right to raise troops; captain licensing;</w:t>
            </w:r>
            <w:r>
              <w:t xml:space="preserve"> </w:t>
            </w:r>
            <w:r>
              <w:rPr>
                <w:bCs/>
                <w:b/>
              </w:rPr>
              <w:t xml:space="preserve">taille clause unverified in repo</w:t>
            </w:r>
            <w:r>
              <w:t xml:space="preserve"> </w:t>
            </w:r>
            <w:r>
              <w:t xml:space="preserve">(§1)</w:t>
            </w:r>
          </w:p>
        </w:tc>
        <w:tc>
          <w:tcPr/>
          <w:p>
            <w:pPr>
              <w:pStyle w:val="Compact"/>
              <w:jc w:val="left"/>
            </w:pPr>
            <w:r>
              <w:t xml:space="preserve">t1 ll. 16798–816; 19169–73</w:t>
            </w:r>
          </w:p>
        </w:tc>
      </w:tr>
      <w:tr>
        <w:tc>
          <w:tcPr/>
          <w:p>
            <w:pPr>
              <w:pStyle w:val="Compact"/>
              <w:jc w:val="left"/>
            </w:pPr>
            <w:r>
              <w:t xml:space="preserve">1439–40 ◆</w:t>
            </w:r>
          </w:p>
        </w:tc>
        <w:tc>
          <w:tcPr/>
          <w:p>
            <w:pPr>
              <w:pStyle w:val="Compact"/>
              <w:jc w:val="left"/>
            </w:pPr>
            <w:r>
              <w:t xml:space="preserve">Implementation fails under princely pressure;</w:t>
            </w:r>
            <w:r>
              <w:t xml:space="preserve"> </w:t>
            </w:r>
            <w:r>
              <w:t xml:space="preserve">“</w:t>
            </w:r>
            <w:r>
              <w:t xml:space="preserve">cette première tentative… échoua</w:t>
            </w:r>
            <w:r>
              <w:t xml:space="preserve">”</w:t>
            </w:r>
          </w:p>
        </w:tc>
        <w:tc>
          <w:tcPr/>
          <w:p>
            <w:pPr>
              <w:pStyle w:val="Compact"/>
              <w:jc w:val="left"/>
            </w:pPr>
            <w:r>
              <w:t xml:space="preserve">t1 ll. 16798–816</w:t>
            </w:r>
          </w:p>
        </w:tc>
      </w:tr>
      <w:tr>
        <w:tc>
          <w:tcPr/>
          <w:p>
            <w:pPr>
              <w:pStyle w:val="Compact"/>
              <w:jc w:val="left"/>
            </w:pPr>
            <w:r>
              <w:t xml:space="preserve">1440(–42) ◆</w:t>
            </w:r>
          </w:p>
        </w:tc>
        <w:tc>
          <w:tcPr/>
          <w:p>
            <w:pPr>
              <w:pStyle w:val="Compact"/>
              <w:jc w:val="left"/>
            </w:pPr>
            <w:r>
              <w:t xml:space="preserve">The Praguerie: the princes demand partition of the captaincies; refused (</w:t>
            </w:r>
            <w:r>
              <w:t xml:space="preserve">“</w:t>
            </w:r>
            <w:r>
              <w:t xml:space="preserve">toute la guerre du royaume appartient au roy</w:t>
            </w:r>
            <w:r>
              <w:t xml:space="preserve">”</w:t>
            </w:r>
            <w:r>
              <w:t xml:space="preserve">);</w:t>
            </w:r>
            <w:r>
              <w:t xml:space="preserve"> </w:t>
            </w:r>
            <w:r>
              <w:t xml:space="preserve">“</w:t>
            </w:r>
            <w:r>
              <w:t xml:space="preserve">il n’avait pu imposer ses vues</w:t>
            </w:r>
            <w:r>
              <w:t xml:space="preserve">”</w:t>
            </w:r>
          </w:p>
        </w:tc>
        <w:tc>
          <w:tcPr/>
          <w:p>
            <w:pPr>
              <w:pStyle w:val="Compact"/>
              <w:jc w:val="left"/>
            </w:pPr>
            <w:r>
              <w:t xml:space="preserve">t1 ll. 24786–807</w:t>
            </w:r>
          </w:p>
        </w:tc>
      </w:tr>
      <w:tr>
        <w:tc>
          <w:tcPr/>
          <w:p>
            <w:pPr>
              <w:pStyle w:val="Compact"/>
              <w:jc w:val="left"/>
            </w:pPr>
            <w:r>
              <w:t xml:space="preserve">20 Feb 1440 ●</w:t>
            </w:r>
          </w:p>
        </w:tc>
        <w:tc>
          <w:tcPr/>
          <w:p>
            <w:pPr>
              <w:pStyle w:val="Compact"/>
              <w:jc w:val="left"/>
            </w:pPr>
            <w:r>
              <w:t xml:space="preserve">Bessonneau’s last account closes</w:t>
            </w:r>
          </w:p>
        </w:tc>
        <w:tc>
          <w:tcPr/>
          <w:p>
            <w:pPr>
              <w:pStyle w:val="Compact"/>
              <w:jc w:val="left"/>
            </w:pPr>
            <w:r>
              <w:t xml:space="preserve">Annexe VIII</w:t>
            </w:r>
          </w:p>
        </w:tc>
      </w:tr>
      <w:tr>
        <w:tc>
          <w:tcPr/>
          <w:p>
            <w:pPr>
              <w:pStyle w:val="Compact"/>
              <w:jc w:val="left"/>
            </w:pPr>
            <w:r>
              <w:t xml:space="preserve">14 Jan 1441 ●</w:t>
            </w:r>
          </w:p>
        </w:tc>
        <w:tc>
          <w:tcPr/>
          <w:p>
            <w:pPr>
              <w:pStyle w:val="Compact"/>
              <w:jc w:val="left"/>
            </w:pPr>
            <w:r>
              <w:t xml:space="preserve">Gaspard Bureau’s first account opens</w:t>
            </w:r>
          </w:p>
        </w:tc>
        <w:tc>
          <w:tcPr/>
          <w:p>
            <w:pPr>
              <w:pStyle w:val="Compact"/>
              <w:jc w:val="left"/>
            </w:pPr>
            <w:r>
              <w:t xml:space="preserve">Annexe VIII</w:t>
            </w:r>
          </w:p>
        </w:tc>
      </w:tr>
      <w:tr>
        <w:tc>
          <w:tcPr/>
          <w:p>
            <w:pPr>
              <w:pStyle w:val="Compact"/>
              <w:jc w:val="left"/>
            </w:pPr>
            <w:r>
              <w:rPr>
                <w:bCs/>
                <w:b/>
              </w:rPr>
              <w:t xml:space="preserve">1442 ●</w:t>
            </w:r>
          </w:p>
        </w:tc>
        <w:tc>
          <w:tcPr/>
          <w:p>
            <w:pPr>
              <w:pStyle w:val="Compact"/>
              <w:jc w:val="left"/>
            </w:pPr>
            <w:r>
              <w:t xml:space="preserve">The procurement programme: new artillery + powder 6,398 l.t. vs 3,100 l.t. traditional —</w:t>
            </w:r>
            <w:r>
              <w:t xml:space="preserve"> </w:t>
            </w:r>
            <w:r>
              <w:rPr>
                <w:bCs/>
                <w:b/>
              </w:rPr>
              <w:t xml:space="preserve">the 2:1 budget signature, three years BEFORE the ordinaire des guerres existed</w:t>
            </w:r>
          </w:p>
        </w:tc>
        <w:tc>
          <w:tcPr/>
          <w:p>
            <w:pPr>
              <w:pStyle w:val="Compact"/>
              <w:jc w:val="left"/>
            </w:pPr>
            <w:r>
              <w:t xml:space="preserve">t2 print p. 666; Rogers 1993 (</w:t>
            </w:r>
            <w:r>
              <w:t xml:space="preserve">“</w:t>
            </w:r>
            <w:r>
              <w:t xml:space="preserve">more than twice as much</w:t>
            </w:r>
            <w:r>
              <w:t xml:space="preserve">”</w:t>
            </w:r>
            <w:r>
              <w:t xml:space="preserve">)</w:t>
            </w:r>
          </w:p>
        </w:tc>
      </w:tr>
      <w:tr>
        <w:tc>
          <w:tcPr/>
          <w:p>
            <w:pPr>
              <w:pStyle w:val="Compact"/>
              <w:jc w:val="left"/>
            </w:pPr>
            <w:r>
              <w:t xml:space="preserve">1444 ◆</w:t>
            </w:r>
          </w:p>
        </w:tc>
        <w:tc>
          <w:tcPr/>
          <w:p>
            <w:pPr>
              <w:pStyle w:val="Compact"/>
              <w:jc w:val="left"/>
            </w:pPr>
            <w:r>
              <w:t xml:space="preserve">Truce of Tours buys the reform window; Anjou/Maine assessment shows taille-levy for wages with captains’ own taxing power expressly abolished</w:t>
            </w:r>
          </w:p>
        </w:tc>
        <w:tc>
          <w:tcPr/>
          <w:p>
            <w:pPr>
              <w:pStyle w:val="Compact"/>
              <w:jc w:val="left"/>
            </w:pPr>
            <w:r>
              <w:t xml:space="preserve">t1 ll. 15963–71</w:t>
            </w:r>
          </w:p>
        </w:tc>
      </w:tr>
      <w:tr>
        <w:tc>
          <w:tcPr/>
          <w:p>
            <w:pPr>
              <w:pStyle w:val="Compact"/>
              <w:jc w:val="left"/>
            </w:pPr>
            <w:r>
              <w:t xml:space="preserve">Jan–May 1445 ◆</w:t>
            </w:r>
          </w:p>
        </w:tc>
        <w:tc>
          <w:tcPr/>
          <w:p>
            <w:pPr>
              <w:pStyle w:val="Compact"/>
              <w:jc w:val="left"/>
            </w:pPr>
            <w:r>
              <w:t xml:space="preserve">Nancy (9 Jan) → the lost founding ordonnance (~late March) → Louppy-le-Château (26 May): the compagnies d’ordonnance; the anti-adveu oath</w:t>
            </w:r>
          </w:p>
        </w:tc>
        <w:tc>
          <w:tcPr/>
          <w:p>
            <w:pPr>
              <w:pStyle w:val="Compact"/>
              <w:jc w:val="left"/>
            </w:pPr>
            <w:r>
              <w:t xml:space="preserve">t1 ll. 17680–84, 19178–83, 24777–79</w:t>
            </w:r>
          </w:p>
        </w:tc>
      </w:tr>
      <w:tr>
        <w:tc>
          <w:tcPr/>
          <w:p>
            <w:pPr>
              <w:pStyle w:val="Compact"/>
              <w:jc w:val="left"/>
            </w:pPr>
            <w:r>
              <w:t xml:space="preserve">from 1445 ◆</w:t>
            </w:r>
          </w:p>
        </w:tc>
        <w:tc>
          <w:tcPr/>
          <w:p>
            <w:pPr>
              <w:pStyle w:val="Compact"/>
              <w:jc w:val="left"/>
            </w:pPr>
            <w:r>
              <w:t xml:space="preserve">“</w:t>
            </w:r>
            <w:r>
              <w:t xml:space="preserve">l’infrastructure financière de l’armée permanente fit preuve, à partir de 1445, d’une incontestable efficacité</w:t>
            </w:r>
            <w:r>
              <w:t xml:space="preserve">”</w:t>
            </w:r>
            <w:r>
              <w:t xml:space="preserve"> </w:t>
            </w:r>
            <w:r>
              <w:t xml:space="preserve">— forecastable receipts, district assignment (896 lances known 1446–49)</w:t>
            </w:r>
          </w:p>
        </w:tc>
        <w:tc>
          <w:tcPr/>
          <w:p>
            <w:pPr>
              <w:pStyle w:val="Compact"/>
              <w:jc w:val="left"/>
            </w:pPr>
            <w:r>
              <w:t xml:space="preserve">t2 ll. 2902–12; t1 fn 31</w:t>
            </w:r>
          </w:p>
        </w:tc>
      </w:tr>
      <w:tr>
        <w:tc>
          <w:tcPr/>
          <w:p>
            <w:pPr>
              <w:pStyle w:val="Compact"/>
              <w:jc w:val="left"/>
            </w:pPr>
            <w:r>
              <w:rPr>
                <w:bCs/>
                <w:b/>
              </w:rPr>
              <w:t xml:space="preserve">25 Apr 1446 ◆</w:t>
            </w:r>
          </w:p>
        </w:tc>
        <w:tc>
          <w:tcPr/>
          <w:p>
            <w:pPr>
              <w:pStyle w:val="Compact"/>
              <w:jc w:val="left"/>
            </w:pPr>
            <w:r>
              <w:t xml:space="preserve">“</w:t>
            </w:r>
            <w:r>
              <w:t xml:space="preserve">jusqu’à la conclusion de la paix</w:t>
            </w:r>
            <w:r>
              <w:t xml:space="preserve">”</w:t>
            </w:r>
            <w:r>
              <w:t xml:space="preserve"> </w:t>
            </w:r>
            <w:r>
              <w:t xml:space="preserve">— provisional in name,</w:t>
            </w:r>
            <w:r>
              <w:t xml:space="preserve"> </w:t>
            </w:r>
            <w:r>
              <w:t xml:space="preserve">“</w:t>
            </w:r>
            <w:r>
              <w:t xml:space="preserve">quasi définitif</w:t>
            </w:r>
            <w:r>
              <w:t xml:space="preserve">”</w:t>
            </w:r>
            <w:r>
              <w:t xml:space="preserve"> </w:t>
            </w:r>
            <w:r>
              <w:t xml:space="preserve">in intent</w:t>
            </w:r>
          </w:p>
        </w:tc>
        <w:tc>
          <w:tcPr/>
          <w:p>
            <w:pPr>
              <w:pStyle w:val="Compact"/>
              <w:jc w:val="left"/>
            </w:pPr>
            <w:r>
              <w:t xml:space="preserve">t1 ll. 17831–34, 17848–53</w:t>
            </w:r>
          </w:p>
        </w:tc>
      </w:tr>
      <w:tr>
        <w:tc>
          <w:tcPr/>
          <w:p>
            <w:pPr>
              <w:pStyle w:val="Compact"/>
              <w:jc w:val="left"/>
            </w:pPr>
            <w:r>
              <w:t xml:space="preserve">1449–53 ●</w:t>
            </w:r>
          </w:p>
        </w:tc>
        <w:tc>
          <w:tcPr/>
          <w:p>
            <w:pPr>
              <w:pStyle w:val="Compact"/>
              <w:jc w:val="left"/>
            </w:pPr>
            <w:r>
              <w:t xml:space="preserve">The decisive employment: Normandy 1449–50, Guyenne 1451/1453 (594,737 l.t. for the 1451 campaign); Castillon 17 July 1453</w:t>
            </w:r>
          </w:p>
        </w:tc>
        <w:tc>
          <w:tcPr/>
          <w:p>
            <w:pPr>
              <w:pStyle w:val="Compact"/>
              <w:jc w:val="left"/>
            </w:pPr>
            <w:r>
              <w:t xml:space="preserve">ch06 memo/probe; t1 ll. 18967–74</w:t>
            </w:r>
          </w:p>
        </w:tc>
      </w:tr>
      <w:tr>
        <w:tc>
          <w:tcPr/>
          <w:p>
            <w:pPr>
              <w:pStyle w:val="Compact"/>
              <w:jc w:val="left"/>
            </w:pPr>
            <w:r>
              <w:t xml:space="preserve">c. 1450 ◆</w:t>
            </w:r>
          </w:p>
        </w:tc>
        <w:tc>
          <w:tcPr/>
          <w:p>
            <w:pPr>
              <w:pStyle w:val="Compact"/>
              <w:jc w:val="left"/>
            </w:pPr>
            <w:r>
              <w:t xml:space="preserve">The single</w:t>
            </w:r>
            <w:r>
              <w:t xml:space="preserve"> </w:t>
            </w:r>
            <w:r>
              <w:t xml:space="preserve">“</w:t>
            </w:r>
            <w:r>
              <w:t xml:space="preserve">general statement</w:t>
            </w:r>
            <w:r>
              <w:t xml:space="preserve">”</w:t>
            </w:r>
            <w:r>
              <w:t xml:space="preserve"> </w:t>
            </w:r>
            <w:r>
              <w:t xml:space="preserve">of finance; annual ordinances without Estates’ sanction through the 1440s</w:t>
            </w:r>
          </w:p>
        </w:tc>
        <w:tc>
          <w:tcPr/>
          <w:p>
            <w:pPr>
              <w:pStyle w:val="Compact"/>
              <w:jc w:val="left"/>
            </w:pPr>
            <w:r>
              <w:t xml:space="preserve">ch10 memo §2 [T3 — retrieval pending]</w:t>
            </w:r>
          </w:p>
        </w:tc>
      </w:tr>
      <w:tr>
        <w:tc>
          <w:tcPr/>
          <w:p>
            <w:pPr>
              <w:pStyle w:val="Compact"/>
              <w:jc w:val="left"/>
            </w:pPr>
            <w:r>
              <w:t xml:space="preserve">1484 ◆</w:t>
            </w:r>
          </w:p>
        </w:tc>
        <w:tc>
          <w:tcPr/>
          <w:p>
            <w:pPr>
              <w:pStyle w:val="Compact"/>
              <w:jc w:val="left"/>
            </w:pPr>
            <w:r>
              <w:t xml:space="preserve">Estates of Tours force temporary levies again — the machine absorbs the cut</w:t>
            </w:r>
          </w:p>
        </w:tc>
        <w:tc>
          <w:tcPr/>
          <w:p>
            <w:pPr>
              <w:pStyle w:val="Compact"/>
              <w:jc w:val="left"/>
            </w:pPr>
            <w:r>
              <w:t xml:space="preserve">t1 ll. 18488–95; memo §2</w:t>
            </w:r>
          </w:p>
        </w:tc>
      </w:tr>
    </w:tbl>
    <w:p>
      <w:pPr>
        <w:pStyle w:val="BodyText"/>
      </w:pPr>
      <w:r>
        <w:rPr>
          <w:bCs/>
          <w:b/>
        </w:rPr>
        <w:t xml:space="preserve">Reading the table against spine §8(a) — recorded, not resolved:</w:t>
      </w:r>
    </w:p>
    <w:p>
      <w:pPr>
        <w:numPr>
          <w:ilvl w:val="0"/>
          <w:numId w:val="1009"/>
        </w:numPr>
        <w:pStyle w:val="Compact"/>
      </w:pPr>
      <w:r>
        <w:rPr>
          <w:bCs/>
          <w:b/>
        </w:rPr>
        <w:t xml:space="preserve">Co-evolution is supported.</w:t>
      </w:r>
      <w:r>
        <w:t xml:space="preserve"> </w:t>
      </w:r>
      <w:r>
        <w:t xml:space="preserve">Fiscal and artillery steps</w:t>
      </w:r>
      <w:r>
        <w:t xml:space="preserve"> </w:t>
      </w:r>
      <w:r>
        <w:t xml:space="preserve">interleave across two decades; neither series completes before</w:t>
      </w:r>
      <w:r>
        <w:t xml:space="preserve"> </w:t>
      </w:r>
      <w:r>
        <w:t xml:space="preserve">the other starts. The Bureau ascendancy (1437–41) and the 2:1</w:t>
      </w:r>
      <w:r>
        <w:t xml:space="preserve"> </w:t>
      </w:r>
      <w:r>
        <w:t xml:space="preserve">procurement budget (1442) sit BETWEEN the monopoly claim (1439)</w:t>
      </w:r>
      <w:r>
        <w:t xml:space="preserve"> </w:t>
      </w:r>
      <w:r>
        <w:t xml:space="preserve">and the working fisc (1445): the guns that earned</w:t>
      </w:r>
      <w:r>
        <w:t xml:space="preserve"> </w:t>
      </w:r>
      <w:r>
        <w:t xml:space="preserve">“</w:t>
      </w:r>
      <w:r>
        <w:t xml:space="preserve">visible</w:t>
      </w:r>
      <w:r>
        <w:t xml:space="preserve"> </w:t>
      </w:r>
      <w:r>
        <w:t xml:space="preserve">returns</w:t>
      </w:r>
      <w:r>
        <w:t xml:space="preserve">”</w:t>
      </w:r>
      <w:r>
        <w:t xml:space="preserve"> </w:t>
      </w:r>
      <w:r>
        <w:t xml:space="preserve">were financed under the improvised regime (</w:t>
      </w:r>
      <w:r>
        <w:t xml:space="preserve">“</w:t>
      </w:r>
      <w:r>
        <w:t xml:space="preserve">ni budget,</w:t>
      </w:r>
      <w:r>
        <w:t xml:space="preserve"> </w:t>
      </w:r>
      <w:r>
        <w:t xml:space="preserve">ni prévisions</w:t>
      </w:r>
      <w:r>
        <w:t xml:space="preserve">”</w:t>
      </w:r>
      <w:r>
        <w:t xml:space="preserve">) — royal artillery superiority was achieved</w:t>
      </w:r>
      <w:r>
        <w:t xml:space="preserve"> </w:t>
      </w:r>
      <w:r>
        <w:rPr>
          <w:iCs/>
          <w:i/>
        </w:rPr>
        <w:t xml:space="preserve">before</w:t>
      </w:r>
      <w:r>
        <w:t xml:space="preserve"> </w:t>
      </w:r>
      <w:r>
        <w:t xml:space="preserve">predictable finance existed, and predictable finance</w:t>
      </w:r>
      <w:r>
        <w:t xml:space="preserve"> </w:t>
      </w:r>
      <w:r>
        <w:t xml:space="preserve">then institutionalised it.</w:t>
      </w:r>
    </w:p>
    <w:p>
      <w:pPr>
        <w:numPr>
          <w:ilvl w:val="0"/>
          <w:numId w:val="1009"/>
        </w:numPr>
        <w:pStyle w:val="Compact"/>
      </w:pPr>
      <w:r>
        <w:rPr>
          <w:bCs/>
          <w:b/>
        </w:rPr>
        <w:t xml:space="preserve">The ratchet reading survives with a refinement.</w:t>
      </w:r>
      <w:r>
        <w:t xml:space="preserve"> </w:t>
      </w:r>
      <w:r>
        <w:t xml:space="preserve">The</w:t>
      </w:r>
      <w:r>
        <w:t xml:space="preserve"> </w:t>
      </w:r>
      <w:r>
        <w:t xml:space="preserve">irreversibility Contamine documents is dated 1445–46 —</w:t>
      </w:r>
      <w:r>
        <w:t xml:space="preserve"> </w:t>
      </w:r>
      <w:r>
        <w:t xml:space="preserve">“</w:t>
      </w:r>
      <w:r>
        <w:t xml:space="preserve">un</w:t>
      </w:r>
      <w:r>
        <w:t xml:space="preserve"> </w:t>
      </w:r>
      <w:r>
        <w:t xml:space="preserve">caractère quasi définitif</w:t>
      </w:r>
      <w:r>
        <w:t xml:space="preserve">”</w:t>
      </w:r>
      <w:r>
        <w:t xml:space="preserve"> </w:t>
      </w:r>
      <w:r>
        <w:t xml:space="preserve">in the councillors’ minds — BEFORE the</w:t>
      </w:r>
      <w:r>
        <w:t xml:space="preserve"> </w:t>
      </w:r>
      <w:r>
        <w:t xml:space="preserve">wall-breaking proof of 1449–53. What 1449–53 ratcheted was not</w:t>
      </w:r>
      <w:r>
        <w:t xml:space="preserve"> </w:t>
      </w:r>
      <w:r>
        <w:t xml:space="preserve">the crown’s intent (already fixed) but the</w:t>
      </w:r>
      <w:r>
        <w:t xml:space="preserve"> </w:t>
      </w:r>
      <w:r>
        <w:rPr>
          <w:iCs/>
          <w:i/>
        </w:rPr>
        <w:t xml:space="preserve">acquiescence</w:t>
      </w:r>
      <w:r>
        <w:t xml:space="preserve">: no</w:t>
      </w:r>
      <w:r>
        <w:t xml:space="preserve"> </w:t>
      </w:r>
      <w:r>
        <w:t xml:space="preserve">Estates General was summoned again until 1484, and when it met,</w:t>
      </w:r>
      <w:r>
        <w:t xml:space="preserve"> </w:t>
      </w:r>
      <w:r>
        <w:t xml:space="preserve">the machine survived it. If the draft states the ratchet, it</w:t>
      </w:r>
      <w:r>
        <w:t xml:space="preserve"> </w:t>
      </w:r>
      <w:r>
        <w:t xml:space="preserve">should specify whose reversal-option the ratchet removed.</w:t>
      </w:r>
    </w:p>
    <w:p>
      <w:pPr>
        <w:numPr>
          <w:ilvl w:val="0"/>
          <w:numId w:val="1009"/>
        </w:numPr>
        <w:pStyle w:val="Compact"/>
      </w:pPr>
      <w:r>
        <w:rPr>
          <w:bCs/>
          <w:b/>
        </w:rPr>
        <w:t xml:space="preserve">One premise of §8(a) is currently unverifiable in repo:</w:t>
      </w:r>
      <w:r>
        <w:t xml:space="preserve"> </w:t>
      </w:r>
      <w:r>
        <w:t xml:space="preserve">“</w:t>
      </w:r>
      <w:r>
        <w:t xml:space="preserve">the</w:t>
      </w:r>
      <w:r>
        <w:t xml:space="preserve"> </w:t>
      </w:r>
      <w:r>
        <w:t xml:space="preserve">Estates voted permanence</w:t>
      </w:r>
      <w:r>
        <w:t xml:space="preserve">”</w:t>
      </w:r>
      <w:r>
        <w:t xml:space="preserve"> </w:t>
      </w:r>
      <w:r>
        <w:t xml:space="preserve">in 1439. Contamine documents no taille</w:t>
      </w:r>
      <w:r>
        <w:t xml:space="preserve"> </w:t>
      </w:r>
      <w:r>
        <w:t xml:space="preserve">grant at Orléans at all; permanence was practice (annual</w:t>
      </w:r>
      <w:r>
        <w:t xml:space="preserve"> </w:t>
      </w:r>
      <w:r>
        <w:t xml:space="preserve">ordinances, the 1446 formula, the 1450 consolidation). The</w:t>
      </w:r>
      <w:r>
        <w:t xml:space="preserve"> </w:t>
      </w:r>
      <w:r>
        <w:t xml:space="preserve">sentence</w:t>
      </w:r>
      <w:r>
        <w:t xml:space="preserve"> </w:t>
      </w:r>
      <w:r>
        <w:t xml:space="preserve">“</w:t>
      </w:r>
      <w:r>
        <w:t xml:space="preserve">the taille of 1439</w:t>
      </w:r>
      <w:r>
        <w:t xml:space="preserve">”</w:t>
      </w:r>
      <w:r>
        <w:t xml:space="preserve"> </w:t>
      </w:r>
      <w:r>
        <w:t xml:space="preserve">should be treated as period</w:t>
      </w:r>
      <w:r>
        <w:t xml:space="preserve"> </w:t>
      </w:r>
      <w:r>
        <w:t xml:space="preserve">shorthand pending the ordonnance text and the gated literature</w:t>
      </w:r>
      <w:r>
        <w:t xml:space="preserve"> </w:t>
      </w:r>
      <w:r>
        <w:t xml:space="preserve">(§1). FLAGGED for Roderick — the spine is his document; the</w:t>
      </w:r>
      <w:r>
        <w:t xml:space="preserve"> </w:t>
      </w:r>
      <w:r>
        <w:t xml:space="preserve">probe’s job is only to report that the record in repo does not</w:t>
      </w:r>
      <w:r>
        <w:t xml:space="preserve"> </w:t>
      </w:r>
      <w:r>
        <w:t xml:space="preserve">yet carry that clause of it.</w:t>
      </w:r>
    </w:p>
    <w:p>
      <w:pPr>
        <w:numPr>
          <w:ilvl w:val="0"/>
          <w:numId w:val="1009"/>
        </w:numPr>
        <w:pStyle w:val="Compact"/>
      </w:pPr>
      <w:r>
        <w:rPr>
          <w:bCs/>
          <w:b/>
        </w:rPr>
        <w:t xml:space="preserve">The</w:t>
      </w:r>
      <w:r>
        <w:rPr>
          <w:bCs/>
          <w:b/>
        </w:rPr>
        <w:t xml:space="preserve"> </w:t>
      </w:r>
      <w:r>
        <w:rPr>
          <w:bCs/>
          <w:b/>
        </w:rPr>
        <w:t xml:space="preserve">“</w:t>
      </w:r>
      <w:r>
        <w:rPr>
          <w:bCs/>
          <w:b/>
        </w:rPr>
        <w:t xml:space="preserve">visible returns</w:t>
      </w:r>
      <w:r>
        <w:rPr>
          <w:bCs/>
          <w:b/>
        </w:rPr>
        <w:t xml:space="preserve">”</w:t>
      </w:r>
      <w:r>
        <w:rPr>
          <w:bCs/>
          <w:b/>
        </w:rPr>
        <w:t xml:space="preserve"> </w:t>
      </w:r>
      <w:r>
        <w:rPr>
          <w:bCs/>
          <w:b/>
        </w:rPr>
        <w:t xml:space="preserve">premise is partially supported:</w:t>
      </w:r>
      <w:r>
        <w:t xml:space="preserve"> </w:t>
      </w:r>
      <w:r>
        <w:t xml:space="preserve">Contamine’s own explanation of the 1429–45 successes includes</w:t>
      </w:r>
      <w:r>
        <w:t xml:space="preserve"> </w:t>
      </w:r>
      <w:r>
        <w:t xml:space="preserve">artillery surpassing the adversary’s, and the demonstration</w:t>
      </w:r>
      <w:r>
        <w:t xml:space="preserve"> </w:t>
      </w:r>
      <w:r>
        <w:t xml:space="preserve">sieges the brothers ran (Montereau 1437, Meaux 1439) precede</w:t>
      </w:r>
      <w:r>
        <w:t xml:space="preserve"> </w:t>
      </w:r>
      <w:r>
        <w:t xml:space="preserve">Orléans by months — but no source in repo states that the</w:t>
      </w:r>
      <w:r>
        <w:t xml:space="preserve"> </w:t>
      </w:r>
      <w:r>
        <w:t xml:space="preserve">Estates acted</w:t>
      </w:r>
      <w:r>
        <w:t xml:space="preserve"> </w:t>
      </w:r>
      <w:r>
        <w:rPr>
          <w:iCs/>
          <w:i/>
        </w:rPr>
        <w:t xml:space="preserve">because of</w:t>
      </w:r>
      <w:r>
        <w:t xml:space="preserve"> </w:t>
      </w:r>
      <w:r>
        <w:t xml:space="preserve">the guns. Motive remains open;</w:t>
      </w:r>
      <w:r>
        <w:t xml:space="preserve"> </w:t>
      </w:r>
      <w:r>
        <w:t xml:space="preserve">sequence is established.</w:t>
      </w:r>
    </w:p>
    <w:p>
      <w:r>
        <w:pict>
          <v:rect style="width:0;height:1.5pt" o:hralign="center" o:hrstd="t" o:hr="t"/>
        </w:pict>
      </w:r>
    </w:p>
    <w:bookmarkEnd w:id="58"/>
    <w:bookmarkStart w:id="59" w:name="X451edf21125ce8a0731ea3ff840c009a224c62b"/>
    <w:p>
      <w:pPr>
        <w:pStyle w:val="Heading2"/>
      </w:pPr>
      <w:r>
        <w:t xml:space="preserve">RETRIEVAL LIST consequences (entered on retrieval-master)</w:t>
      </w:r>
    </w:p>
    <w:p>
      <w:pPr>
        <w:numPr>
          <w:ilvl w:val="0"/>
          <w:numId w:val="1010"/>
        </w:numPr>
        <w:pStyle w:val="Compact"/>
      </w:pPr>
      <w:r>
        <w:rPr>
          <w:iCs/>
          <w:i/>
        </w:rPr>
        <w:t xml:space="preserve">Ordonnances des Roys de France</w:t>
      </w:r>
      <w:r>
        <w:t xml:space="preserve"> </w:t>
      </w:r>
      <w:r>
        <w:t xml:space="preserve">t. XIII pp. 306–313 (Gallica,</w:t>
      </w:r>
      <w:r>
        <w:t xml:space="preserve"> </w:t>
      </w:r>
      <w:r>
        <w:t xml:space="preserve">bot-blocked — HUMAN PULL): the 1439 text at article level.</w:t>
      </w:r>
    </w:p>
    <w:p>
      <w:pPr>
        <w:numPr>
          <w:ilvl w:val="0"/>
          <w:numId w:val="1010"/>
        </w:numPr>
        <w:pStyle w:val="Compact"/>
      </w:pPr>
      <w:r>
        <w:t xml:space="preserve">Henneman (2 vols), Major, Wolfe — as already listed (spine §8</w:t>
      </w:r>
      <w:r>
        <w:t xml:space="preserve"> </w:t>
      </w:r>
      <w:r>
        <w:t xml:space="preserve">probes row): the taille/aides/gabelle architecture, the élus and</w:t>
      </w:r>
      <w:r>
        <w:t xml:space="preserve"> </w:t>
      </w:r>
      <w:r>
        <w:t xml:space="preserve">généralités, the Estates’ politics, the permanence question.</w:t>
      </w:r>
    </w:p>
    <w:p>
      <w:pPr>
        <w:numPr>
          <w:ilvl w:val="0"/>
          <w:numId w:val="1010"/>
        </w:numPr>
        <w:pStyle w:val="Compact"/>
      </w:pPr>
      <w:r>
        <w:t xml:space="preserve">A T2 carrier for the Praguerie’s military course (Cusset).</w:t>
      </w:r>
    </w:p>
    <w:p>
      <w:pPr>
        <w:pStyle w:val="FirstParagraph"/>
      </w:pPr>
      <w:r>
        <w:t xml:space="preserve">STATUS: PENDING HUMAN REVIEW</w:t>
      </w:r>
    </w:p>
    <w:bookmarkEnd w:id="59"/>
    <w:bookmarkStart w:id="60" w:name="X3d37618a76574fc54f7c73e246314186d629467"/>
    <w:p>
      <w:pPr>
        <w:pStyle w:val="Heading2"/>
      </w:pPr>
      <w:r>
        <w:t xml:space="preserve">B2. ch12/standard-oil-offswitch.md — the energy off-switch after 1911</w:t>
      </w:r>
    </w:p>
    <w:bookmarkEnd w:id="60"/>
    <w:bookmarkEnd w:id="61"/>
    <w:bookmarkStart w:id="71" w:name="Xe8c9455853acc89108476a3afaf7f5d0e24daed"/>
    <w:p>
      <w:pPr>
        <w:pStyle w:val="Heading1"/>
      </w:pPr>
      <w:r>
        <w:t xml:space="preserve">The Standard Oil Off-Switch — Evidentiary Probe</w:t>
      </w:r>
    </w:p>
    <w:bookmarkStart w:id="62" w:name="Xc27f334226e59e2d8e6be27d96b79cd314f1836"/>
    <w:p>
      <w:pPr>
        <w:pStyle w:val="Heading2"/>
      </w:pPr>
      <w:r>
        <w:t xml:space="preserve">The 1911 breakup as a control-rights story, and where the power to turn off the energy went</w:t>
      </w:r>
    </w:p>
    <w:p>
      <w:pPr>
        <w:pStyle w:val="FirstParagraph"/>
      </w:pPr>
      <w:r>
        <w:rPr>
          <w:bCs/>
          <w:b/>
        </w:rPr>
        <w:t xml:space="preserve">Companion evidence file to ch12/memo.md (REVIEWED). Compiled</w:t>
      </w:r>
      <w:r>
        <w:rPr>
          <w:bCs/>
          <w:b/>
        </w:rPr>
        <w:t xml:space="preserve"> </w:t>
      </w:r>
      <w:r>
        <w:rPr>
          <w:bCs/>
          <w:b/>
        </w:rPr>
        <w:t xml:space="preserve">2026-09-02 under spine §8(c)’s RESEARCH note. Buff Box standard</w:t>
      </w:r>
      <w:r>
        <w:rPr>
          <w:bCs/>
          <w:b/>
        </w:rPr>
        <w:t xml:space="preserve"> </w:t>
      </w:r>
      <w:r>
        <w:rPr>
          <w:bCs/>
          <w:b/>
        </w:rPr>
        <w:t xml:space="preserve">(CLAUDE.md §§4–5): omission over invention; nothing cited from memory</w:t>
      </w:r>
      <w:r>
        <w:rPr>
          <w:bCs/>
          <w:b/>
        </w:rPr>
        <w:t xml:space="preserve"> </w:t>
      </w:r>
      <w:r>
        <w:rPr>
          <w:bCs/>
          <w:b/>
        </w:rPr>
        <w:t xml:space="preserve">as if consulted; every gated dependency flagged. Primary sources</w:t>
      </w:r>
      <w:r>
        <w:rPr>
          <w:bCs/>
          <w:b/>
        </w:rPr>
        <w:t xml:space="preserve"> </w:t>
      </w:r>
      <w:r>
        <w:rPr>
          <w:bCs/>
          <w:b/>
        </w:rPr>
        <w:t xml:space="preserve">retrieved this session into</w:t>
      </w:r>
      <w:r>
        <w:rPr>
          <w:bCs/>
          <w:b/>
        </w:rPr>
        <w:t xml:space="preserve"> </w:t>
      </w:r>
      <w:r>
        <w:rPr>
          <w:rStyle w:val="VerbatimChar"/>
          <w:bCs/>
          <w:b/>
        </w:rPr>
        <w:t xml:space="preserve">corpus/retrieved/</w:t>
      </w:r>
      <w:r>
        <w:rPr>
          <w:bCs/>
          <w:b/>
        </w:rPr>
        <w:t xml:space="preserve"> </w:t>
      </w:r>
      <w:r>
        <w:rPr>
          <w:bCs/>
          <w:b/>
        </w:rPr>
        <w:t xml:space="preserve">(T1, open, verbatim</w:t>
      </w:r>
      <w:r>
        <w:rPr>
          <w:bCs/>
          <w:b/>
        </w:rPr>
        <w:t xml:space="preserve"> </w:t>
      </w:r>
      <w:r>
        <w:rPr>
          <w:bCs/>
          <w:b/>
        </w:rPr>
        <w:t xml:space="preserve">extracts verified):</w:t>
      </w:r>
      <w:r>
        <w:rPr>
          <w:bCs/>
          <w:b/>
        </w:rPr>
        <w:t xml:space="preserve"> </w:t>
      </w:r>
      <w:r>
        <w:rPr>
          <w:iCs/>
          <w:i/>
          <w:bCs/>
          <w:b/>
        </w:rPr>
        <w:t xml:space="preserve">Standard Oil Co. of New Jersey v. United</w:t>
      </w:r>
      <w:r>
        <w:rPr>
          <w:iCs/>
          <w:i/>
          <w:bCs/>
          <w:b/>
        </w:rPr>
        <w:t xml:space="preserve"> </w:t>
      </w:r>
      <w:r>
        <w:rPr>
          <w:iCs/>
          <w:i/>
          <w:bCs/>
          <w:b/>
        </w:rPr>
        <w:t xml:space="preserve">States</w:t>
      </w:r>
      <w:r>
        <w:rPr>
          <w:bCs/>
          <w:b/>
        </w:rPr>
        <w:t xml:space="preserve">, 221 U.S. 1 (1911) — Cornell LII text AND the official U.S.</w:t>
      </w:r>
      <w:r>
        <w:rPr>
          <w:bCs/>
          <w:b/>
        </w:rPr>
        <w:t xml:space="preserve"> </w:t>
      </w:r>
      <w:r>
        <w:rPr>
          <w:bCs/>
          <w:b/>
        </w:rPr>
        <w:t xml:space="preserve">Reports vol. 221 PDF (Library of Congress; includes the decree</w:t>
      </w:r>
      <w:r>
        <w:rPr>
          <w:bCs/>
          <w:b/>
        </w:rPr>
        <w:t xml:space="preserve"> </w:t>
      </w:r>
      <w:r>
        <w:rPr>
          <w:bCs/>
          <w:b/>
        </w:rPr>
        <w:t xml:space="preserve">footnote LII omits); Hepburn Act, 34 Stat. 584 (1906); TWEA, 40</w:t>
      </w:r>
      <w:r>
        <w:rPr>
          <w:bCs/>
          <w:b/>
        </w:rPr>
        <w:t xml:space="preserve"> </w:t>
      </w:r>
      <w:r>
        <w:rPr>
          <w:bCs/>
          <w:b/>
        </w:rPr>
        <w:t xml:space="preserve">Stat. 411 (1917); Panama Refining v. Ryan, 293 U.S. 388 (1935);</w:t>
      </w:r>
      <w:r>
        <w:rPr>
          <w:bCs/>
          <w:b/>
        </w:rPr>
        <w:t xml:space="preserve"> </w:t>
      </w:r>
      <w:r>
        <w:rPr>
          <w:bCs/>
          <w:b/>
        </w:rPr>
        <w:t xml:space="preserve">Connally Hot Oil Act, 49 Stat. 30 (1935); Interstate Oil Compact</w:t>
      </w:r>
      <w:r>
        <w:rPr>
          <w:bCs/>
          <w:b/>
        </w:rPr>
        <w:t xml:space="preserve"> </w:t>
      </w:r>
      <w:r>
        <w:rPr>
          <w:bCs/>
          <w:b/>
        </w:rPr>
        <w:t xml:space="preserve">consent, 49 Stat. 939 (1935); EO 8832 (26 July 1941, via FRUS);</w:t>
      </w:r>
      <w:r>
        <w:rPr>
          <w:bCs/>
          <w:b/>
        </w:rPr>
        <w:t xml:space="preserve"> </w:t>
      </w:r>
      <w:r>
        <w:rPr>
          <w:bCs/>
          <w:b/>
        </w:rPr>
        <w:t xml:space="preserve">EPCA, Pub. L. 94-163, 89 Stat. 871 (1975); IEEPA, 50 U.S.C.</w:t>
      </w:r>
      <w:r>
        <w:rPr>
          <w:bCs/>
          <w:b/>
        </w:rPr>
        <w:t xml:space="preserve"> </w:t>
      </w:r>
      <w:r>
        <w:rPr>
          <w:bCs/>
          <w:b/>
        </w:rPr>
        <w:t xml:space="preserve">1701–02; Railroad Comm’n v. Rowan &amp; Nichols, 310 U.S. 573 (1940);</w:t>
      </w:r>
      <w:r>
        <w:rPr>
          <w:bCs/>
          <w:b/>
        </w:rPr>
        <w:t xml:space="preserve"> </w:t>
      </w:r>
      <w:r>
        <w:rPr>
          <w:bCs/>
          <w:b/>
        </w:rPr>
        <w:t xml:space="preserve">the Texas RRC’s own history page (.gov) and a New Mexico OCD</w:t>
      </w:r>
      <w:r>
        <w:rPr>
          <w:bCs/>
          <w:b/>
        </w:rPr>
        <w:t xml:space="preserve"> </w:t>
      </w:r>
      <w:r>
        <w:rPr>
          <w:bCs/>
          <w:b/>
        </w:rPr>
        <w:t xml:space="preserve">proration chronology (.gov exhibit). GATED, cited from nothing:</w:t>
      </w:r>
      <w:r>
        <w:rPr>
          <w:bCs/>
          <w:b/>
        </w:rPr>
        <w:t xml:space="preserve"> </w:t>
      </w:r>
      <w:r>
        <w:rPr>
          <w:bCs/>
          <w:b/>
        </w:rPr>
        <w:t xml:space="preserve">Chernow,</w:t>
      </w:r>
      <w:r>
        <w:rPr>
          <w:bCs/>
          <w:b/>
        </w:rPr>
        <w:t xml:space="preserve"> </w:t>
      </w:r>
      <w:r>
        <w:rPr>
          <w:iCs/>
          <w:i/>
          <w:bCs/>
          <w:b/>
        </w:rPr>
        <w:t xml:space="preserve">Titan</w:t>
      </w:r>
      <w:r>
        <w:rPr>
          <w:bCs/>
          <w:b/>
        </w:rPr>
        <w:t xml:space="preserve">; Yergin,</w:t>
      </w:r>
      <w:r>
        <w:rPr>
          <w:bCs/>
          <w:b/>
        </w:rPr>
        <w:t xml:space="preserve"> </w:t>
      </w:r>
      <w:r>
        <w:rPr>
          <w:iCs/>
          <w:i/>
          <w:bCs/>
          <w:b/>
        </w:rPr>
        <w:t xml:space="preserve">The Prize</w:t>
      </w:r>
      <w:r>
        <w:rPr>
          <w:bCs/>
          <w:b/>
        </w:rPr>
        <w:t xml:space="preserve">; Childs; Bringhurst</w:t>
      </w:r>
      <w:r>
        <w:rPr>
          <w:bCs/>
          <w:b/>
        </w:rPr>
        <w:t xml:space="preserve"> </w:t>
      </w:r>
      <w:r>
        <w:rPr>
          <w:bCs/>
          <w:b/>
        </w:rPr>
        <w:t xml:space="preserve">(retrieval-master, 2026-09-02 section).</w:t>
      </w:r>
    </w:p>
    <w:p>
      <w:r>
        <w:pict>
          <v:rect style="width:0;height:1.5pt" o:hralign="center" o:hrstd="t" o:hr="t"/>
        </w:pict>
      </w:r>
    </w:p>
    <w:bookmarkEnd w:id="62"/>
    <w:bookmarkStart w:id="63" w:name="Xbfbc052eab869d6175497598ba0513373d6398d"/>
    <w:p>
      <w:pPr>
        <w:pStyle w:val="Heading2"/>
      </w:pPr>
      <w:r>
        <w:t xml:space="preserve">1. What the Court actually ordered, 15 May 1911</w:t>
      </w:r>
    </w:p>
    <w:p>
      <w:pPr>
        <w:pStyle w:val="FirstParagraph"/>
      </w:pPr>
      <w:r>
        <w:rPr>
          <w:bCs/>
          <w:b/>
        </w:rPr>
        <w:t xml:space="preserve">The standard [T1, verbatim].</w:t>
      </w:r>
      <w:r>
        <w:t xml:space="preserve"> </w:t>
      </w:r>
      <w:r>
        <w:t xml:space="preserve">The rule of reason: the Sherman Act</w:t>
      </w:r>
      <w:r>
        <w:t xml:space="preserve"> </w:t>
      </w:r>
      <w:r>
        <w:t xml:space="preserve">“</w:t>
      </w:r>
      <w:r>
        <w:t xml:space="preserve">prohibits all contracts and combination which amount to an</w:t>
      </w:r>
      <w:r>
        <w:t xml:space="preserve"> </w:t>
      </w:r>
      <w:r>
        <w:t xml:space="preserve">unreasonable or undue restraint of trade in interstate commerce</w:t>
      </w:r>
      <w:r>
        <w:t xml:space="preserve">”</w:t>
      </w:r>
      <w:r>
        <w:t xml:space="preserve"> </w:t>
      </w:r>
      <w:r>
        <w:t xml:space="preserve">(syllabus, 221 U.S. 1); the statute left the wrong</w:t>
      </w:r>
      <w:r>
        <w:t xml:space="preserve"> </w:t>
      </w:r>
      <w:r>
        <w:t xml:space="preserve">“</w:t>
      </w:r>
      <w:r>
        <w:t xml:space="preserve">to be determined</w:t>
      </w:r>
      <w:r>
        <w:t xml:space="preserve"> </w:t>
      </w:r>
      <w:r>
        <w:t xml:space="preserve">by the light of reason, guided by the principles of law</w:t>
      </w:r>
      <w:r>
        <w:t xml:space="preserve">”</w:t>
      </w:r>
      <w:r>
        <w:t xml:space="preserve"> </w:t>
      </w:r>
      <w:r>
        <w:t xml:space="preserve">(~221 U.S.</w:t>
      </w:r>
      <w:r>
        <w:t xml:space="preserve"> </w:t>
      </w:r>
      <w:r>
        <w:t xml:space="preserve">63–64).</w:t>
      </w:r>
    </w:p>
    <w:p>
      <w:pPr>
        <w:pStyle w:val="BodyText"/>
      </w:pPr>
      <w:r>
        <w:rPr>
          <w:bCs/>
          <w:b/>
        </w:rPr>
        <w:t xml:space="preserve">The decree affirmed [T1, the Court’s recitation, ~221 U.S. 77–78].</w:t>
      </w:r>
      <w:r>
        <w:t xml:space="preserve"> </w:t>
      </w:r>
      <w:r>
        <w:t xml:space="preserve">The circuit court</w:t>
      </w:r>
      <w:r>
        <w:t xml:space="preserve"> </w:t>
      </w:r>
      <w:r>
        <w:t xml:space="preserve">“</w:t>
      </w:r>
      <w:r>
        <w:t xml:space="preserve">commanded the dissolution of the combination, and</w:t>
      </w:r>
      <w:r>
        <w:t xml:space="preserve"> </w:t>
      </w:r>
      <w:r>
        <w:t xml:space="preserve">therefore in effect, directed the transfer by the New Jersey</w:t>
      </w:r>
      <w:r>
        <w:t xml:space="preserve"> </w:t>
      </w:r>
      <w:r>
        <w:t xml:space="preserve">corporation back to the stockholders of the various subsidiary</w:t>
      </w:r>
      <w:r>
        <w:t xml:space="preserve"> </w:t>
      </w:r>
      <w:r>
        <w:t xml:space="preserve">corporations entitled to the same of the stock which had been turned</w:t>
      </w:r>
      <w:r>
        <w:t xml:space="preserve"> </w:t>
      </w:r>
      <w:r>
        <w:t xml:space="preserve">over to the New Jersey company in exchange for its stock.</w:t>
      </w:r>
      <w:r>
        <w:t xml:space="preserve">”</w:t>
      </w:r>
      <w:r>
        <w:t xml:space="preserve"> </w:t>
      </w:r>
      <w:r>
        <w:t xml:space="preserve">Decree § 5</w:t>
      </w:r>
      <w:r>
        <w:t xml:space="preserve"> </w:t>
      </w:r>
      <w:r>
        <w:t xml:space="preserve">“</w:t>
      </w:r>
      <w:r>
        <w:t xml:space="preserve">forbade the New Jersey corporation from in any form or manner</w:t>
      </w:r>
      <w:r>
        <w:t xml:space="preserve"> </w:t>
      </w:r>
      <w:r>
        <w:t xml:space="preserve">exercising any ownership or exerting any power directly or indirectly</w:t>
      </w:r>
      <w:r>
        <w:t xml:space="preserve"> </w:t>
      </w:r>
      <w:r>
        <w:t xml:space="preserve">in virtue of its apparent title to the stocks of the subsidiary</w:t>
      </w:r>
      <w:r>
        <w:t xml:space="preserve"> </w:t>
      </w:r>
      <w:r>
        <w:t xml:space="preserve">corporations</w:t>
      </w:r>
      <w:r>
        <w:t xml:space="preserve">”</w:t>
      </w:r>
      <w:r>
        <w:t xml:space="preserve">; § 6 enjoined the post-transfer owners</w:t>
      </w:r>
      <w:r>
        <w:t xml:space="preserve"> </w:t>
      </w:r>
      <w:r>
        <w:t xml:space="preserve">“</w:t>
      </w:r>
      <w:r>
        <w:t xml:space="preserve">from in any way</w:t>
      </w:r>
      <w:r>
        <w:t xml:space="preserve"> </w:t>
      </w:r>
      <w:r>
        <w:t xml:space="preserve">conspiring or combining to violate the act… and prohibited all</w:t>
      </w:r>
      <w:r>
        <w:t xml:space="preserve"> </w:t>
      </w:r>
      <w:r>
        <w:t xml:space="preserve">agreements between the subsidiary corporations or other stockholders</w:t>
      </w:r>
      <w:r>
        <w:t xml:space="preserve"> </w:t>
      </w:r>
      <w:r>
        <w:t xml:space="preserve">in the future, tending to produce or bring about further violations</w:t>
      </w:r>
      <w:r>
        <w:t xml:space="preserve"> </w:t>
      </w:r>
      <w:r>
        <w:t xml:space="preserve">of the act.</w:t>
      </w:r>
      <w:r>
        <w:t xml:space="preserve">”</w:t>
      </w:r>
      <w:r>
        <w:t xml:space="preserve"> </w:t>
      </w:r>
      <w:r>
        <w:t xml:space="preserve">Thirty days was extended to</w:t>
      </w:r>
      <w:r>
        <w:t xml:space="preserve"> </w:t>
      </w:r>
      <w:r>
        <w:t xml:space="preserve">“</w:t>
      </w:r>
      <w:r>
        <w:t xml:space="preserve">at least six months</w:t>
      </w:r>
      <w:r>
        <w:t xml:space="preserve">”</w:t>
      </w:r>
      <w:r>
        <w:t xml:space="preserve"> </w:t>
      </w:r>
      <w:r>
        <w:t xml:space="preserve">(~221</w:t>
      </w:r>
      <w:r>
        <w:t xml:space="preserve"> </w:t>
      </w:r>
      <w:r>
        <w:t xml:space="preserve">U.S. 81); the court below retained jurisdiction</w:t>
      </w:r>
      <w:r>
        <w:t xml:space="preserve"> </w:t>
      </w:r>
      <w:r>
        <w:t xml:space="preserve">“</w:t>
      </w:r>
      <w:r>
        <w:t xml:space="preserve">to compel compliance</w:t>
      </w:r>
      <w:r>
        <w:t xml:space="preserve"> </w:t>
      </w:r>
      <w:r>
        <w:t xml:space="preserve">in every respect.</w:t>
      </w:r>
      <w:r>
        <w:t xml:space="preserve">”</w:t>
      </w:r>
    </w:p>
    <w:p>
      <w:pPr>
        <w:pStyle w:val="BodyText"/>
      </w:pPr>
      <w:r>
        <w:rPr>
          <w:bCs/>
          <w:b/>
        </w:rPr>
        <w:t xml:space="preserve">The structure severed [T1].</w:t>
      </w:r>
      <w:r>
        <w:t xml:space="preserve"> </w:t>
      </w:r>
      <w:r>
        <w:t xml:space="preserve">Decree § 4 (verbatim in the U.S.</w:t>
      </w:r>
      <w:r>
        <w:t xml:space="preserve"> </w:t>
      </w:r>
      <w:r>
        <w:t xml:space="preserve">Reports footnote, ~pp. 42–44) tabulates the holding company’s ~37</w:t>
      </w:r>
      <w:r>
        <w:t xml:space="preserve"> </w:t>
      </w:r>
      <w:r>
        <w:t xml:space="preserve">subsidiaries — the state Standard Oils, Buckeye Pipe Line, National</w:t>
      </w:r>
      <w:r>
        <w:t xml:space="preserve"> </w:t>
      </w:r>
      <w:r>
        <w:t xml:space="preserve">Transit, Union Tank Line, Anglo-American, Waters-Pierce and the rest</w:t>
      </w:r>
      <w:r>
        <w:t xml:space="preserve"> </w:t>
      </w:r>
      <w:r>
        <w:t xml:space="preserve">— acquired for</w:t>
      </w:r>
      <w:r>
        <w:t xml:space="preserve"> </w:t>
      </w:r>
      <w:r>
        <w:t xml:space="preserve">“</w:t>
      </w:r>
      <w:r>
        <w:t xml:space="preserve">more than $90,000,000</w:t>
      </w:r>
      <w:r>
        <w:t xml:space="preserve">”</w:t>
      </w:r>
      <w:r>
        <w:t xml:space="preserve"> </w:t>
      </w:r>
      <w:r>
        <w:t xml:space="preserve">of SONJ stock; § 2 names</w:t>
      </w:r>
      <w:r>
        <w:t xml:space="preserve"> </w:t>
      </w:r>
      <w:r>
        <w:t xml:space="preserve">“</w:t>
      </w:r>
      <w:r>
        <w:t xml:space="preserve">the</w:t>
      </w:r>
      <w:r>
        <w:t xml:space="preserve"> </w:t>
      </w:r>
      <w:r>
        <w:t xml:space="preserve">seven individual defendants</w:t>
      </w:r>
      <w:r>
        <w:t xml:space="preserve">”</w:t>
      </w:r>
      <w:r>
        <w:t xml:space="preserve"> </w:t>
      </w:r>
      <w:r>
        <w:t xml:space="preserve">(John D. and William Rockefeller,</w:t>
      </w:r>
      <w:r>
        <w:t xml:space="preserve"> </w:t>
      </w:r>
      <w:r>
        <w:t xml:space="preserve">Rogers, Flagler, Archbold, Payne, Pratt) who</w:t>
      </w:r>
      <w:r>
        <w:t xml:space="preserve"> </w:t>
      </w:r>
      <w:r>
        <w:t xml:space="preserve">“</w:t>
      </w:r>
      <w:r>
        <w:t xml:space="preserve">united with the</w:t>
      </w:r>
      <w:r>
        <w:t xml:space="preserve"> </w:t>
      </w:r>
      <w:r>
        <w:t xml:space="preserve">Standard Oil Company… to form and effectuate this combination.</w:t>
      </w:r>
      <w:r>
        <w:t xml:space="preserve">”</w:t>
      </w:r>
    </w:p>
    <w:p>
      <w:r>
        <w:pict>
          <v:rect style="width:0;height:1.5pt" o:hralign="center" o:hrstd="t" o:hr="t"/>
        </w:pict>
      </w:r>
    </w:p>
    <w:bookmarkEnd w:id="63"/>
    <w:bookmarkStart w:id="64" w:name="X065d97ec7a40d935682086b63bb10125a1b7d13"/>
    <w:p>
      <w:pPr>
        <w:pStyle w:val="Heading2"/>
      </w:pPr>
      <w:r>
        <w:t xml:space="preserve">2. What the decree did NOT do — the probe’s first structural finding</w:t>
      </w:r>
    </w:p>
    <w:p>
      <w:pPr>
        <w:numPr>
          <w:ilvl w:val="0"/>
          <w:numId w:val="1011"/>
        </w:numPr>
        <w:pStyle w:val="Compact"/>
      </w:pPr>
      <w:r>
        <w:rPr>
          <w:bCs/>
          <w:b/>
        </w:rPr>
        <w:t xml:space="preserve">No divestiture by the individuals.</w:t>
      </w:r>
      <w:r>
        <w:t xml:space="preserve"> </w:t>
      </w:r>
      <w:r>
        <w:t xml:space="preserve">Nothing ordered any</w:t>
      </w:r>
      <w:r>
        <w:t xml:space="preserve"> </w:t>
      </w:r>
      <w:r>
        <w:t xml:space="preserve">shareholder to sell anything. The shares of the 37 successors went</w:t>
      </w:r>
      <w:r>
        <w:t xml:space="preserve"> </w:t>
      </w:r>
      <w:r>
        <w:t xml:space="preserve">back</w:t>
      </w:r>
      <w:r>
        <w:t xml:space="preserve"> </w:t>
      </w:r>
      <w:r>
        <w:t xml:space="preserve">“</w:t>
      </w:r>
      <w:r>
        <w:t xml:space="preserve">to the stockholders… entitled to the same</w:t>
      </w:r>
      <w:r>
        <w:t xml:space="preserve">”</w:t>
      </w:r>
      <w:r>
        <w:t xml:space="preserve"> </w:t>
      </w:r>
      <w:r>
        <w:t xml:space="preserve">— i.e. pro rata</w:t>
      </w:r>
      <w:r>
        <w:t xml:space="preserve"> </w:t>
      </w:r>
      <w:r>
        <w:t xml:space="preserve">to the holding company’s owners, Rockefeller first among them.</w:t>
      </w:r>
      <w:r>
        <w:t xml:space="preserve"> </w:t>
      </w:r>
      <w:r>
        <w:t xml:space="preserve">(The pro-rata mechanics appear in the opinion via the appellants’</w:t>
      </w:r>
      <w:r>
        <w:t xml:space="preserve"> </w:t>
      </w:r>
      <w:r>
        <w:t xml:space="preserve">recitation, ~221 U.S. 10; the circuit court decree’s own §§ 5–9</w:t>
      </w:r>
      <w:r>
        <w:t xml:space="preserve"> </w:t>
      </w:r>
      <w:r>
        <w:t xml:space="preserve">verbatim text is in 173 F. 177 (C.C.E.D. Mo. 1909), NOT recited in</w:t>
      </w:r>
      <w:r>
        <w:t xml:space="preserve"> </w:t>
      </w:r>
      <w:r>
        <w:t xml:space="preserve">full in the opinion —</w:t>
      </w:r>
      <w:r>
        <w:t xml:space="preserve"> </w:t>
      </w:r>
      <w:r>
        <w:rPr>
          <w:bCs/>
          <w:b/>
        </w:rPr>
        <w:t xml:space="preserve">[UNVERIFIED — RETRIEVAL: 173 F. 177, if a</w:t>
      </w:r>
      <w:r>
        <w:rPr>
          <w:bCs/>
          <w:b/>
        </w:rPr>
        <w:t xml:space="preserve"> </w:t>
      </w:r>
      <w:r>
        <w:rPr>
          <w:bCs/>
          <w:b/>
        </w:rPr>
        <w:t xml:space="preserve">verbatim decree paragraph is ever load-bearing]</w:t>
      </w:r>
      <w:r>
        <w:t xml:space="preserve">.) The Court</w:t>
      </w:r>
      <w:r>
        <w:t xml:space="preserve"> </w:t>
      </w:r>
      <w:r>
        <w:t xml:space="preserve">construed § 6</w:t>
      </w:r>
      <w:r>
        <w:t xml:space="preserve"> </w:t>
      </w:r>
      <w:r>
        <w:t xml:space="preserve">“</w:t>
      </w:r>
      <w:r>
        <w:t xml:space="preserve">not as depriving the stockholders or the</w:t>
      </w:r>
      <w:r>
        <w:t xml:space="preserve"> </w:t>
      </w:r>
      <w:r>
        <w:t xml:space="preserve">corporations… of the power to make normal and lawful contracts or</w:t>
      </w:r>
      <w:r>
        <w:t xml:space="preserve"> </w:t>
      </w:r>
      <w:r>
        <w:t xml:space="preserve">agreements, but as restraining them from, by any device whatever,</w:t>
      </w:r>
      <w:r>
        <w:t xml:space="preserve"> </w:t>
      </w:r>
      <w:r>
        <w:t xml:space="preserve">recreating directly or indirectly the illegal combination.</w:t>
      </w:r>
      <w:r>
        <w:t xml:space="preserve">”</w:t>
      </w:r>
    </w:p>
    <w:p>
      <w:pPr>
        <w:numPr>
          <w:ilvl w:val="0"/>
          <w:numId w:val="1011"/>
        </w:numPr>
        <w:pStyle w:val="Compact"/>
      </w:pPr>
      <w:r>
        <w:rPr>
          <w:bCs/>
          <w:b/>
        </w:rPr>
        <w:t xml:space="preserve">No operational severance of the physical system.</w:t>
      </w:r>
      <w:r>
        <w:t xml:space="preserve"> </w:t>
      </w:r>
      <w:r>
        <w:t xml:space="preserve">The Court’s</w:t>
      </w:r>
      <w:r>
        <w:t xml:space="preserve"> </w:t>
      </w:r>
      <w:r>
        <w:t xml:space="preserve">own illustration, verbatim:</w:t>
      </w:r>
      <w:r>
        <w:t xml:space="preserve"> </w:t>
      </w:r>
      <w:r>
        <w:t xml:space="preserve">“</w:t>
      </w:r>
      <w:r>
        <w:t xml:space="preserve">take the pipe lines. By the effect of</w:t>
      </w:r>
      <w:r>
        <w:t xml:space="preserve"> </w:t>
      </w:r>
      <w:r>
        <w:t xml:space="preserve">the transfer of the stock the pipe lines would come under the</w:t>
      </w:r>
      <w:r>
        <w:t xml:space="preserve"> </w:t>
      </w:r>
      <w:r>
        <w:t xml:space="preserve">control of various corporations instead of being subjected to a</w:t>
      </w:r>
      <w:r>
        <w:t xml:space="preserve"> </w:t>
      </w:r>
      <w:r>
        <w:t xml:space="preserve">uniform control. If various corporations owning the lines</w:t>
      </w:r>
      <w:r>
        <w:t xml:space="preserve"> </w:t>
      </w:r>
      <w:r>
        <w:t xml:space="preserve">determined in the public interests to so combine as to make a</w:t>
      </w:r>
      <w:r>
        <w:t xml:space="preserve"> </w:t>
      </w:r>
      <w:r>
        <w:t xml:space="preserve">continuous line, such agreement or combination would not be</w:t>
      </w:r>
      <w:r>
        <w:t xml:space="preserve"> </w:t>
      </w:r>
      <w:r>
        <w:t xml:space="preserve">repugnant to the act…</w:t>
      </w:r>
      <w:r>
        <w:t xml:space="preserve">”</w:t>
      </w:r>
      <w:r>
        <w:t xml:space="preserve"> </w:t>
      </w:r>
      <w:r>
        <w:t xml:space="preserve">— and the same for Union Tank Line’s</w:t>
      </w:r>
      <w:r>
        <w:t xml:space="preserve"> </w:t>
      </w:r>
      <w:r>
        <w:t xml:space="preserve">tank-car pooling. The decree severed the CONTROL STRUCTURE, not</w:t>
      </w:r>
      <w:r>
        <w:t xml:space="preserve"> </w:t>
      </w:r>
      <w:r>
        <w:t xml:space="preserve">the infrastructure; coordinated carriage was expressly</w:t>
      </w:r>
      <w:r>
        <w:t xml:space="preserve"> </w:t>
      </w:r>
      <w:r>
        <w:t xml:space="preserve">contemplated as lawful.</w:t>
      </w:r>
    </w:p>
    <w:p>
      <w:pPr>
        <w:numPr>
          <w:ilvl w:val="0"/>
          <w:numId w:val="1011"/>
        </w:numPr>
        <w:pStyle w:val="Compact"/>
      </w:pPr>
      <w:r>
        <w:rPr>
          <w:bCs/>
          <w:b/>
        </w:rPr>
        <w:t xml:space="preserve">The blanket injunction was struck.</w:t>
      </w:r>
      <w:r>
        <w:t xml:space="preserve"> </w:t>
      </w:r>
      <w:r>
        <w:t xml:space="preserve">Decree § 7’s bar on the</w:t>
      </w:r>
      <w:r>
        <w:t xml:space="preserve"> </w:t>
      </w:r>
      <w:r>
        <w:t xml:space="preserve">defendants engaging in interstate commerce pending dissolution</w:t>
      </w:r>
      <w:r>
        <w:t xml:space="preserve"> </w:t>
      </w:r>
      <w:r>
        <w:t xml:space="preserve">“</w:t>
      </w:r>
      <w:r>
        <w:t xml:space="preserve">should not have been awarded.</w:t>
      </w:r>
      <w:r>
        <w:t xml:space="preserve">”</w:t>
      </w:r>
    </w:p>
    <w:p>
      <w:pPr>
        <w:pStyle w:val="FirstParagraph"/>
      </w:pPr>
      <w:r>
        <w:rPr>
          <w:bCs/>
          <w:b/>
        </w:rPr>
        <w:t xml:space="preserve">Reading [BOOK’S ARGUMENT, resting on the verbatim record].</w:t>
      </w:r>
      <w:r>
        <w:t xml:space="preserve"> </w:t>
      </w:r>
      <w:r>
        <w:t xml:space="preserve">The</w:t>
      </w:r>
      <w:r>
        <w:t xml:space="preserve"> </w:t>
      </w:r>
      <w:r>
        <w:t xml:space="preserve">1911 instrument is precisely a control-rights operation: it</w:t>
      </w:r>
      <w:r>
        <w:t xml:space="preserve"> </w:t>
      </w:r>
      <w:r>
        <w:t xml:space="preserve">extinguished a private power of unified command over the energy</w:t>
      </w:r>
      <w:r>
        <w:t xml:space="preserve"> </w:t>
      </w:r>
      <w:r>
        <w:t xml:space="preserve">system (the holding company’s ownership powers, § 5) and forbade its</w:t>
      </w:r>
      <w:r>
        <w:t xml:space="preserve"> </w:t>
      </w:r>
      <w:r>
        <w:t xml:space="preserve">reconstitution (§ 6), while leaving wealth (the shares), assets (the</w:t>
      </w:r>
      <w:r>
        <w:t xml:space="preserve"> </w:t>
      </w:r>
      <w:r>
        <w:t xml:space="preserve">pipes), and even coordination-in-carriage intact. Spine §8(c)’s</w:t>
      </w:r>
      <w:r>
        <w:t xml:space="preserve"> </w:t>
      </w:r>
      <w:r>
        <w:t xml:space="preserve">sentence —</w:t>
      </w:r>
      <w:r>
        <w:t xml:space="preserve"> </w:t>
      </w:r>
      <w:r>
        <w:t xml:space="preserve">“</w:t>
      </w:r>
      <w:r>
        <w:t xml:space="preserve">the state did not take the oil; it destroyed the</w:t>
      </w:r>
      <w:r>
        <w:t xml:space="preserve"> </w:t>
      </w:r>
      <w:r>
        <w:t xml:space="preserve">vertical integration that made oil sovereign</w:t>
      </w:r>
      <w:r>
        <w:t xml:space="preserve">”</w:t>
      </w:r>
      <w:r>
        <w:t xml:space="preserve"> </w:t>
      </w:r>
      <w:r>
        <w:t xml:space="preserve">— is supported at the</w:t>
      </w:r>
      <w:r>
        <w:t xml:space="preserve"> </w:t>
      </w:r>
      <w:r>
        <w:t xml:space="preserve">level of control, with one precision: what the decree destroyed was</w:t>
      </w:r>
      <w:r>
        <w:t xml:space="preserve"> </w:t>
      </w:r>
      <w:r>
        <w:t xml:space="preserve">unified DISCRETION over the whole system, and it transferred that</w:t>
      </w:r>
      <w:r>
        <w:t xml:space="preserve"> </w:t>
      </w:r>
      <w:r>
        <w:t xml:space="preserve">discretion to no one.</w:t>
      </w:r>
    </w:p>
    <w:p>
      <w:r>
        <w:pict>
          <v:rect style="width:0;height:1.5pt" o:hralign="center" o:hrstd="t" o:hr="t"/>
        </w:pict>
      </w:r>
    </w:p>
    <w:bookmarkEnd w:id="64"/>
    <w:bookmarkStart w:id="65" w:name="Xad60a97e639820cba7a4326c1da83922eabf6bf"/>
    <w:p>
      <w:pPr>
        <w:pStyle w:val="Heading2"/>
      </w:pPr>
      <w:r>
        <w:t xml:space="preserve">3. Where the off-switch went — the migration, dated from open primaries</w:t>
      </w:r>
    </w:p>
    <w:p>
      <w:pPr>
        <w:pStyle w:val="FirstParagraph"/>
      </w:pPr>
      <w:r>
        <w:t xml:space="preserve">The answer to spine §8(c)’s question (</w:t>
      </w:r>
      <w:r>
        <w:t xml:space="preserve">“</w:t>
      </w:r>
      <w:r>
        <w:t xml:space="preserve">after the breakup, who owned</w:t>
      </w:r>
      <w:r>
        <w:t xml:space="preserve"> </w:t>
      </w:r>
      <w:r>
        <w:t xml:space="preserve">the power to turn off the energy?</w:t>
      </w:r>
      <w:r>
        <w:t xml:space="preserve">”</w:t>
      </w:r>
      <w:r>
        <w:t xml:space="preserve">) is: in 1911, NOBODY — the decree</w:t>
      </w:r>
      <w:r>
        <w:t xml:space="preserve"> </w:t>
      </w:r>
      <w:r>
        <w:t xml:space="preserve">vacated the private off-switch without creating a public one. The</w:t>
      </w:r>
      <w:r>
        <w:t xml:space="preserve"> </w:t>
      </w:r>
      <w:r>
        <w:t xml:space="preserve">public one was then built over three decades, by instruments mostly</w:t>
      </w:r>
      <w:r>
        <w:t xml:space="preserve"> </w:t>
      </w:r>
      <w:r>
        <w:t xml:space="preserve">independent of the antitrust line, one of which PRECEDES the breakup: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Instrument [all T1 unless noted]</w:t>
            </w:r>
          </w:p>
        </w:tc>
        <w:tc>
          <w:tcPr/>
          <w:p>
            <w:pPr>
              <w:pStyle w:val="Compact"/>
              <w:jc w:val="left"/>
            </w:pPr>
            <w:r>
              <w:t xml:space="preserve">The control power, verbatim or near-verbatim</w:t>
            </w:r>
          </w:p>
        </w:tc>
      </w:tr>
      <w:tr>
        <w:tc>
          <w:tcPr/>
          <w:p>
            <w:pPr>
              <w:pStyle w:val="Compact"/>
              <w:jc w:val="left"/>
            </w:pPr>
            <w:r>
              <w:t xml:space="preserve">29 Jun 1906</w:t>
            </w:r>
          </w:p>
        </w:tc>
        <w:tc>
          <w:tcPr/>
          <w:p>
            <w:pPr>
              <w:pStyle w:val="Compact"/>
              <w:jc w:val="left"/>
            </w:pPr>
            <w:r>
              <w:rPr>
                <w:bCs/>
                <w:b/>
              </w:rPr>
              <w:t xml:space="preserve">Hepburn Act</w:t>
            </w:r>
            <w:r>
              <w:t xml:space="preserve">, 34 Stat. 584</w:t>
            </w:r>
          </w:p>
        </w:tc>
        <w:tc>
          <w:tcPr/>
          <w:p>
            <w:pPr>
              <w:pStyle w:val="Compact"/>
              <w:jc w:val="left"/>
            </w:pPr>
            <w:r>
              <w:t xml:space="preserve">pipelines</w:t>
            </w:r>
            <w:r>
              <w:t xml:space="preserve"> </w:t>
            </w:r>
            <w:r>
              <w:t xml:space="preserve">“</w:t>
            </w:r>
            <w:r>
              <w:t xml:space="preserve">shall be considered and held to be common carriers</w:t>
            </w:r>
            <w:r>
              <w:t xml:space="preserve">”</w:t>
            </w:r>
            <w:r>
              <w:t xml:space="preserve"> </w:t>
            </w:r>
            <w:r>
              <w:t xml:space="preserve">under the ICC — non-discriminatory carriage imposed on the trust’s chokepoint FIVE YEARS BEFORE the breakup</w:t>
            </w:r>
          </w:p>
        </w:tc>
      </w:tr>
      <w:tr>
        <w:tc>
          <w:tcPr/>
          <w:p>
            <w:pPr>
              <w:pStyle w:val="Compact"/>
              <w:jc w:val="left"/>
            </w:pPr>
            <w:r>
              <w:t xml:space="preserve">15 May 1911</w:t>
            </w:r>
          </w:p>
        </w:tc>
        <w:tc>
          <w:tcPr/>
          <w:p>
            <w:pPr>
              <w:pStyle w:val="Compact"/>
              <w:jc w:val="left"/>
            </w:pPr>
            <w:r>
              <w:rPr>
                <w:bCs/>
                <w:b/>
              </w:rPr>
              <w:t xml:space="preserve">221 U.S. 1</w:t>
            </w:r>
          </w:p>
        </w:tc>
        <w:tc>
          <w:tcPr/>
          <w:p>
            <w:pPr>
              <w:pStyle w:val="Compact"/>
              <w:jc w:val="left"/>
            </w:pPr>
            <w:r>
              <w:t xml:space="preserve">dissolution; § 5 no exercise of ownership; § 6 no recombination; six months; jurisdiction retained</w:t>
            </w:r>
          </w:p>
        </w:tc>
      </w:tr>
      <w:tr>
        <w:tc>
          <w:tcPr/>
          <w:p>
            <w:pPr>
              <w:pStyle w:val="Compact"/>
              <w:jc w:val="left"/>
            </w:pPr>
            <w:r>
              <w:t xml:space="preserve">1917</w:t>
            </w:r>
          </w:p>
        </w:tc>
        <w:tc>
          <w:tcPr/>
          <w:p>
            <w:pPr>
              <w:pStyle w:val="Compact"/>
              <w:jc w:val="left"/>
            </w:pPr>
            <w:r>
              <w:rPr>
                <w:bCs/>
                <w:b/>
              </w:rPr>
              <w:t xml:space="preserve">Texas Pipeline Petroleum Law</w:t>
            </w:r>
            <w:r>
              <w:t xml:space="preserve"> </w:t>
            </w:r>
            <w:r>
              <w:t xml:space="preserve">(SB 68, 35th Leg.)</w:t>
            </w:r>
          </w:p>
        </w:tc>
        <w:tc>
          <w:tcPr/>
          <w:p>
            <w:pPr>
              <w:pStyle w:val="Compact"/>
              <w:jc w:val="left"/>
            </w:pPr>
            <w:r>
              <w:t xml:space="preserve">pipelines declared common carriers under the Railroad Commission [carrier: the RRC’s own .gov history page; the codified text (Tex. Nat. Res. Code ch. 111) NOT retrievable open this session — flag]</w:t>
            </w:r>
          </w:p>
        </w:tc>
      </w:tr>
      <w:tr>
        <w:tc>
          <w:tcPr/>
          <w:p>
            <w:pPr>
              <w:pStyle w:val="Compact"/>
              <w:jc w:val="left"/>
            </w:pPr>
            <w:r>
              <w:t xml:space="preserve">6 Oct 1917</w:t>
            </w:r>
          </w:p>
        </w:tc>
        <w:tc>
          <w:tcPr/>
          <w:p>
            <w:pPr>
              <w:pStyle w:val="Compact"/>
              <w:jc w:val="left"/>
            </w:pPr>
            <w:r>
              <w:rPr>
                <w:bCs/>
                <w:b/>
              </w:rPr>
              <w:t xml:space="preserve">TWEA § 5(b)</w:t>
            </w:r>
            <w:r>
              <w:t xml:space="preserve">, 40 Stat. 415</w:t>
            </w:r>
          </w:p>
        </w:tc>
        <w:tc>
          <w:tcPr/>
          <w:p>
            <w:pPr>
              <w:pStyle w:val="Compact"/>
              <w:jc w:val="left"/>
            </w:pPr>
            <w:r>
              <w:t xml:space="preserve">the President</w:t>
            </w:r>
            <w:r>
              <w:t xml:space="preserve"> </w:t>
            </w:r>
            <w:r>
              <w:t xml:space="preserve">“</w:t>
            </w:r>
            <w:r>
              <w:t xml:space="preserve">may investigate, regulate, or prohibit, under such rules and regulations as he may prescribe,</w:t>
            </w:r>
            <w:r>
              <w:t xml:space="preserve"> </w:t>
            </w:r>
            <w:r>
              <w:rPr>
                <w:bCs/>
                <w:b/>
              </w:rPr>
              <w:t xml:space="preserve">by means of licenses or otherwise</w:t>
            </w:r>
            <w:r>
              <w:t xml:space="preserve">, any transactions in foreign exchange… transfers of credit… between the United States and any foreign country</w:t>
            </w:r>
            <w:r>
              <w:t xml:space="preserve">”</w:t>
            </w:r>
          </w:p>
        </w:tc>
      </w:tr>
      <w:tr>
        <w:tc>
          <w:tcPr/>
          <w:p>
            <w:pPr>
              <w:pStyle w:val="Compact"/>
              <w:jc w:val="left"/>
            </w:pPr>
            <w:r>
              <w:t xml:space="preserve">14 Aug 1930 → 1 May 1931 → 17 Aug 1931</w:t>
            </w:r>
          </w:p>
        </w:tc>
        <w:tc>
          <w:tcPr/>
          <w:p>
            <w:pPr>
              <w:pStyle w:val="Compact"/>
              <w:jc w:val="left"/>
            </w:pPr>
            <w:r>
              <w:rPr>
                <w:bCs/>
                <w:b/>
              </w:rPr>
              <w:t xml:space="preserve">RRC statewide proration order</w:t>
            </w:r>
            <w:r>
              <w:t xml:space="preserve"> </w:t>
            </w:r>
            <w:r>
              <w:t xml:space="preserve">(750,000 bbl/day</w:t>
            </w:r>
            <w:r>
              <w:t xml:space="preserve"> </w:t>
            </w:r>
            <w:r>
              <w:t xml:space="preserve">“</w:t>
            </w:r>
            <w:r>
              <w:t xml:space="preserve">based on the reasonable market demand formula</w:t>
            </w:r>
            <w:r>
              <w:t xml:space="preserve">”</w:t>
            </w:r>
            <w:r>
              <w:t xml:space="preserve">) → first East Texas order → martial law in the East Texas field [NM OCD chronology, .gov exhibit]</w:t>
            </w:r>
          </w:p>
        </w:tc>
        <w:tc>
          <w:tcPr/>
          <w:p>
            <w:pPr>
              <w:pStyle w:val="Compact"/>
              <w:jc w:val="left"/>
            </w:pPr>
            <w:r>
              <w:t xml:space="preserve">the state commission sets</w:t>
            </w:r>
            <w:r>
              <w:t xml:space="preserve"> </w:t>
            </w:r>
            <w:r>
              <w:t xml:space="preserve">“</w:t>
            </w:r>
            <w:r>
              <w:t xml:space="preserve">the rate at which every oil well in Texas might produce</w:t>
            </w:r>
            <w:r>
              <w:t xml:space="preserve">”</w:t>
            </w:r>
            <w:r>
              <w:t xml:space="preserve"> </w:t>
            </w:r>
            <w:r>
              <w:t xml:space="preserve">(RRC history, .gov)</w:t>
            </w:r>
          </w:p>
        </w:tc>
      </w:tr>
      <w:tr>
        <w:tc>
          <w:tcPr/>
          <w:p>
            <w:pPr>
              <w:pStyle w:val="Compact"/>
              <w:jc w:val="left"/>
            </w:pPr>
            <w:r>
              <w:t xml:space="preserve">12 Nov 1932</w:t>
            </w:r>
          </w:p>
        </w:tc>
        <w:tc>
          <w:tcPr/>
          <w:p>
            <w:pPr>
              <w:pStyle w:val="Compact"/>
              <w:jc w:val="left"/>
            </w:pPr>
            <w:r>
              <w:rPr>
                <w:bCs/>
                <w:b/>
              </w:rPr>
              <w:t xml:space="preserve">Texas Market Demand Act</w:t>
            </w:r>
            <w:r>
              <w:t xml:space="preserve"> </w:t>
            </w:r>
            <w:r>
              <w:t xml:space="preserve">(42nd Leg., 4th C.S., ch. 2)</w:t>
            </w:r>
          </w:p>
        </w:tc>
        <w:tc>
          <w:tcPr/>
          <w:p>
            <w:pPr>
              <w:pStyle w:val="Compact"/>
              <w:jc w:val="left"/>
            </w:pPr>
            <w:r>
              <w:t xml:space="preserve">proration to market demand — session confirmed via the Legislative Reference Library snapshot;</w:t>
            </w:r>
            <w:r>
              <w:t xml:space="preserve"> </w:t>
            </w:r>
            <w:r>
              <w:rPr>
                <w:bCs/>
                <w:b/>
              </w:rPr>
              <w:t xml:space="preserve">the session-law text itself NOT retrieved — [UNVERIFIED — RETRIEVAL]</w:t>
            </w:r>
          </w:p>
        </w:tc>
      </w:tr>
      <w:tr>
        <w:tc>
          <w:tcPr/>
          <w:p>
            <w:pPr>
              <w:pStyle w:val="Compact"/>
              <w:jc w:val="left"/>
            </w:pPr>
            <w:r>
              <w:t xml:space="preserve">7 Jan 1935</w:t>
            </w:r>
          </w:p>
        </w:tc>
        <w:tc>
          <w:tcPr/>
          <w:p>
            <w:pPr>
              <w:pStyle w:val="Compact"/>
              <w:jc w:val="left"/>
            </w:pPr>
            <w:r>
              <w:rPr>
                <w:bCs/>
                <w:b/>
              </w:rPr>
              <w:t xml:space="preserve">Panama Refining v. Ryan</w:t>
            </w:r>
            <w:r>
              <w:t xml:space="preserve">, 293 U.S. 388</w:t>
            </w:r>
          </w:p>
        </w:tc>
        <w:tc>
          <w:tcPr/>
          <w:p>
            <w:pPr>
              <w:pStyle w:val="Compact"/>
              <w:jc w:val="left"/>
            </w:pPr>
            <w:r>
              <w:t xml:space="preserve">NIRA § 9(c) (presidential prohibition of</w:t>
            </w:r>
            <w:r>
              <w:t xml:space="preserve"> </w:t>
            </w:r>
            <w:r>
              <w:t xml:space="preserve">“</w:t>
            </w:r>
            <w:r>
              <w:t xml:space="preserve">hot oil</w:t>
            </w:r>
            <w:r>
              <w:t xml:space="preserve">”</w:t>
            </w:r>
            <w:r>
              <w:t xml:space="preserve"> </w:t>
            </w:r>
            <w:r>
              <w:t xml:space="preserve">shipments) struck as undelegated — the interdiction power had to be legislated properly</w:t>
            </w:r>
          </w:p>
        </w:tc>
      </w:tr>
      <w:tr>
        <w:tc>
          <w:tcPr/>
          <w:p>
            <w:pPr>
              <w:pStyle w:val="Compact"/>
              <w:jc w:val="left"/>
            </w:pPr>
            <w:r>
              <w:t xml:space="preserve">22 Feb 1935</w:t>
            </w:r>
          </w:p>
        </w:tc>
        <w:tc>
          <w:tcPr/>
          <w:p>
            <w:pPr>
              <w:pStyle w:val="Compact"/>
              <w:jc w:val="left"/>
            </w:pPr>
            <w:r>
              <w:rPr>
                <w:bCs/>
                <w:b/>
              </w:rPr>
              <w:t xml:space="preserve">Connally Hot Oil Act</w:t>
            </w:r>
            <w:r>
              <w:t xml:space="preserve">, 49 Stat. 30; 15 U.S.C. 715b</w:t>
            </w:r>
          </w:p>
        </w:tc>
        <w:tc>
          <w:tcPr/>
          <w:p>
            <w:pPr>
              <w:pStyle w:val="Compact"/>
              <w:jc w:val="left"/>
            </w:pPr>
            <w:r>
              <w:t xml:space="preserve">“</w:t>
            </w:r>
            <w:r>
              <w:t xml:space="preserve">The shipment or transportation in interstate commerce from any State of contraband oil produced in such State is prohibited</w:t>
            </w:r>
            <w:r>
              <w:t xml:space="preserve">”</w:t>
            </w:r>
            <w:r>
              <w:t xml:space="preserve"> </w:t>
            </w:r>
            <w:r>
              <w:t xml:space="preserve">— federal enforcement of the states’ allowables</w:t>
            </w:r>
          </w:p>
        </w:tc>
      </w:tr>
      <w:tr>
        <w:tc>
          <w:tcPr/>
          <w:p>
            <w:pPr>
              <w:pStyle w:val="Compact"/>
              <w:jc w:val="left"/>
            </w:pPr>
            <w:r>
              <w:t xml:space="preserve">27 Aug 1935</w:t>
            </w:r>
          </w:p>
        </w:tc>
        <w:tc>
          <w:tcPr/>
          <w:p>
            <w:pPr>
              <w:pStyle w:val="Compact"/>
              <w:jc w:val="left"/>
            </w:pPr>
            <w:r>
              <w:rPr>
                <w:bCs/>
                <w:b/>
              </w:rPr>
              <w:t xml:space="preserve">Interstate Oil Compact</w:t>
            </w:r>
            <w:r>
              <w:t xml:space="preserve">, 49 Stat. 939</w:t>
            </w:r>
          </w:p>
        </w:tc>
        <w:tc>
          <w:tcPr/>
          <w:p>
            <w:pPr>
              <w:pStyle w:val="Compact"/>
              <w:jc w:val="left"/>
            </w:pPr>
            <w:r>
              <w:t xml:space="preserve">congressional consent to the Dallas compact (TX, OK, CA, NM)</w:t>
            </w:r>
            <w:r>
              <w:t xml:space="preserve"> </w:t>
            </w:r>
            <w:r>
              <w:t xml:space="preserve">“</w:t>
            </w:r>
            <w:r>
              <w:t xml:space="preserve">to conserve oil and gas by the prevention of physical waste</w:t>
            </w:r>
            <w:r>
              <w:t xml:space="preserve">”</w:t>
            </w:r>
          </w:p>
        </w:tc>
      </w:tr>
      <w:tr>
        <w:tc>
          <w:tcPr/>
          <w:p>
            <w:pPr>
              <w:pStyle w:val="Compact"/>
              <w:jc w:val="left"/>
            </w:pPr>
            <w:r>
              <w:t xml:space="preserve">26 Jul 1941</w:t>
            </w:r>
          </w:p>
        </w:tc>
        <w:tc>
          <w:tcPr/>
          <w:p>
            <w:pPr>
              <w:pStyle w:val="Compact"/>
              <w:jc w:val="left"/>
            </w:pPr>
            <w:r>
              <w:rPr>
                <w:bCs/>
                <w:b/>
              </w:rPr>
              <w:t xml:space="preserve">EO 8832</w:t>
            </w:r>
            <w:r>
              <w:t xml:space="preserve"> </w:t>
            </w:r>
            <w:r>
              <w:t xml:space="preserve">(6 FR 3715), under TWEA § 5(b), via EO 8389</w:t>
            </w:r>
          </w:p>
        </w:tc>
        <w:tc>
          <w:tcPr/>
          <w:p>
            <w:pPr>
              <w:pStyle w:val="Compact"/>
              <w:jc w:val="left"/>
            </w:pPr>
            <w:r>
              <w:t xml:space="preserve">freezing order extended to Japan —</w:t>
            </w:r>
            <w:r>
              <w:t xml:space="preserve"> </w:t>
            </w:r>
            <w:r>
              <w:t xml:space="preserve">“</w:t>
            </w:r>
            <w:r>
              <w:t xml:space="preserve">all financial and import and export trade transactions in which Japanese interests are involved under the control of the Government</w:t>
            </w:r>
            <w:r>
              <w:t xml:space="preserve">”</w:t>
            </w:r>
            <w:r>
              <w:t xml:space="preserve"> </w:t>
            </w:r>
            <w:r>
              <w:t xml:space="preserve">(White House release, FRUS doc. 184); the oil cutoff then ran through licensing denials under this control [the licensing practice itself is not documented in the two FRUS pages — flag]</w:t>
            </w:r>
          </w:p>
        </w:tc>
      </w:tr>
      <w:tr>
        <w:tc>
          <w:tcPr/>
          <w:p>
            <w:pPr>
              <w:pStyle w:val="Compact"/>
              <w:jc w:val="left"/>
            </w:pPr>
            <w:r>
              <w:t xml:space="preserve">22 Dec 1975</w:t>
            </w:r>
          </w:p>
        </w:tc>
        <w:tc>
          <w:tcPr/>
          <w:p>
            <w:pPr>
              <w:pStyle w:val="Compact"/>
              <w:jc w:val="left"/>
            </w:pPr>
            <w:r>
              <w:rPr>
                <w:bCs/>
                <w:b/>
              </w:rPr>
              <w:t xml:space="preserve">EPCA § 161</w:t>
            </w:r>
            <w:r>
              <w:t xml:space="preserve">, 89 Stat. 888–89 (42 U.S.C. 6241)</w:t>
            </w:r>
          </w:p>
        </w:tc>
        <w:tc>
          <w:tcPr/>
          <w:p>
            <w:pPr>
              <w:pStyle w:val="Compact"/>
              <w:jc w:val="left"/>
            </w:pPr>
            <w:r>
              <w:t xml:space="preserve">the Strategic Petroleum Reserve;</w:t>
            </w:r>
            <w:r>
              <w:t xml:space="preserve"> </w:t>
            </w:r>
            <w:r>
              <w:t xml:space="preserve">“</w:t>
            </w:r>
            <w:r>
              <w:t xml:space="preserve">no drawdown… unless the President has found that implementation… is required by a severe energy supply interruption or by obligations of the United States under the international energy program</w:t>
            </w:r>
            <w:r>
              <w:t xml:space="preserve">”</w:t>
            </w:r>
          </w:p>
        </w:tc>
      </w:tr>
      <w:tr>
        <w:tc>
          <w:tcPr/>
          <w:p>
            <w:pPr>
              <w:pStyle w:val="Compact"/>
              <w:jc w:val="left"/>
            </w:pPr>
            <w:r>
              <w:t xml:space="preserve">28 Dec 1977</w:t>
            </w:r>
          </w:p>
        </w:tc>
        <w:tc>
          <w:tcPr/>
          <w:p>
            <w:pPr>
              <w:pStyle w:val="Compact"/>
              <w:jc w:val="left"/>
            </w:pPr>
            <w:r>
              <w:rPr>
                <w:bCs/>
                <w:b/>
              </w:rPr>
              <w:t xml:space="preserve">IEEPA</w:t>
            </w:r>
            <w:r>
              <w:t xml:space="preserve">, 50 U.S.C. 1701–02</w:t>
            </w:r>
          </w:p>
        </w:tc>
        <w:tc>
          <w:tcPr/>
          <w:p>
            <w:pPr>
              <w:pStyle w:val="Compact"/>
              <w:jc w:val="left"/>
            </w:pPr>
            <w:r>
              <w:t xml:space="preserve">upon declared emergency the President may</w:t>
            </w:r>
            <w:r>
              <w:t xml:space="preserve"> </w:t>
            </w:r>
            <w:r>
              <w:t xml:space="preserve">“</w:t>
            </w:r>
            <w:r>
              <w:t xml:space="preserve">block… nullify, void, prevent or prohibit… exercising any right, power, or privilege with respect to… any property in which any foreign country or a national thereof has any interest</w:t>
            </w:r>
            <w:r>
              <w:t xml:space="preserve">”</w:t>
            </w:r>
            <w:r>
              <w:t xml:space="preserve"> </w:t>
            </w:r>
            <w:r>
              <w:t xml:space="preserve">— administered by OFAC</w:t>
            </w:r>
          </w:p>
        </w:tc>
      </w:tr>
    </w:tbl>
    <w:p>
      <w:pPr>
        <w:pStyle w:val="BodyText"/>
      </w:pPr>
      <w:r>
        <w:rPr>
          <w:bCs/>
          <w:b/>
        </w:rPr>
        <w:t xml:space="preserve">Reading [BOOK’S ARGUMENT].</w:t>
      </w:r>
      <w:r>
        <w:t xml:space="preserve"> </w:t>
      </w:r>
      <w:r>
        <w:t xml:space="preserve">The off-switch migrated in three</w:t>
      </w:r>
      <w:r>
        <w:t xml:space="preserve"> </w:t>
      </w:r>
      <w:r>
        <w:t xml:space="preserve">distinct forms, none of them created by the breakup itself: (i)</w:t>
      </w:r>
      <w:r>
        <w:t xml:space="preserve"> </w:t>
      </w:r>
      <w:r>
        <w:t xml:space="preserve">CARRIAGE control (Hepburn 1906; Texas 1917) — the chokepoint</w:t>
      </w:r>
      <w:r>
        <w:t xml:space="preserve"> </w:t>
      </w:r>
      <w:r>
        <w:t xml:space="preserve">neutralised by common-carrier status, begun before dissolution; (ii)</w:t>
      </w:r>
      <w:r>
        <w:t xml:space="preserve"> </w:t>
      </w:r>
      <w:r>
        <w:t xml:space="preserve">PRODUCTION control (proration 1930–35, federally enforced by</w:t>
      </w:r>
      <w:r>
        <w:t xml:space="preserve"> </w:t>
      </w:r>
      <w:r>
        <w:t xml:space="preserve">Connally) — a state commission acquiring exactly the discretion the</w:t>
      </w:r>
      <w:r>
        <w:t xml:space="preserve"> </w:t>
      </w:r>
      <w:r>
        <w:t xml:space="preserve">trust had lost: how much flows; (iii) TRANSACTIONAL control (TWEA →</w:t>
      </w:r>
      <w:r>
        <w:t xml:space="preserve"> </w:t>
      </w:r>
      <w:r>
        <w:t xml:space="preserve">EO 8832 → IEEPA/OFAC; EPCA’s reserve) — the presidential</w:t>
      </w:r>
      <w:r>
        <w:t xml:space="preserve"> </w:t>
      </w:r>
      <w:r>
        <w:t xml:space="preserve">license-and-block apparatus. By 1941 the state could do to Japan what</w:t>
      </w:r>
      <w:r>
        <w:t xml:space="preserve"> </w:t>
      </w:r>
      <w:r>
        <w:t xml:space="preserve">Rockefeller could once do to a refinery district — and no successor</w:t>
      </w:r>
      <w:r>
        <w:t xml:space="preserve"> </w:t>
      </w:r>
      <w:r>
        <w:t xml:space="preserve">company could do it to anyone.</w:t>
      </w:r>
    </w:p>
    <w:p>
      <w:r>
        <w:pict>
          <v:rect style="width:0;height:1.5pt" o:hralign="center" o:hrstd="t" o:hr="t"/>
        </w:pict>
      </w:r>
    </w:p>
    <w:bookmarkEnd w:id="65"/>
    <w:bookmarkStart w:id="66" w:name="the-wealthpower-decoupling"/>
    <w:p>
      <w:pPr>
        <w:pStyle w:val="Heading2"/>
      </w:pPr>
      <w:r>
        <w:t xml:space="preserve">4. The wealth/power decoupling</w:t>
      </w:r>
    </w:p>
    <w:p>
      <w:pPr>
        <w:numPr>
          <w:ilvl w:val="0"/>
          <w:numId w:val="1012"/>
        </w:numPr>
        <w:pStyle w:val="Compact"/>
      </w:pPr>
      <w:r>
        <w:rPr>
          <w:bCs/>
          <w:b/>
        </w:rPr>
        <w:t xml:space="preserve">Wealth:</w:t>
      </w:r>
      <w:r>
        <w:t xml:space="preserve"> </w:t>
      </w:r>
      <w:r>
        <w:t xml:space="preserve">the only open carrier found for the canonical figures</w:t>
      </w:r>
      <w:r>
        <w:t xml:space="preserve"> </w:t>
      </w:r>
      <w:r>
        <w:t xml:space="preserve">is Shughart,</w:t>
      </w:r>
      <w:r>
        <w:t xml:space="preserve"> </w:t>
      </w:r>
      <w:r>
        <w:t xml:space="preserve">“</w:t>
      </w:r>
      <w:r>
        <w:t xml:space="preserve">Reappraising Standard Oil,</w:t>
      </w:r>
      <w:r>
        <w:t xml:space="preserve">”</w:t>
      </w:r>
      <w:r>
        <w:t xml:space="preserve"> </w:t>
      </w:r>
      <w:r>
        <w:rPr>
          <w:iCs/>
          <w:i/>
        </w:rPr>
        <w:t xml:space="preserve">Regulation</w:t>
      </w:r>
      <w:r>
        <w:t xml:space="preserve"> </w:t>
      </w:r>
      <w:r>
        <w:t xml:space="preserve">(Cato),</w:t>
      </w:r>
      <w:r>
        <w:t xml:space="preserve"> </w:t>
      </w:r>
      <w:r>
        <w:t xml:space="preserve">Summer 2025 (retrieved):</w:t>
      </w:r>
      <w:r>
        <w:t xml:space="preserve"> </w:t>
      </w:r>
      <w:r>
        <w:t xml:space="preserve">“</w:t>
      </w:r>
      <w:r>
        <w:t xml:space="preserve">Rockefeller was then worth about $300</w:t>
      </w:r>
      <w:r>
        <w:t xml:space="preserve"> </w:t>
      </w:r>
      <w:r>
        <w:t xml:space="preserve">million. By 1913’s end, he was worth more than $900 million.</w:t>
      </w:r>
      <w:r>
        <w:t xml:space="preserve">”</w:t>
      </w:r>
      <w:r>
        <w:t xml:space="preserve"> </w:t>
      </w:r>
      <w:r>
        <w:t xml:space="preserve">The</w:t>
      </w:r>
      <w:r>
        <w:t xml:space="preserve"> </w:t>
      </w:r>
      <w:r>
        <w:t xml:space="preserve">article gives NO footnote for these figures (it leans on Chernow</w:t>
      </w:r>
      <w:r>
        <w:t xml:space="preserve"> </w:t>
      </w:r>
      <w:r>
        <w:t xml:space="preserve">elsewhere).</w:t>
      </w:r>
      <w:r>
        <w:t xml:space="preserve"> </w:t>
      </w:r>
      <w:r>
        <w:rPr>
          <w:bCs/>
          <w:b/>
        </w:rPr>
        <w:t xml:space="preserve">T3, unfootnoted — may not be sole support. The</w:t>
      </w:r>
      <w:r>
        <w:rPr>
          <w:bCs/>
          <w:b/>
        </w:rPr>
        <w:t xml:space="preserve"> </w:t>
      </w:r>
      <w:r>
        <w:rPr>
          <w:bCs/>
          <w:b/>
        </w:rPr>
        <w:t xml:space="preserve">tripling claim is [UNVERIFIED — RETRIEVAL: Chernow,</w:t>
      </w:r>
      <w:r>
        <w:rPr>
          <w:bCs/>
          <w:b/>
        </w:rPr>
        <w:t xml:space="preserve"> </w:t>
      </w:r>
      <w:r>
        <w:rPr>
          <w:iCs/>
          <w:i/>
          <w:bCs/>
          <w:b/>
        </w:rPr>
        <w:t xml:space="preserve">Titan</w:t>
      </w:r>
      <w:r>
        <w:rPr>
          <w:bCs/>
          <w:b/>
        </w:rPr>
        <w:t xml:space="preserve">;</w:t>
      </w:r>
      <w:r>
        <w:rPr>
          <w:bCs/>
          <w:b/>
        </w:rPr>
        <w:t xml:space="preserve"> </w:t>
      </w:r>
      <w:r>
        <w:rPr>
          <w:bCs/>
          <w:b/>
        </w:rPr>
        <w:t xml:space="preserve">Yergin,</w:t>
      </w:r>
      <w:r>
        <w:rPr>
          <w:bCs/>
          <w:b/>
        </w:rPr>
        <w:t xml:space="preserve"> </w:t>
      </w:r>
      <w:r>
        <w:rPr>
          <w:iCs/>
          <w:i/>
          <w:bCs/>
          <w:b/>
        </w:rPr>
        <w:t xml:space="preserve">The Prize</w:t>
      </w:r>
      <w:r>
        <w:rPr>
          <w:bCs/>
          <w:b/>
        </w:rPr>
        <w:t xml:space="preserve">] until a T2 carrier with apparatus is in</w:t>
      </w:r>
      <w:r>
        <w:rPr>
          <w:bCs/>
          <w:b/>
        </w:rPr>
        <w:t xml:space="preserve"> </w:t>
      </w:r>
      <w:r>
        <w:rPr>
          <w:bCs/>
          <w:b/>
        </w:rPr>
        <w:t xml:space="preserve">repo.</w:t>
      </w:r>
      <w:r>
        <w:t xml:space="preserve"> </w:t>
      </w:r>
      <w:r>
        <w:t xml:space="preserve">No contemporary primary located open this session (NYT</w:t>
      </w:r>
      <w:r>
        <w:t xml:space="preserve"> </w:t>
      </w:r>
      <w:r>
        <w:t xml:space="preserve">TimesMachine gated).</w:t>
      </w:r>
    </w:p>
    <w:p>
      <w:pPr>
        <w:numPr>
          <w:ilvl w:val="0"/>
          <w:numId w:val="1012"/>
        </w:numPr>
        <w:pStyle w:val="Compact"/>
      </w:pPr>
      <w:r>
        <w:rPr>
          <w:bCs/>
          <w:b/>
        </w:rPr>
        <w:t xml:space="preserve">Power:</w:t>
      </w:r>
      <w:r>
        <w:t xml:space="preserve"> </w:t>
      </w:r>
      <w:r>
        <w:t xml:space="preserve">what is verifiable at T1 today is the control side:</w:t>
      </w:r>
      <w:r>
        <w:t xml:space="preserve"> </w:t>
      </w:r>
      <w:r>
        <w:t xml:space="preserve">after §§ 5–6, no person or company lawfully held unified command</w:t>
      </w:r>
      <w:r>
        <w:t xml:space="preserve"> </w:t>
      </w:r>
      <w:r>
        <w:t xml:space="preserve">of the system, and the seven named individuals were enjoined from</w:t>
      </w:r>
      <w:r>
        <w:t xml:space="preserve"> </w:t>
      </w:r>
      <w:r>
        <w:t xml:space="preserve">rebuilding it — while keeping every share. Wealth retained and</w:t>
      </w:r>
      <w:r>
        <w:t xml:space="preserve"> </w:t>
      </w:r>
      <w:r>
        <w:t xml:space="preserve">compounded; command extinguished. Spine §8(c)’s decoupling</w:t>
      </w:r>
      <w:r>
        <w:t xml:space="preserve"> </w:t>
      </w:r>
      <w:r>
        <w:t xml:space="preserve">(</w:t>
      </w:r>
      <w:r>
        <w:t xml:space="preserve">“</w:t>
      </w:r>
      <w:r>
        <w:t xml:space="preserve">Rockefeller got RICHER… and less POWERFUL — wealth and power</w:t>
      </w:r>
      <w:r>
        <w:t xml:space="preserve"> </w:t>
      </w:r>
      <w:r>
        <w:t xml:space="preserve">decoupled by legal instrument</w:t>
      </w:r>
      <w:r>
        <w:t xml:space="preserve">”</w:t>
      </w:r>
      <w:r>
        <w:t xml:space="preserve">) is supported on the power side at</w:t>
      </w:r>
      <w:r>
        <w:t xml:space="preserve"> </w:t>
      </w:r>
      <w:r>
        <w:t xml:space="preserve">T1 and pending retrieval on the wealth side.</w:t>
      </w:r>
    </w:p>
    <w:p>
      <w:r>
        <w:pict>
          <v:rect style="width:0;height:1.5pt" o:hralign="center" o:hrstd="t" o:hr="t"/>
        </w:pict>
      </w:r>
    </w:p>
    <w:bookmarkEnd w:id="66"/>
    <w:bookmarkStart w:id="67" w:name="X6eb8a364b5cc7c5bda08ee11a01e91cbbc1caac"/>
    <w:p>
      <w:pPr>
        <w:pStyle w:val="Heading2"/>
      </w:pPr>
      <w:r>
        <w:t xml:space="preserve">5. Mirror table — 1911-order instruments against the proposed modern analogues</w:t>
      </w:r>
    </w:p>
    <w:p>
      <w:pPr>
        <w:pStyle w:val="FirstParagraph"/>
      </w:pPr>
      <w:r>
        <w:t xml:space="preserve">Disanalogies stated per CLAUDE.md §6; the modern column is the</w:t>
      </w:r>
      <w:r>
        <w:t xml:space="preserve"> </w:t>
      </w:r>
      <w:r>
        <w:t xml:space="preserve">book’s own proposal (spine §8(c)), not a report of enacted policy.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1911-order instrument</w:t>
            </w:r>
          </w:p>
        </w:tc>
        <w:tc>
          <w:tcPr/>
          <w:p>
            <w:pPr>
              <w:pStyle w:val="Compact"/>
              <w:jc w:val="left"/>
            </w:pPr>
            <w:r>
              <w:t xml:space="preserve">What it controlled</w:t>
            </w:r>
          </w:p>
        </w:tc>
        <w:tc>
          <w:tcPr/>
          <w:p>
            <w:pPr>
              <w:pStyle w:val="Compact"/>
              <w:jc w:val="left"/>
            </w:pPr>
            <w:r>
              <w:t xml:space="preserve">Proposed modern analogue</w:t>
            </w:r>
          </w:p>
        </w:tc>
        <w:tc>
          <w:tcPr/>
          <w:p>
            <w:pPr>
              <w:pStyle w:val="Compact"/>
              <w:jc w:val="left"/>
            </w:pPr>
            <w:r>
              <w:t xml:space="preserve">DISANALOGY (state it or cut the row)</w:t>
            </w:r>
          </w:p>
        </w:tc>
      </w:tr>
      <w:tr>
        <w:tc>
          <w:tcPr/>
          <w:p>
            <w:pPr>
              <w:pStyle w:val="Compact"/>
              <w:jc w:val="left"/>
            </w:pPr>
            <w:r>
              <w:t xml:space="preserve">Dissolution decree + § 6 no-recombination</w:t>
            </w:r>
          </w:p>
        </w:tc>
        <w:tc>
          <w:tcPr/>
          <w:p>
            <w:pPr>
              <w:pStyle w:val="Compact"/>
              <w:jc w:val="left"/>
            </w:pPr>
            <w:r>
              <w:t xml:space="preserve">the holding company’s unified command</w:t>
            </w:r>
          </w:p>
        </w:tc>
        <w:tc>
          <w:tcPr/>
          <w:p>
            <w:pPr>
              <w:pStyle w:val="Compact"/>
              <w:jc w:val="left"/>
            </w:pPr>
            <w:r>
              <w:t xml:space="preserve">legal decomposition of platform vertical integration (model/compute/distribution; store/OS/payments)</w:t>
            </w:r>
          </w:p>
        </w:tc>
        <w:tc>
          <w:tcPr/>
          <w:p>
            <w:pPr>
              <w:pStyle w:val="Compact"/>
              <w:jc w:val="left"/>
            </w:pPr>
            <w:r>
              <w:t xml:space="preserve">the 37 successors shared a fungible commodity and divisible plant; the modern stack’s decisive layers are physically concentrated (one EUV supplier; two leading-node foundries) — decomposition of capability is not like decomposition of ownership, and the in-repo Epic v. Apple record shows US courts preferring conduct remedies to structural ones</w:t>
            </w:r>
          </w:p>
        </w:tc>
      </w:tr>
      <w:tr>
        <w:tc>
          <w:tcPr/>
          <w:p>
            <w:pPr>
              <w:pStyle w:val="Compact"/>
              <w:jc w:val="left"/>
            </w:pPr>
            <w:r>
              <w:t xml:space="preserve">Hepburn 1906 / Texas 1917 common carriage</w:t>
            </w:r>
          </w:p>
        </w:tc>
        <w:tc>
          <w:tcPr/>
          <w:p>
            <w:pPr>
              <w:pStyle w:val="Compact"/>
              <w:jc w:val="left"/>
            </w:pPr>
            <w:r>
              <w:t xml:space="preserve">non-discriminatory access to the chokepoint (carriage)</w:t>
            </w:r>
          </w:p>
        </w:tc>
        <w:tc>
          <w:tcPr/>
          <w:p>
            <w:pPr>
              <w:pStyle w:val="Compact"/>
              <w:jc w:val="left"/>
            </w:pPr>
            <w:r>
              <w:t xml:space="preserve">interconnection/access obligations on cloud, constellation and foundry services</w:t>
            </w:r>
          </w:p>
        </w:tc>
        <w:tc>
          <w:tcPr/>
          <w:p>
            <w:pPr>
              <w:pStyle w:val="Compact"/>
              <w:jc w:val="left"/>
            </w:pPr>
            <w:r>
              <w:t xml:space="preserve">carriage of oil is fungible and meterable; frontier-compute allocation is neither —</w:t>
            </w:r>
            <w:r>
              <w:t xml:space="preserve"> </w:t>
            </w:r>
            <w:r>
              <w:t xml:space="preserve">“</w:t>
            </w:r>
            <w:r>
              <w:t xml:space="preserve">common carriage</w:t>
            </w:r>
            <w:r>
              <w:t xml:space="preserve">”</w:t>
            </w:r>
            <w:r>
              <w:t xml:space="preserve"> </w:t>
            </w:r>
            <w:r>
              <w:t xml:space="preserve">of training compute has no settled unit of non-discrimination</w:t>
            </w:r>
          </w:p>
        </w:tc>
      </w:tr>
      <w:tr>
        <w:tc>
          <w:tcPr/>
          <w:p>
            <w:pPr>
              <w:pStyle w:val="Compact"/>
              <w:jc w:val="left"/>
            </w:pPr>
            <w:r>
              <w:t xml:space="preserve">RRC proration + Connally interdiction</w:t>
            </w:r>
          </w:p>
        </w:tc>
        <w:tc>
          <w:tcPr/>
          <w:p>
            <w:pPr>
              <w:pStyle w:val="Compact"/>
              <w:jc w:val="left"/>
            </w:pPr>
            <w:r>
              <w:t xml:space="preserve">volume: how much flows, per well, federally enforced</w:t>
            </w:r>
          </w:p>
        </w:tc>
        <w:tc>
          <w:tcPr/>
          <w:p>
            <w:pPr>
              <w:pStyle w:val="Compact"/>
              <w:jc w:val="left"/>
            </w:pPr>
            <w:r>
              <w:t xml:space="preserve">licensing to run frontier AI at scale (the training-run allowable)</w:t>
            </w:r>
          </w:p>
        </w:tc>
        <w:tc>
          <w:tcPr/>
          <w:p>
            <w:pPr>
              <w:pStyle w:val="Compact"/>
              <w:jc w:val="left"/>
            </w:pPr>
            <w:r>
              <w:t xml:space="preserve">proration was justified as physical-waste prevention over a commodity with a price; an AI licence governs capability, not volume, and has no conservation rationale to borrow — its legitimacy must come from elsewhere</w:t>
            </w:r>
          </w:p>
        </w:tc>
      </w:tr>
      <w:tr>
        <w:tc>
          <w:tcPr/>
          <w:p>
            <w:pPr>
              <w:pStyle w:val="Compact"/>
              <w:jc w:val="left"/>
            </w:pPr>
            <w:r>
              <w:t xml:space="preserve">TWEA § 5(b)</w:t>
            </w:r>
            <w:r>
              <w:t xml:space="preserve"> </w:t>
            </w:r>
            <w:r>
              <w:t xml:space="preserve">“</w:t>
            </w:r>
            <w:r>
              <w:t xml:space="preserve">by means of licenses or otherwise</w:t>
            </w:r>
            <w:r>
              <w:t xml:space="preserve">”</w:t>
            </w:r>
            <w:r>
              <w:t xml:space="preserve"> </w:t>
            </w:r>
            <w:r>
              <w:t xml:space="preserve">→ EO 8832; IEEPA/OFAC</w:t>
            </w:r>
          </w:p>
        </w:tc>
        <w:tc>
          <w:tcPr/>
          <w:p>
            <w:pPr>
              <w:pStyle w:val="Compact"/>
              <w:jc w:val="left"/>
            </w:pPr>
            <w:r>
              <w:t xml:space="preserve">transactions: the license-and-block off-switch</w:t>
            </w:r>
          </w:p>
        </w:tc>
        <w:tc>
          <w:tcPr/>
          <w:p>
            <w:pPr>
              <w:pStyle w:val="Compact"/>
              <w:jc w:val="left"/>
            </w:pPr>
            <w:r>
              <w:t xml:space="preserve">revocation rights over compute, constellation and foundry access (the VEU-revocation pattern — [RE-CHECK AT PRESS: the 2025–26 revocation record is carried in this repo only as the flagged licensing flux, ch10 memo §7])</w:t>
            </w:r>
          </w:p>
        </w:tc>
        <w:tc>
          <w:tcPr/>
          <w:p>
            <w:pPr>
              <w:pStyle w:val="Compact"/>
              <w:jc w:val="left"/>
            </w:pPr>
            <w:r>
              <w:t xml:space="preserve">TWEA/IEEPA powers are EMERGENCY powers — episodic, declared, litigable; standing revocation-by-design over domestic firms in peacetime is a different constitutional animal, closer to the licence than to the blocking order</w:t>
            </w:r>
          </w:p>
        </w:tc>
      </w:tr>
      <w:tr>
        <w:tc>
          <w:tcPr/>
          <w:p>
            <w:pPr>
              <w:pStyle w:val="Compact"/>
              <w:jc w:val="left"/>
            </w:pPr>
            <w:r>
              <w:t xml:space="preserve">EPCA § 161 reserve + conditional drawdown</w:t>
            </w:r>
          </w:p>
        </w:tc>
        <w:tc>
          <w:tcPr/>
          <w:p>
            <w:pPr>
              <w:pStyle w:val="Compact"/>
              <w:jc w:val="left"/>
            </w:pPr>
            <w:r>
              <w:t xml:space="preserve">a state-held physical buffer</w:t>
            </w:r>
          </w:p>
        </w:tc>
        <w:tc>
          <w:tcPr/>
          <w:p>
            <w:pPr>
              <w:pStyle w:val="Compact"/>
              <w:jc w:val="left"/>
            </w:pPr>
            <w:r>
              <w:t xml:space="preserve">sovereign compute reserves / state-held model weights</w:t>
            </w:r>
          </w:p>
        </w:tc>
        <w:tc>
          <w:tcPr/>
          <w:p>
            <w:pPr>
              <w:pStyle w:val="Compact"/>
              <w:jc w:val="left"/>
            </w:pPr>
            <w:r>
              <w:t xml:space="preserve">the SPR stores a fungible commodity against interruption; compute and weights depreciate on technology cycles measured in months — a</w:t>
            </w:r>
            <w:r>
              <w:t xml:space="preserve"> </w:t>
            </w:r>
            <w:r>
              <w:t xml:space="preserve">“</w:t>
            </w:r>
            <w:r>
              <w:t xml:space="preserve">reserve</w:t>
            </w:r>
            <w:r>
              <w:t xml:space="preserve">”</w:t>
            </w:r>
            <w:r>
              <w:t xml:space="preserve"> </w:t>
            </w:r>
            <w:r>
              <w:t xml:space="preserve">may be obsolete before drawn</w:t>
            </w:r>
          </w:p>
        </w:tc>
      </w:tr>
      <w:tr>
        <w:tc>
          <w:tcPr/>
          <w:p>
            <w:pPr>
              <w:pStyle w:val="Compact"/>
              <w:jc w:val="left"/>
            </w:pPr>
            <w:r>
              <w:t xml:space="preserve">§§ 5–6 wealth/power split</w:t>
            </w:r>
          </w:p>
        </w:tc>
        <w:tc>
          <w:tcPr/>
          <w:p>
            <w:pPr>
              <w:pStyle w:val="Compact"/>
              <w:jc w:val="left"/>
            </w:pPr>
            <w:r>
              <w:t xml:space="preserve">shares kept, command extinguished</w:t>
            </w:r>
          </w:p>
        </w:tc>
        <w:tc>
          <w:tcPr/>
          <w:p>
            <w:pPr>
              <w:pStyle w:val="Compact"/>
              <w:jc w:val="left"/>
            </w:pPr>
            <w:r>
              <w:t xml:space="preserve">licensing that leaves platform equity intact while transferring control rights to the state</w:t>
            </w:r>
          </w:p>
        </w:tc>
        <w:tc>
          <w:tcPr/>
          <w:p>
            <w:pPr>
              <w:pStyle w:val="Compact"/>
              <w:jc w:val="left"/>
            </w:pPr>
            <w:r>
              <w:t xml:space="preserve">none — this is the row where the analogy is strongest, and it is the row spine §8(c) rides</w:t>
            </w:r>
          </w:p>
        </w:tc>
      </w:tr>
    </w:tbl>
    <w:p>
      <w:r>
        <w:pict>
          <v:rect style="width:0;height:1.5pt" o:hralign="center" o:hrstd="t" o:hr="t"/>
        </w:pict>
      </w:r>
    </w:p>
    <w:bookmarkEnd w:id="67"/>
    <w:bookmarkStart w:id="68" w:name="X00f3ff1a8141c435080e58abc56db87c0be4e69"/>
    <w:p>
      <w:pPr>
        <w:pStyle w:val="Heading2"/>
      </w:pPr>
      <w:r>
        <w:t xml:space="preserve">6. Findings against spine §8(c) — recorded, not resolved</w:t>
      </w:r>
    </w:p>
    <w:p>
      <w:pPr>
        <w:numPr>
          <w:ilvl w:val="0"/>
          <w:numId w:val="1013"/>
        </w:numPr>
        <w:pStyle w:val="Compact"/>
      </w:pPr>
      <w:r>
        <w:rPr>
          <w:bCs/>
          <w:b/>
        </w:rPr>
        <w:t xml:space="preserve">Supported:</w:t>
      </w:r>
      <w:r>
        <w:t xml:space="preserve"> </w:t>
      </w:r>
      <w:r>
        <w:t xml:space="preserve">the breakup as control-rights story, the</w:t>
      </w:r>
      <w:r>
        <w:t xml:space="preserve"> </w:t>
      </w:r>
      <w:r>
        <w:t xml:space="preserve">wealth/power decoupling (power side at T1; wealth side pending</w:t>
      </w:r>
      <w:r>
        <w:t xml:space="preserve"> </w:t>
      </w:r>
      <w:r>
        <w:t xml:space="preserve">retrieval), and</w:t>
      </w:r>
      <w:r>
        <w:t xml:space="preserve"> </w:t>
      </w:r>
      <w:r>
        <w:t xml:space="preserve">“</w:t>
      </w:r>
      <w:r>
        <w:t xml:space="preserve">the state did not take the oil.</w:t>
      </w:r>
      <w:r>
        <w:t xml:space="preserve">”</w:t>
      </w:r>
    </w:p>
    <w:p>
      <w:pPr>
        <w:numPr>
          <w:ilvl w:val="0"/>
          <w:numId w:val="1013"/>
        </w:numPr>
        <w:pStyle w:val="Compact"/>
      </w:pPr>
      <w:r>
        <w:rPr>
          <w:bCs/>
          <w:b/>
        </w:rPr>
        <w:t xml:space="preserve">Refinement:</w:t>
      </w:r>
      <w:r>
        <w:t xml:space="preserve"> </w:t>
      </w:r>
      <w:r>
        <w:t xml:space="preserve">the off-switch did not pass to the state IN the</w:t>
      </w:r>
      <w:r>
        <w:t xml:space="preserve"> </w:t>
      </w:r>
      <w:r>
        <w:t xml:space="preserve">breakup. The decree vacated private command and handed the</w:t>
      </w:r>
      <w:r>
        <w:t xml:space="preserve"> </w:t>
      </w:r>
      <w:r>
        <w:t xml:space="preserve">discretion to no one; the public off-switch was assembled</w:t>
      </w:r>
      <w:r>
        <w:t xml:space="preserve"> </w:t>
      </w:r>
      <w:r>
        <w:t xml:space="preserve">1906–1977 by carriage, production and transaction instruments —</w:t>
      </w:r>
      <w:r>
        <w:t xml:space="preserve"> </w:t>
      </w:r>
      <w:r>
        <w:t xml:space="preserve">one of which (Hepburn) PRECEDES the dissolution. If ch12 states</w:t>
      </w:r>
      <w:r>
        <w:t xml:space="preserve"> </w:t>
      </w:r>
      <w:r>
        <w:t xml:space="preserve">the proof case, it should state the lag: decoupling first,</w:t>
      </w:r>
      <w:r>
        <w:t xml:space="preserve"> </w:t>
      </w:r>
      <w:r>
        <w:t xml:space="preserve">control-acquisition over the following generation. That sequence</w:t>
      </w:r>
      <w:r>
        <w:t xml:space="preserve"> </w:t>
      </w:r>
      <w:r>
        <w:t xml:space="preserve">is, if anything, MORE useful to the book (it mirrors the</w:t>
      </w:r>
      <w:r>
        <w:t xml:space="preserve"> </w:t>
      </w:r>
      <w:r>
        <w:t xml:space="preserve">1439→1445→1449–53 gradualism in ch10/fiscal-settlement.md) — but</w:t>
      </w:r>
      <w:r>
        <w:t xml:space="preserve"> </w:t>
      </w:r>
      <w:r>
        <w:t xml:space="preserve">it is not the compressed version.</w:t>
      </w:r>
    </w:p>
    <w:p>
      <w:pPr>
        <w:numPr>
          <w:ilvl w:val="0"/>
          <w:numId w:val="1013"/>
        </w:numPr>
        <w:pStyle w:val="Compact"/>
      </w:pPr>
      <w:r>
        <w:rPr>
          <w:bCs/>
          <w:b/>
        </w:rPr>
        <w:t xml:space="preserve">Tension flagged for Roderick (draft is locked; nothing done):</w:t>
      </w:r>
      <w:r>
        <w:t xml:space="preserve"> </w:t>
      </w:r>
      <w:r>
        <w:t xml:space="preserve">ch12/draft.md §IV currently argues the platforms are</w:t>
      </w:r>
      <w:r>
        <w:t xml:space="preserve"> </w:t>
      </w:r>
      <w:r>
        <w:t xml:space="preserve">“</w:t>
      </w:r>
      <w:r>
        <w:t xml:space="preserve">not the</w:t>
      </w:r>
      <w:r>
        <w:t xml:space="preserve"> </w:t>
      </w:r>
      <w:r>
        <w:t xml:space="preserve">American state’s Standard Oil but its monasteries,</w:t>
      </w:r>
      <w:r>
        <w:t xml:space="preserve">”</w:t>
      </w:r>
      <w:r>
        <w:t xml:space="preserve"> </w:t>
      </w:r>
      <w:r>
        <w:t xml:space="preserve">rejecting the</w:t>
      </w:r>
      <w:r>
        <w:t xml:space="preserve"> </w:t>
      </w:r>
      <w:r>
        <w:t xml:space="preserve">antitrust register as nineteenth-century nostalgia, while spine</w:t>
      </w:r>
      <w:r>
        <w:t xml:space="preserve"> </w:t>
      </w:r>
      <w:r>
        <w:t xml:space="preserve">§8(c) declares</w:t>
      </w:r>
      <w:r>
        <w:t xml:space="preserve"> </w:t>
      </w:r>
      <w:r>
        <w:t xml:space="preserve">“</w:t>
      </w:r>
      <w:r>
        <w:t xml:space="preserve">Standard Oil is the proof case.</w:t>
      </w:r>
      <w:r>
        <w:t xml:space="preserve">”</w:t>
      </w:r>
      <w:r>
        <w:t xml:space="preserve"> </w:t>
      </w:r>
      <w:r>
        <w:t xml:space="preserve">The two are</w:t>
      </w:r>
      <w:r>
        <w:t xml:space="preserve"> </w:t>
      </w:r>
      <w:r>
        <w:t xml:space="preserve">reconcilable — §8(c) reads 1911 as a control-rights consolidation</w:t>
      </w:r>
      <w:r>
        <w:t xml:space="preserve"> </w:t>
      </w:r>
      <w:r>
        <w:t xml:space="preserve">rather than as trust-busting, and the draft’s target is the</w:t>
      </w:r>
      <w:r>
        <w:t xml:space="preserve"> </w:t>
      </w:r>
      <w:r>
        <w:t xml:space="preserve">NOSTALGIC reading — but the draft’s sentence as written sits</w:t>
      </w:r>
      <w:r>
        <w:t xml:space="preserve"> </w:t>
      </w:r>
      <w:r>
        <w:t xml:space="preserve">against the spine’s wording, and TWEA’s</w:t>
      </w:r>
      <w:r>
        <w:t xml:space="preserve"> </w:t>
      </w:r>
      <w:r>
        <w:t xml:space="preserve">“</w:t>
      </w:r>
      <w:r>
        <w:t xml:space="preserve">by means of licenses</w:t>
      </w:r>
      <w:r>
        <w:t xml:space="preserve">”</w:t>
      </w:r>
      <w:r>
        <w:t xml:space="preserve"> </w:t>
      </w:r>
      <w:r>
        <w:t xml:space="preserve">shows the licence working as a control instrument inside the very</w:t>
      </w:r>
      <w:r>
        <w:t xml:space="preserve"> </w:t>
      </w:r>
      <w:r>
        <w:t xml:space="preserve">tradition the draft sets aside. Roderick’s call at renovation.</w:t>
      </w:r>
    </w:p>
    <w:p>
      <w:pPr>
        <w:pStyle w:val="FirstParagraph"/>
      </w:pPr>
      <w:r>
        <w:t xml:space="preserve">STATUS: PENDING HUMAN REVIEW</w:t>
      </w:r>
    </w:p>
    <w:p>
      <w:r>
        <w:pict>
          <v:rect style="width:0;height:1.5pt" o:hralign="center" o:hrstd="t" o:hr="t"/>
        </w:pict>
      </w:r>
    </w:p>
    <w:bookmarkEnd w:id="68"/>
    <w:bookmarkStart w:id="69" w:name="X3b6b81e8928b5fb0fc263c67ec45d3f2dd4e35c"/>
    <w:p>
      <w:pPr>
        <w:pStyle w:val="Heading2"/>
      </w:pPr>
      <w:r>
        <w:t xml:space="preserve">Addendum (2026-09-02, filed by Claude/Cowork on Roderick’s instruction) — the American case series as retrieval leads</w:t>
      </w:r>
    </w:p>
    <w:p>
      <w:pPr>
        <w:pStyle w:val="FirstParagraph"/>
      </w:pPr>
      <w:r>
        <w:t xml:space="preserve">Source of the list: research/overmighty-citizen-playbook.md (AI-generated</w:t>
      </w:r>
      <w:r>
        <w:t xml:space="preserve"> </w:t>
      </w:r>
      <w:r>
        <w:t xml:space="preserve">report commissioned and prompt-designed by Roderick; outside the</w:t>
      </w:r>
      <w:r>
        <w:t xml:space="preserve"> </w:t>
      </w:r>
      <w:r>
        <w:t xml:space="preserve">provenance chain). Nothing below is cited from it; each row names the</w:t>
      </w:r>
      <w:r>
        <w:t xml:space="preserve"> </w:t>
      </w:r>
      <w:r>
        <w:t xml:space="preserve">T1 primary that would carry the case, its status, and what it would do</w:t>
      </w:r>
      <w:r>
        <w:t xml:space="preserve"> </w:t>
      </w:r>
      <w:r>
        <w:t xml:space="preserve">for §8(c)’s proof-case argument. The list confirms this probe’s §3</w:t>
      </w:r>
      <w:r>
        <w:t xml:space="preserve"> </w:t>
      </w:r>
      <w:r>
        <w:t xml:space="preserve">finding from the other direction: the playbook’s own first non-oil</w:t>
      </w:r>
      <w:r>
        <w:t xml:space="preserve"> </w:t>
      </w:r>
      <w:r>
        <w:t xml:space="preserve">case (the ICC, 1887; Hepburn, 1906) is carriage regulation that</w:t>
      </w:r>
      <w:r>
        <w:t xml:space="preserve"> </w:t>
      </w:r>
      <w:r>
        <w:t xml:space="preserve">PRECEDES and surrounds the 1911 dissolution — the off-switch was</w:t>
      </w:r>
      <w:r>
        <w:t xml:space="preserve"> </w:t>
      </w:r>
      <w:r>
        <w:t xml:space="preserve">being built by the regulatory line before the antitrust line fired.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Case</w:t>
            </w:r>
          </w:p>
        </w:tc>
        <w:tc>
          <w:tcPr/>
          <w:p>
            <w:pPr>
              <w:pStyle w:val="Compact"/>
              <w:jc w:val="left"/>
            </w:pPr>
            <w:r>
              <w:t xml:space="preserve">T1 primary to retrieve</w:t>
            </w:r>
          </w:p>
        </w:tc>
        <w:tc>
          <w:tcPr/>
          <w:p>
            <w:pPr>
              <w:pStyle w:val="Compact"/>
              <w:jc w:val="left"/>
            </w:pPr>
            <w:r>
              <w:t xml:space="preserve">Status</w:t>
            </w:r>
          </w:p>
        </w:tc>
        <w:tc>
          <w:tcPr/>
          <w:p>
            <w:pPr>
              <w:pStyle w:val="Compact"/>
              <w:jc w:val="left"/>
            </w:pPr>
            <w:r>
              <w:t xml:space="preserve">What it carries</w:t>
            </w:r>
          </w:p>
        </w:tc>
      </w:tr>
      <w:tr>
        <w:tc>
          <w:tcPr/>
          <w:p>
            <w:pPr>
              <w:pStyle w:val="Compact"/>
              <w:jc w:val="left"/>
            </w:pPr>
            <w:r>
              <w:t xml:space="preserve">Railroads — ICC</w:t>
            </w:r>
          </w:p>
        </w:tc>
        <w:tc>
          <w:tcPr/>
          <w:p>
            <w:pPr>
              <w:pStyle w:val="Compact"/>
              <w:jc w:val="left"/>
            </w:pPr>
            <w:r>
              <w:t xml:space="preserve">Interstate Commerce Act, 24 Stat. 379 (1887); Hepburn Act, 34 Stat. 584 (1906)</w:t>
            </w:r>
          </w:p>
        </w:tc>
        <w:tc>
          <w:tcPr/>
          <w:p>
            <w:pPr>
              <w:pStyle w:val="Compact"/>
              <w:jc w:val="left"/>
            </w:pPr>
            <w:r>
              <w:t xml:space="preserve">Hepburn IN REPO (this probe); ICA 1887 open (govinfo/LoC) — PULL</w:t>
            </w:r>
          </w:p>
        </w:tc>
        <w:tc>
          <w:tcPr/>
          <w:p>
            <w:pPr>
              <w:pStyle w:val="Compact"/>
              <w:jc w:val="left"/>
            </w:pPr>
            <w:r>
              <w:t xml:space="preserve">the</w:t>
            </w:r>
            <w:r>
              <w:t xml:space="preserve"> </w:t>
            </w:r>
            <w:r>
              <w:t xml:space="preserve">“</w:t>
            </w:r>
            <w:r>
              <w:t xml:space="preserve">leave title, regulate the switch</w:t>
            </w:r>
            <w:r>
              <w:t xml:space="preserve">”</w:t>
            </w:r>
            <w:r>
              <w:t xml:space="preserve"> </w:t>
            </w:r>
            <w:r>
              <w:t xml:space="preserve">template; rate-discretion → administrative function</w:t>
            </w:r>
          </w:p>
        </w:tc>
      </w:tr>
      <w:tr>
        <w:tc>
          <w:tcPr/>
          <w:p>
            <w:pPr>
              <w:pStyle w:val="Compact"/>
              <w:jc w:val="left"/>
            </w:pPr>
            <w:r>
              <w:t xml:space="preserve">Money Trust — Morgan</w:t>
            </w:r>
          </w:p>
        </w:tc>
        <w:tc>
          <w:tcPr/>
          <w:p>
            <w:pPr>
              <w:pStyle w:val="Compact"/>
              <w:jc w:val="left"/>
            </w:pPr>
            <w:r>
              <w:t xml:space="preserve">Federal Reserve Act, 38 Stat. 251 (1913); Clayton Act §8, 38 Stat. 730 (1914); FTC Act, 38 Stat. 717 (1914); Pujo Committee report (1913)</w:t>
            </w:r>
          </w:p>
        </w:tc>
        <w:tc>
          <w:tcPr/>
          <w:p>
            <w:pPr>
              <w:pStyle w:val="Compact"/>
              <w:jc w:val="left"/>
            </w:pPr>
            <w:r>
              <w:t xml:space="preserve">open (govinfo; FRASER for Pujo) — PULL</w:t>
            </w:r>
          </w:p>
        </w:tc>
        <w:tc>
          <w:tcPr/>
          <w:p>
            <w:pPr>
              <w:pStyle w:val="Compact"/>
              <w:jc w:val="left"/>
            </w:pPr>
            <w:r>
              <w:t xml:space="preserve">a network of control broken by governance rules, not a merger case; the interlock ban</w:t>
            </w:r>
          </w:p>
        </w:tc>
      </w:tr>
      <w:tr>
        <w:tc>
          <w:tcPr/>
          <w:p>
            <w:pPr>
              <w:pStyle w:val="Compact"/>
              <w:jc w:val="left"/>
            </w:pPr>
            <w:r>
              <w:t xml:space="preserve">Glass–Steagall</w:t>
            </w:r>
          </w:p>
        </w:tc>
        <w:tc>
          <w:tcPr/>
          <w:p>
            <w:pPr>
              <w:pStyle w:val="Compact"/>
              <w:jc w:val="left"/>
            </w:pPr>
            <w:r>
              <w:t xml:space="preserve">Banking Act of 1933, 48 Stat. 162</w:t>
            </w:r>
          </w:p>
        </w:tc>
        <w:tc>
          <w:tcPr/>
          <w:p>
            <w:pPr>
              <w:pStyle w:val="Compact"/>
              <w:jc w:val="left"/>
            </w:pPr>
            <w:r>
              <w:t xml:space="preserve">open (FRASER) — PULL</w:t>
            </w:r>
          </w:p>
        </w:tc>
        <w:tc>
          <w:tcPr/>
          <w:p>
            <w:pPr>
              <w:pStyle w:val="Compact"/>
              <w:jc w:val="left"/>
            </w:pPr>
            <w:r>
              <w:t xml:space="preserve">line-of-business firebreak; owners keep equity, lose the combination</w:t>
            </w:r>
          </w:p>
        </w:tc>
      </w:tr>
      <w:tr>
        <w:tc>
          <w:tcPr/>
          <w:p>
            <w:pPr>
              <w:pStyle w:val="Compact"/>
              <w:jc w:val="left"/>
            </w:pPr>
            <w:r>
              <w:t xml:space="preserve">Utility pyramids — Insull</w:t>
            </w:r>
          </w:p>
        </w:tc>
        <w:tc>
          <w:tcPr/>
          <w:p>
            <w:pPr>
              <w:pStyle w:val="Compact"/>
              <w:jc w:val="left"/>
            </w:pPr>
            <w:r>
              <w:t xml:space="preserve">Public Utility Holding Company Act, 49 Stat. 803 (1935), Title I</w:t>
            </w:r>
            <w:r>
              <w:t xml:space="preserve"> </w:t>
            </w:r>
            <w:r>
              <w:t xml:space="preserve">“</w:t>
            </w:r>
            <w:r>
              <w:t xml:space="preserve">death sentence</w:t>
            </w:r>
            <w:r>
              <w:t xml:space="preserve">”</w:t>
            </w:r>
            <w:r>
              <w:t xml:space="preserve"> </w:t>
            </w:r>
            <w:r>
              <w:t xml:space="preserve">§11</w:t>
            </w:r>
          </w:p>
        </w:tc>
        <w:tc>
          <w:tcPr/>
          <w:p>
            <w:pPr>
              <w:pStyle w:val="Compact"/>
              <w:jc w:val="left"/>
            </w:pPr>
            <w:r>
              <w:t xml:space="preserve">open (govinfo) — PULL</w:t>
            </w:r>
          </w:p>
        </w:tc>
        <w:tc>
          <w:tcPr/>
          <w:p>
            <w:pPr>
              <w:pStyle w:val="Compact"/>
              <w:jc w:val="left"/>
            </w:pPr>
            <w:r>
              <w:t xml:space="preserve">the strongest template for a cross-layer conglomerate: simplification mandate</w:t>
            </w:r>
          </w:p>
        </w:tc>
      </w:tr>
      <w:tr>
        <w:tc>
          <w:tcPr/>
          <w:p>
            <w:pPr>
              <w:pStyle w:val="Compact"/>
              <w:jc w:val="left"/>
            </w:pPr>
            <w:r>
              <w:t xml:space="preserve">Meatpackers</w:t>
            </w:r>
          </w:p>
        </w:tc>
        <w:tc>
          <w:tcPr/>
          <w:p>
            <w:pPr>
              <w:pStyle w:val="Compact"/>
              <w:jc w:val="left"/>
            </w:pPr>
            <w:r>
              <w:t xml:space="preserve">Swift consent decree (1920); Packers and Stockyards Act, 42 Stat. 159 (1921)</w:t>
            </w:r>
          </w:p>
        </w:tc>
        <w:tc>
          <w:tcPr/>
          <w:p>
            <w:pPr>
              <w:pStyle w:val="Compact"/>
              <w:jc w:val="left"/>
            </w:pPr>
            <w:r>
              <w:t xml:space="preserve">PSA open; decree via DOJ — PULL</w:t>
            </w:r>
          </w:p>
        </w:tc>
        <w:tc>
          <w:tcPr/>
          <w:p>
            <w:pPr>
              <w:pStyle w:val="Compact"/>
              <w:jc w:val="left"/>
            </w:pPr>
            <w:r>
              <w:t xml:space="preserve">line-of-business exclusion + sector regulation combined</w:t>
            </w:r>
          </w:p>
        </w:tc>
      </w:tr>
      <w:tr>
        <w:tc>
          <w:tcPr/>
          <w:p>
            <w:pPr>
              <w:pStyle w:val="Compact"/>
              <w:jc w:val="left"/>
            </w:pPr>
            <w:r>
              <w:t xml:space="preserve">RCA</w:t>
            </w:r>
          </w:p>
        </w:tc>
        <w:tc>
          <w:tcPr/>
          <w:p>
            <w:pPr>
              <w:pStyle w:val="Compact"/>
              <w:jc w:val="left"/>
            </w:pPr>
            <w:r>
              <w:t xml:space="preserve">1932 consent decree (GE/Westinghouse divestiture)</w:t>
            </w:r>
          </w:p>
        </w:tc>
        <w:tc>
          <w:tcPr/>
          <w:p>
            <w:pPr>
              <w:pStyle w:val="Compact"/>
              <w:jc w:val="left"/>
            </w:pPr>
            <w:r>
              <w:t xml:space="preserve">DOJ archive — PULL, may be gated</w:t>
            </w:r>
          </w:p>
        </w:tc>
        <w:tc>
          <w:tcPr/>
          <w:p>
            <w:pPr>
              <w:pStyle w:val="Compact"/>
              <w:jc w:val="left"/>
            </w:pPr>
            <w:r>
              <w:t xml:space="preserve">cross-ownership + patent pool severed</w:t>
            </w:r>
          </w:p>
        </w:tc>
      </w:tr>
      <w:tr>
        <w:tc>
          <w:tcPr/>
          <w:p>
            <w:pPr>
              <w:pStyle w:val="Compact"/>
              <w:jc w:val="left"/>
            </w:pPr>
            <w:r>
              <w:t xml:space="preserve">Paramount</w:t>
            </w:r>
          </w:p>
        </w:tc>
        <w:tc>
          <w:tcPr/>
          <w:p>
            <w:pPr>
              <w:pStyle w:val="Compact"/>
              <w:jc w:val="left"/>
            </w:pPr>
            <w:r>
              <w:rPr>
                <w:iCs/>
                <w:i/>
              </w:rPr>
              <w:t xml:space="preserve">United States v. Paramount Pictures</w:t>
            </w:r>
            <w:r>
              <w:t xml:space="preserve">, 334 U.S. 131 (1948); 1948–49 decrees</w:t>
            </w:r>
          </w:p>
        </w:tc>
        <w:tc>
          <w:tcPr/>
          <w:p>
            <w:pPr>
              <w:pStyle w:val="Compact"/>
              <w:jc w:val="left"/>
            </w:pPr>
            <w:r>
              <w:t xml:space="preserve">opinion open (LII/Justia) — PULL</w:t>
            </w:r>
          </w:p>
        </w:tc>
        <w:tc>
          <w:tcPr/>
          <w:p>
            <w:pPr>
              <w:pStyle w:val="Compact"/>
              <w:jc w:val="left"/>
            </w:pPr>
            <w:r>
              <w:t xml:space="preserve">producer-distributor divested from the exhibition gateway: app-store/first-party analogue</w:t>
            </w:r>
          </w:p>
        </w:tc>
      </w:tr>
      <w:tr>
        <w:tc>
          <w:tcPr/>
          <w:p>
            <w:pPr>
              <w:pStyle w:val="Compact"/>
              <w:jc w:val="left"/>
            </w:pPr>
            <w:r>
              <w:t xml:space="preserve">Alcoa</w:t>
            </w:r>
          </w:p>
        </w:tc>
        <w:tc>
          <w:tcPr/>
          <w:p>
            <w:pPr>
              <w:pStyle w:val="Compact"/>
              <w:jc w:val="left"/>
            </w:pPr>
            <w:r>
              <w:rPr>
                <w:iCs/>
                <w:i/>
              </w:rPr>
              <w:t xml:space="preserve">United States v. Aluminum Co. of America</w:t>
            </w:r>
            <w:r>
              <w:t xml:space="preserve">, 148 F.2d 416 (2d Cir. 1945)</w:t>
            </w:r>
          </w:p>
        </w:tc>
        <w:tc>
          <w:tcPr/>
          <w:p>
            <w:pPr>
              <w:pStyle w:val="Compact"/>
              <w:jc w:val="left"/>
            </w:pPr>
            <w:r>
              <w:t xml:space="preserve">open (Justia) — PULL</w:t>
            </w:r>
          </w:p>
        </w:tc>
        <w:tc>
          <w:tcPr/>
          <w:p>
            <w:pPr>
              <w:pStyle w:val="Compact"/>
              <w:jc w:val="left"/>
            </w:pPr>
            <w:r>
              <w:t xml:space="preserve">structure as §2 monopolisation without a predatory act</w:t>
            </w:r>
          </w:p>
        </w:tc>
      </w:tr>
      <w:tr>
        <w:tc>
          <w:tcPr/>
          <w:p>
            <w:pPr>
              <w:pStyle w:val="Compact"/>
              <w:jc w:val="left"/>
            </w:pPr>
            <w:r>
              <w:t xml:space="preserve">DuPont–GM</w:t>
            </w:r>
          </w:p>
        </w:tc>
        <w:tc>
          <w:tcPr/>
          <w:p>
            <w:pPr>
              <w:pStyle w:val="Compact"/>
              <w:jc w:val="left"/>
            </w:pPr>
            <w:r>
              <w:rPr>
                <w:iCs/>
                <w:i/>
              </w:rPr>
              <w:t xml:space="preserve">United States v. E.I. du Pont de Nemours &amp; Co.</w:t>
            </w:r>
            <w:r>
              <w:t xml:space="preserve">, 353 U.S. 586 (1957)</w:t>
            </w:r>
          </w:p>
        </w:tc>
        <w:tc>
          <w:tcPr/>
          <w:p>
            <w:pPr>
              <w:pStyle w:val="Compact"/>
              <w:jc w:val="left"/>
            </w:pPr>
            <w:r>
              <w:t xml:space="preserve">open (LII) — PULL</w:t>
            </w:r>
          </w:p>
        </w:tc>
        <w:tc>
          <w:tcPr/>
          <w:p>
            <w:pPr>
              <w:pStyle w:val="Compact"/>
              <w:jc w:val="left"/>
            </w:pPr>
            <w:r>
              <w:t xml:space="preserve">a strategic equity link as control: the cloud/model cross-investment analogue</w:t>
            </w:r>
          </w:p>
        </w:tc>
      </w:tr>
      <w:tr>
        <w:tc>
          <w:tcPr/>
          <w:p>
            <w:pPr>
              <w:pStyle w:val="Compact"/>
              <w:jc w:val="left"/>
            </w:pPr>
            <w:r>
              <w:t xml:space="preserve">AT&amp;T</w:t>
            </w:r>
          </w:p>
        </w:tc>
        <w:tc>
          <w:tcPr/>
          <w:p>
            <w:pPr>
              <w:pStyle w:val="Compact"/>
              <w:jc w:val="left"/>
            </w:pPr>
            <w:r>
              <w:t xml:space="preserve">1956 consent decree;</w:t>
            </w:r>
            <w:r>
              <w:t xml:space="preserve"> </w:t>
            </w:r>
            <w:r>
              <w:rPr>
                <w:iCs/>
                <w:i/>
              </w:rPr>
              <w:t xml:space="preserve">United States v. AT&amp;T</w:t>
            </w:r>
            <w:r>
              <w:t xml:space="preserve">, 552 F. Supp. 131 (D.D.C. 1982) (the MFJ, Greene J.)</w:t>
            </w:r>
          </w:p>
        </w:tc>
        <w:tc>
          <w:tcPr/>
          <w:p>
            <w:pPr>
              <w:pStyle w:val="Compact"/>
              <w:jc w:val="left"/>
            </w:pPr>
            <w:r>
              <w:t xml:space="preserve">1982 opinion open (Justia) — PULL</w:t>
            </w:r>
          </w:p>
        </w:tc>
        <w:tc>
          <w:tcPr/>
          <w:p>
            <w:pPr>
              <w:pStyle w:val="Compact"/>
              <w:jc w:val="left"/>
            </w:pPr>
            <w:r>
              <w:t xml:space="preserve">regulated bottleneck separated from adjacent markets; named-judge supervision</w:t>
            </w:r>
          </w:p>
        </w:tc>
      </w:tr>
      <w:tr>
        <w:tc>
          <w:tcPr/>
          <w:p>
            <w:pPr>
              <w:pStyle w:val="Compact"/>
              <w:jc w:val="left"/>
            </w:pPr>
            <w:r>
              <w:t xml:space="preserve">IBM</w:t>
            </w:r>
          </w:p>
        </w:tc>
        <w:tc>
          <w:tcPr/>
          <w:p>
            <w:pPr>
              <w:pStyle w:val="Compact"/>
              <w:jc w:val="left"/>
            </w:pPr>
            <w:r>
              <w:t xml:space="preserve">1956 consent decree; 1969 unbundling announcement; DOJ 1982 dismissal memorandum</w:t>
            </w:r>
          </w:p>
        </w:tc>
        <w:tc>
          <w:tcPr/>
          <w:p>
            <w:pPr>
              <w:pStyle w:val="Compact"/>
              <w:jc w:val="left"/>
            </w:pPr>
            <w:r>
              <w:t xml:space="preserve">DOJ archive — PULL</w:t>
            </w:r>
          </w:p>
        </w:tc>
        <w:tc>
          <w:tcPr/>
          <w:p>
            <w:pPr>
              <w:pStyle w:val="Compact"/>
              <w:jc w:val="left"/>
            </w:pPr>
            <w:r>
              <w:t xml:space="preserve">tying, closed interfaces, patent leverage; causation caveat per the playbook itself</w:t>
            </w:r>
          </w:p>
        </w:tc>
      </w:tr>
      <w:tr>
        <w:tc>
          <w:tcPr/>
          <w:p>
            <w:pPr>
              <w:pStyle w:val="Compact"/>
              <w:jc w:val="left"/>
            </w:pPr>
            <w:r>
              <w:t xml:space="preserve">Microsoft</w:t>
            </w:r>
          </w:p>
        </w:tc>
        <w:tc>
          <w:tcPr/>
          <w:p>
            <w:pPr>
              <w:pStyle w:val="Compact"/>
              <w:jc w:val="left"/>
            </w:pPr>
            <w:r>
              <w:rPr>
                <w:iCs/>
                <w:i/>
              </w:rPr>
              <w:t xml:space="preserve">United States v. Microsoft Corp.</w:t>
            </w:r>
            <w:r>
              <w:t xml:space="preserve">, 253 F.3d 34 (D.C. Cir. 2001); Final Judgment (2002)</w:t>
            </w:r>
          </w:p>
        </w:tc>
        <w:tc>
          <w:tcPr/>
          <w:p>
            <w:pPr>
              <w:pStyle w:val="Compact"/>
              <w:jc w:val="left"/>
            </w:pPr>
            <w:r>
              <w:t xml:space="preserve">open (DOJ/Justia) — PULL</w:t>
            </w:r>
          </w:p>
        </w:tc>
        <w:tc>
          <w:tcPr/>
          <w:p>
            <w:pPr>
              <w:pStyle w:val="Compact"/>
              <w:jc w:val="left"/>
            </w:pPr>
            <w:r>
              <w:t xml:space="preserve">interoperability as remedy: the closest precedent for mandatory APIs</w:t>
            </w:r>
          </w:p>
        </w:tc>
      </w:tr>
      <w:tr>
        <w:tc>
          <w:tcPr/>
          <w:p>
            <w:pPr>
              <w:pStyle w:val="Compact"/>
              <w:jc w:val="left"/>
            </w:pPr>
            <w:r>
              <w:t xml:space="preserve">Merger review</w:t>
            </w:r>
          </w:p>
        </w:tc>
        <w:tc>
          <w:tcPr/>
          <w:p>
            <w:pPr>
              <w:pStyle w:val="Compact"/>
              <w:jc w:val="left"/>
            </w:pPr>
            <w:r>
              <w:t xml:space="preserve">Hart–Scott–Rodino Act, 90 Stat. 1383 (1976)</w:t>
            </w:r>
          </w:p>
        </w:tc>
        <w:tc>
          <w:tcPr/>
          <w:p>
            <w:pPr>
              <w:pStyle w:val="Compact"/>
              <w:jc w:val="left"/>
            </w:pPr>
            <w:r>
              <w:t xml:space="preserve">open — PULL</w:t>
            </w:r>
          </w:p>
        </w:tc>
        <w:tc>
          <w:tcPr/>
          <w:p>
            <w:pPr>
              <w:pStyle w:val="Compact"/>
              <w:jc w:val="left"/>
            </w:pPr>
            <w:r>
              <w:t xml:space="preserve">pre-consolidation intervention</w:t>
            </w:r>
          </w:p>
        </w:tc>
      </w:tr>
      <w:tr>
        <w:tc>
          <w:tcPr/>
          <w:p>
            <w:pPr>
              <w:pStyle w:val="Compact"/>
              <w:jc w:val="left"/>
            </w:pPr>
            <w:r>
              <w:t xml:space="preserve">Telecom unbundling</w:t>
            </w:r>
          </w:p>
        </w:tc>
        <w:tc>
          <w:tcPr/>
          <w:p>
            <w:pPr>
              <w:pStyle w:val="Compact"/>
              <w:jc w:val="left"/>
            </w:pPr>
            <w:r>
              <w:t xml:space="preserve">Telecommunications Act of 1996, 110 Stat. 56, §251</w:t>
            </w:r>
          </w:p>
        </w:tc>
        <w:tc>
          <w:tcPr/>
          <w:p>
            <w:pPr>
              <w:pStyle w:val="Compact"/>
              <w:jc w:val="left"/>
            </w:pPr>
            <w:r>
              <w:t xml:space="preserve">open — PULL</w:t>
            </w:r>
          </w:p>
        </w:tc>
        <w:tc>
          <w:tcPr/>
          <w:p>
            <w:pPr>
              <w:pStyle w:val="Compact"/>
              <w:jc w:val="left"/>
            </w:pPr>
            <w:r>
              <w:t xml:space="preserve">unbundled-network framework</w:t>
            </w:r>
          </w:p>
        </w:tc>
      </w:tr>
      <w:tr>
        <w:tc>
          <w:tcPr/>
          <w:p>
            <w:pPr>
              <w:pStyle w:val="Compact"/>
              <w:jc w:val="left"/>
            </w:pPr>
            <w:r>
              <w:t xml:space="preserve">Speech limit</w:t>
            </w:r>
          </w:p>
        </w:tc>
        <w:tc>
          <w:tcPr/>
          <w:p>
            <w:pPr>
              <w:pStyle w:val="Compact"/>
              <w:jc w:val="left"/>
            </w:pPr>
            <w:r>
              <w:rPr>
                <w:iCs/>
                <w:i/>
              </w:rPr>
              <w:t xml:space="preserve">Moody v. NetChoice</w:t>
            </w:r>
            <w:r>
              <w:t xml:space="preserve">, 603 U.S. ___ (2024)</w:t>
            </w:r>
          </w:p>
        </w:tc>
        <w:tc>
          <w:tcPr/>
          <w:p>
            <w:pPr>
              <w:pStyle w:val="Compact"/>
              <w:jc w:val="left"/>
            </w:pPr>
            <w:r>
              <w:t xml:space="preserve">open (supremecourt.gov) — PULL</w:t>
            </w:r>
          </w:p>
        </w:tc>
        <w:tc>
          <w:tcPr/>
          <w:p>
            <w:pPr>
              <w:pStyle w:val="Compact"/>
              <w:jc w:val="left"/>
            </w:pPr>
            <w:r>
              <w:t xml:space="preserve">the disanalogy: the state may regulate the platforms’ economic switches, not their doctrine (ch02/ch12 concession)</w:t>
            </w:r>
          </w:p>
        </w:tc>
      </w:tr>
      <w:tr>
        <w:tc>
          <w:tcPr/>
          <w:p>
            <w:pPr>
              <w:pStyle w:val="Compact"/>
              <w:jc w:val="left"/>
            </w:pPr>
            <w:r>
              <w:t xml:space="preserve">Lineage of the phrase</w:t>
            </w:r>
          </w:p>
        </w:tc>
        <w:tc>
          <w:tcPr/>
          <w:p>
            <w:pPr>
              <w:pStyle w:val="Compact"/>
              <w:jc w:val="left"/>
            </w:pPr>
            <w:r>
              <w:t xml:space="preserve">Fortescue,</w:t>
            </w:r>
            <w:r>
              <w:t xml:space="preserve"> </w:t>
            </w:r>
            <w:r>
              <w:rPr>
                <w:iCs/>
                <w:i/>
              </w:rPr>
              <w:t xml:space="preserve">The Governance of England</w:t>
            </w:r>
            <w:r>
              <w:t xml:space="preserve"> </w:t>
            </w:r>
            <w:r>
              <w:t xml:space="preserve">(c. 1471–75), ed. Plummer (1885)</w:t>
            </w:r>
          </w:p>
        </w:tc>
        <w:tc>
          <w:tcPr/>
          <w:p>
            <w:pPr>
              <w:pStyle w:val="Compact"/>
              <w:jc w:val="left"/>
            </w:pPr>
            <w:r>
              <w:t xml:space="preserve">open (archive.org) — PULL</w:t>
            </w:r>
          </w:p>
        </w:tc>
        <w:tc>
          <w:tcPr/>
          <w:p>
            <w:pPr>
              <w:pStyle w:val="Compact"/>
              <w:jc w:val="left"/>
            </w:pPr>
            <w:r>
              <w:t xml:space="preserve">“</w:t>
            </w:r>
            <w:r>
              <w:t xml:space="preserve">ovur mighty subgiettes</w:t>
            </w:r>
            <w:r>
              <w:t xml:space="preserve">”</w:t>
            </w:r>
            <w:r>
              <w:t xml:space="preserve"> </w:t>
            </w:r>
            <w:r>
              <w:t xml:space="preserve">— the term predates McFarlane’s inversion; ch05 credit owed</w:t>
            </w:r>
          </w:p>
        </w:tc>
      </w:tr>
      <w:tr>
        <w:tc>
          <w:tcPr/>
          <w:p>
            <w:pPr>
              <w:pStyle w:val="Compact"/>
              <w:jc w:val="left"/>
            </w:pPr>
            <w:r>
              <w:t xml:space="preserve">Contemporary (all [RE-CHECK AT PRESS])</w:t>
            </w:r>
          </w:p>
        </w:tc>
        <w:tc>
          <w:tcPr/>
          <w:p>
            <w:pPr>
              <w:pStyle w:val="Compact"/>
              <w:jc w:val="left"/>
            </w:pPr>
            <w:r>
              <w:t xml:space="preserve">DOJ Google search final judgment (Dec 2025) and compliance report; DOJ ad-tech liability judgment; FTC v. Meta appeal (Jan 2026); EO 14110 rescission (Jan 2025); BIS AI Diffusion Rule rescission (2025); Omdia Q3 2025 cloud shares; Bennet–Welch Digital Platforms Commission bill text</w:t>
            </w:r>
          </w:p>
        </w:tc>
        <w:tc>
          <w:tcPr/>
          <w:p>
            <w:pPr>
              <w:pStyle w:val="Compact"/>
              <w:jc w:val="left"/>
            </w:pPr>
            <w:r>
              <w:t xml:space="preserve">primaries open where they exist — PULL and date</w:t>
            </w:r>
          </w:p>
        </w:tc>
        <w:tc>
          <w:tcPr/>
          <w:p>
            <w:pPr>
              <w:pStyle w:val="Compact"/>
              <w:jc w:val="left"/>
            </w:pPr>
            <w:r>
              <w:t xml:space="preserve">the 2026 baselines for the Appendix C American sub-wager</w:t>
            </w:r>
          </w:p>
        </w:tc>
      </w:tr>
    </w:tbl>
    <w:p>
      <w:pPr>
        <w:pStyle w:val="BodyText"/>
      </w:pPr>
      <w:r>
        <w:t xml:space="preserve">Two analytical notes for the renovation, recorded not resolved: (i)</w:t>
      </w:r>
      <w:r>
        <w:t xml:space="preserve"> </w:t>
      </w:r>
      <w:r>
        <w:t xml:space="preserve">the playbook’s menu opens the stack inward (interoperability,</w:t>
      </w:r>
      <w:r>
        <w:t xml:space="preserve"> </w:t>
      </w:r>
      <w:r>
        <w:t xml:space="preserve">portability, public compute) while the export-control line closes it</w:t>
      </w:r>
      <w:r>
        <w:t xml:space="preserve"> </w:t>
      </w:r>
      <w:r>
        <w:t xml:space="preserve">outward (the council’s indivisibility point, GLM 5.2) — both are</w:t>
      </w:r>
      <w:r>
        <w:t xml:space="preserve"> </w:t>
      </w:r>
      <w:r>
        <w:t xml:space="preserve">control moves and the draft should say so rather than treat them as</w:t>
      </w:r>
      <w:r>
        <w:t xml:space="preserve"> </w:t>
      </w:r>
      <w:r>
        <w:t xml:space="preserve">opposites; (ii) the playbook’s</w:t>
      </w:r>
      <w:r>
        <w:t xml:space="preserve"> </w:t>
      </w:r>
      <w:r>
        <w:t xml:space="preserve">“</w:t>
      </w:r>
      <w:r>
        <w:t xml:space="preserve">power switch test</w:t>
      </w:r>
      <w:r>
        <w:t xml:space="preserve">”</w:t>
      </w:r>
      <w:r>
        <w:t xml:space="preserve"> </w:t>
      </w:r>
      <w:r>
        <w:t xml:space="preserve">is GPT 5.6 Sol’s</w:t>
      </w:r>
      <w:r>
        <w:t xml:space="preserve"> </w:t>
      </w:r>
      <w:r>
        <w:t xml:space="preserve">revocation metric in statutory form — the two should be cited as one</w:t>
      </w:r>
      <w:r>
        <w:t xml:space="preserve"> </w:t>
      </w:r>
      <w:r>
        <w:t xml:space="preserve">criterion in Appendix C, not two.</w:t>
      </w:r>
    </w:p>
    <w:bookmarkEnd w:id="69"/>
    <w:bookmarkStart w:id="70" w:name="Xd705810be4d93a05cdfba942dd8d7f996176a52"/>
    <w:p>
      <w:pPr>
        <w:pStyle w:val="Heading2"/>
      </w:pPr>
      <w:r>
        <w:t xml:space="preserve">B3. ch12/american-pattern.md — the twelve-case American pattern (spine §8(c) RULING)</w:t>
      </w:r>
    </w:p>
    <w:bookmarkEnd w:id="70"/>
    <w:bookmarkEnd w:id="71"/>
    <w:bookmarkStart w:id="91" w:name="the-american-pattern-evidentiary-probe"/>
    <w:p>
      <w:pPr>
        <w:pStyle w:val="Heading1"/>
      </w:pPr>
      <w:r>
        <w:t xml:space="preserve">The American Pattern — Evidentiary Probe</w:t>
      </w:r>
    </w:p>
    <w:bookmarkStart w:id="72" w:name="X417c69713b6fc39b04a9b259cd67f729293b852"/>
    <w:p>
      <w:pPr>
        <w:pStyle w:val="Heading2"/>
      </w:pPr>
      <w:r>
        <w:t xml:space="preserve">Twelve over-mighty citizens, the instruments the republic used, and what each decree actually severed</w:t>
      </w:r>
    </w:p>
    <w:p>
      <w:pPr>
        <w:pStyle w:val="FirstParagraph"/>
      </w:pPr>
      <w:r>
        <w:rPr>
          <w:bCs/>
          <w:b/>
        </w:rPr>
        <w:t xml:space="preserve">Companion evidence file to ch12/memo.md (REVIEWED) and</w:t>
      </w:r>
      <w:r>
        <w:rPr>
          <w:bCs/>
          <w:b/>
        </w:rPr>
        <w:t xml:space="preserve"> </w:t>
      </w:r>
      <w:r>
        <w:rPr>
          <w:bCs/>
          <w:b/>
        </w:rPr>
        <w:t xml:space="preserve">ch12/standard-oil-offswitch.md. Compiled 2026-09-02 under spine</w:t>
      </w:r>
      <w:r>
        <w:rPr>
          <w:bCs/>
          <w:b/>
        </w:rPr>
        <w:t xml:space="preserve"> </w:t>
      </w:r>
      <w:r>
        <w:rPr>
          <w:bCs/>
          <w:b/>
        </w:rPr>
        <w:t xml:space="preserve">§8(c)’s RULING of 2 September (</w:t>
      </w:r>
      <w:r>
        <w:rPr>
          <w:bCs/>
          <w:b/>
        </w:rPr>
        <w:t xml:space="preserve">“</w:t>
      </w:r>
      <w:r>
        <w:rPr>
          <w:bCs/>
          <w:b/>
        </w:rPr>
        <w:t xml:space="preserve">the chapter rests on the whole</w:t>
      </w:r>
      <w:r>
        <w:rPr>
          <w:bCs/>
          <w:b/>
        </w:rPr>
        <w:t xml:space="preserve"> </w:t>
      </w:r>
      <w:r>
        <w:rPr>
          <w:bCs/>
          <w:b/>
        </w:rPr>
        <w:t xml:space="preserve">American pattern, not on Standard Oil alone</w:t>
      </w:r>
      <w:r>
        <w:rPr>
          <w:bCs/>
          <w:b/>
        </w:rPr>
        <w:t xml:space="preserve">”</w:t>
      </w:r>
      <w:r>
        <w:rPr>
          <w:bCs/>
          <w:b/>
        </w:rPr>
        <w:t xml:space="preserve">; commissioning recorded</w:t>
      </w:r>
      <w:r>
        <w:rPr>
          <w:bCs/>
          <w:b/>
        </w:rPr>
        <w:t xml:space="preserve"> </w:t>
      </w:r>
      <w:r>
        <w:rPr>
          <w:bCs/>
          <w:b/>
        </w:rPr>
        <w:t xml:space="preserve">at ch12/memo.md Revisions 4). Buff Box standard (CLAUDE.md §§4–5):</w:t>
      </w:r>
      <w:r>
        <w:rPr>
          <w:bCs/>
          <w:b/>
        </w:rPr>
        <w:t xml:space="preserve"> </w:t>
      </w:r>
      <w:r>
        <w:rPr>
          <w:bCs/>
          <w:b/>
        </w:rPr>
        <w:t xml:space="preserve">omission over invention; every case established from its T1 primary</w:t>
      </w:r>
      <w:r>
        <w:rPr>
          <w:bCs/>
          <w:b/>
        </w:rPr>
        <w:t xml:space="preserve"> </w:t>
      </w:r>
      <w:r>
        <w:rPr>
          <w:bCs/>
          <w:b/>
        </w:rPr>
        <w:t xml:space="preserve">in corpus — statute, opinion or decree — never from</w:t>
      </w:r>
      <w:r>
        <w:rPr>
          <w:bCs/>
          <w:b/>
        </w:rPr>
        <w:t xml:space="preserve"> </w:t>
      </w:r>
      <w:r>
        <w:rPr>
          <w:bCs/>
          <w:b/>
        </w:rPr>
        <w:t xml:space="preserve">research/overmighty-citizen-playbook.md (outside the provenance</w:t>
      </w:r>
      <w:r>
        <w:rPr>
          <w:bCs/>
          <w:b/>
        </w:rPr>
        <w:t xml:space="preserve"> </w:t>
      </w:r>
      <w:r>
        <w:rPr>
          <w:bCs/>
          <w:b/>
        </w:rPr>
        <w:t xml:space="preserve">chain; its case list is the lead sheet, its claims unverified) and</w:t>
      </w:r>
      <w:r>
        <w:rPr>
          <w:bCs/>
          <w:b/>
        </w:rPr>
        <w:t xml:space="preserve"> </w:t>
      </w:r>
      <w:r>
        <w:rPr>
          <w:bCs/>
          <w:b/>
        </w:rPr>
        <w:t xml:space="preserve">never from memory. Primaries:</w:t>
      </w:r>
      <w:r>
        <w:rPr>
          <w:bCs/>
          <w:b/>
        </w:rPr>
        <w:t xml:space="preserve"> </w:t>
      </w:r>
      <w:r>
        <w:rPr>
          <w:rStyle w:val="VerbatimChar"/>
          <w:bCs/>
          <w:b/>
        </w:rPr>
        <w:t xml:space="preserve">corpus/retrieved/source-library/american-primaries-2026-09-02/</w:t>
      </w:r>
      <w:r>
        <w:rPr>
          <w:bCs/>
          <w:b/>
        </w:rPr>
        <w:t xml:space="preserve"> </w:t>
      </w:r>
      <w:r>
        <w:rPr>
          <w:bCs/>
          <w:b/>
        </w:rPr>
        <w:t xml:space="preserve">(INDEX.md is the manifest) plus the Standard Oil set retrieved for</w:t>
      </w:r>
      <w:r>
        <w:rPr>
          <w:bCs/>
          <w:b/>
        </w:rPr>
        <w:t xml:space="preserve"> </w:t>
      </w:r>
      <w:r>
        <w:rPr>
          <w:bCs/>
          <w:b/>
        </w:rPr>
        <w:t xml:space="preserve">the off-switch probe. Extraction run this session, verbatim with</w:t>
      </w:r>
      <w:r>
        <w:rPr>
          <w:bCs/>
          <w:b/>
        </w:rPr>
        <w:t xml:space="preserve"> </w:t>
      </w:r>
      <w:r>
        <w:rPr>
          <w:bCs/>
          <w:b/>
        </w:rPr>
        <w:t xml:space="preserve">page/section pins; OCR artefacts flagged by the extraction, not</w:t>
      </w:r>
      <w:r>
        <w:rPr>
          <w:bCs/>
          <w:b/>
        </w:rPr>
        <w:t xml:space="preserve"> </w:t>
      </w:r>
      <w:r>
        <w:rPr>
          <w:bCs/>
          <w:b/>
        </w:rPr>
        <w:t xml:space="preserve">corrected into quotations. Four cases lack their primary in corpus</w:t>
      </w:r>
      <w:r>
        <w:rPr>
          <w:bCs/>
          <w:b/>
        </w:rPr>
        <w:t xml:space="preserve"> </w:t>
      </w:r>
      <w:r>
        <w:rPr>
          <w:bCs/>
          <w:b/>
        </w:rPr>
        <w:t xml:space="preserve">and are carried at [UNVERIFIED — RETRIEVAL] throughout: the Federal</w:t>
      </w:r>
      <w:r>
        <w:rPr>
          <w:bCs/>
          <w:b/>
        </w:rPr>
        <w:t xml:space="preserve"> </w:t>
      </w:r>
      <w:r>
        <w:rPr>
          <w:bCs/>
          <w:b/>
        </w:rPr>
        <w:t xml:space="preserve">Reserve leg of the Money Trust; PUHCA/Insull; the packers; RCA; so</w:t>
      </w:r>
      <w:r>
        <w:rPr>
          <w:bCs/>
          <w:b/>
        </w:rPr>
        <w:t xml:space="preserve"> </w:t>
      </w:r>
      <w:r>
        <w:rPr>
          <w:bCs/>
          <w:b/>
        </w:rPr>
        <w:t xml:space="preserve">are the IBM and AT&amp;T 1956 decrees and the later structural decrees</w:t>
      </w:r>
      <w:r>
        <w:rPr>
          <w:bCs/>
          <w:b/>
        </w:rPr>
        <w:t xml:space="preserve"> </w:t>
      </w:r>
      <w:r>
        <w:rPr>
          <w:bCs/>
          <w:b/>
        </w:rPr>
        <w:t xml:space="preserve">in Paramount, Alcoa and DuPont–GM (see the retrieval consequences at</w:t>
      </w:r>
      <w:r>
        <w:rPr>
          <w:bCs/>
          <w:b/>
        </w:rPr>
        <w:t xml:space="preserve"> </w:t>
      </w:r>
      <w:r>
        <w:rPr>
          <w:bCs/>
          <w:b/>
        </w:rPr>
        <w:t xml:space="preserve">the end).</w:t>
      </w:r>
    </w:p>
    <w:p>
      <w:pPr>
        <w:pStyle w:val="BodyText"/>
      </w:pPr>
      <w:r>
        <w:t xml:space="preserve">The five questions asked of every case: (1) what dependency the</w:t>
      </w:r>
      <w:r>
        <w:t xml:space="preserve"> </w:t>
      </w:r>
      <w:r>
        <w:t xml:space="preserve">private actor held; (2) what instrument the republic used; (3) what</w:t>
      </w:r>
      <w:r>
        <w:t xml:space="preserve"> </w:t>
      </w:r>
      <w:r>
        <w:t xml:space="preserve">exactly was severed and what was left in the owners’ hands; (4)</w:t>
      </w:r>
      <w:r>
        <w:t xml:space="preserve"> </w:t>
      </w:r>
      <w:r>
        <w:t xml:space="preserve">whether the fortune survived — asserted only where a T1/T2 source in</w:t>
      </w:r>
      <w:r>
        <w:t xml:space="preserve"> </w:t>
      </w:r>
      <w:r>
        <w:t xml:space="preserve">repo says so; (5) the sequence — whether regulation of the switch</w:t>
      </w:r>
      <w:r>
        <w:t xml:space="preserve"> </w:t>
      </w:r>
      <w:r>
        <w:t xml:space="preserve">preceded, accompanied or followed the structural act, testing the</w:t>
      </w:r>
      <w:r>
        <w:t xml:space="preserve"> </w:t>
      </w:r>
      <w:r>
        <w:t xml:space="preserve">Standard Oil probe’s lag finding (ch12/standard-oil-offswitch.md §6)</w:t>
      </w:r>
      <w:r>
        <w:t xml:space="preserve"> </w:t>
      </w:r>
      <w:r>
        <w:t xml:space="preserve">across the series.</w:t>
      </w:r>
    </w:p>
    <w:p>
      <w:r>
        <w:pict>
          <v:rect style="width:0;height:1.5pt" o:hralign="center" o:hrstd="t" o:hr="t"/>
        </w:pict>
      </w:r>
    </w:p>
    <w:bookmarkEnd w:id="72"/>
    <w:bookmarkStart w:id="73" w:name="Xd85a16cc53f5c3f3ce3150ec46fb4a604226afe"/>
    <w:p>
      <w:pPr>
        <w:pStyle w:val="Heading2"/>
      </w:pPr>
      <w:r>
        <w:t xml:space="preserve">1. The railroads — ICC 1887, Hepburn 1906 [T1 IN CORPUS: 24 Stat. 379; 34 Stat. 584]</w:t>
      </w:r>
    </w:p>
    <w:p>
      <w:pPr>
        <w:pStyle w:val="FirstParagraph"/>
      </w:pPr>
      <w:r>
        <w:rPr>
          <w:bCs/>
          <w:b/>
        </w:rPr>
        <w:t xml:space="preserve">Dependency.</w:t>
      </w:r>
      <w:r>
        <w:t xml:space="preserve"> </w:t>
      </w:r>
      <w:r>
        <w:t xml:space="preserve">Carrier discretion over rates and access — who ships,</w:t>
      </w:r>
      <w:r>
        <w:t xml:space="preserve"> </w:t>
      </w:r>
      <w:r>
        <w:t xml:space="preserve">at what price, which town lives. The statute’s own targets:</w:t>
      </w:r>
      <w:r>
        <w:t xml:space="preserve"> </w:t>
      </w:r>
      <w:r>
        <w:t xml:space="preserve">“</w:t>
      </w:r>
      <w:r>
        <w:t xml:space="preserve">any</w:t>
      </w:r>
      <w:r>
        <w:t xml:space="preserve"> </w:t>
      </w:r>
      <w:r>
        <w:t xml:space="preserve">special rate, rebate, drawback, or other device</w:t>
      </w:r>
      <w:r>
        <w:t xml:space="preserve">”</w:t>
      </w:r>
      <w:r>
        <w:t xml:space="preserve"> </w:t>
      </w:r>
      <w:r>
        <w:t xml:space="preserve">(§2, 24 Stat.</w:t>
      </w:r>
      <w:r>
        <w:t xml:space="preserve"> </w:t>
      </w:r>
      <w:r>
        <w:t xml:space="preserve">379–80);</w:t>
      </w:r>
      <w:r>
        <w:t xml:space="preserve"> </w:t>
      </w:r>
      <w:r>
        <w:t xml:space="preserve">“</w:t>
      </w:r>
      <w:r>
        <w:t xml:space="preserve">undue or unreasonable preference or advantage to any</w:t>
      </w:r>
      <w:r>
        <w:t xml:space="preserve"> </w:t>
      </w:r>
      <w:r>
        <w:t xml:space="preserve">particular person, company, firm, corporation, or locality</w:t>
      </w:r>
      <w:r>
        <w:t xml:space="preserve">”</w:t>
      </w:r>
      <w:r>
        <w:t xml:space="preserve"> </w:t>
      </w:r>
      <w:r>
        <w:t xml:space="preserve">(§3, p.</w:t>
      </w:r>
      <w:r>
        <w:t xml:space="preserve"> </w:t>
      </w:r>
      <w:r>
        <w:t xml:space="preserve">380).</w:t>
      </w:r>
    </w:p>
    <w:p>
      <w:pPr>
        <w:pStyle w:val="BodyText"/>
      </w:pPr>
      <w:r>
        <w:rPr>
          <w:bCs/>
          <w:b/>
        </w:rPr>
        <w:t xml:space="preserve">Instrument.</w:t>
      </w:r>
      <w:r>
        <w:t xml:space="preserve"> </w:t>
      </w:r>
      <w:r>
        <w:t xml:space="preserve">Common carriage and rate regulation with a standing</w:t>
      </w:r>
      <w:r>
        <w:t xml:space="preserve"> </w:t>
      </w:r>
      <w:r>
        <w:t xml:space="preserve">commission — no structural act. §1: all charges</w:t>
      </w:r>
      <w:r>
        <w:t xml:space="preserve"> </w:t>
      </w:r>
      <w:r>
        <w:t xml:space="preserve">“</w:t>
      </w:r>
      <w:r>
        <w:t xml:space="preserve">shall be reasonable</w:t>
      </w:r>
      <w:r>
        <w:t xml:space="preserve"> </w:t>
      </w:r>
      <w:r>
        <w:t xml:space="preserve">and just; and every unjust and unreasonable charge for such service</w:t>
      </w:r>
      <w:r>
        <w:t xml:space="preserve"> </w:t>
      </w:r>
      <w:r>
        <w:t xml:space="preserve">is prohibited and declared to be unlawful</w:t>
      </w:r>
      <w:r>
        <w:t xml:space="preserve">”</w:t>
      </w:r>
      <w:r>
        <w:t xml:space="preserve">; §11:</w:t>
      </w:r>
      <w:r>
        <w:t xml:space="preserve"> </w:t>
      </w:r>
      <w:r>
        <w:t xml:space="preserve">“</w:t>
      </w:r>
      <w:r>
        <w:t xml:space="preserve">a Commission is</w:t>
      </w:r>
      <w:r>
        <w:t xml:space="preserve"> </w:t>
      </w:r>
      <w:r>
        <w:t xml:space="preserve">hereby created and established to be known as the Inter-State</w:t>
      </w:r>
      <w:r>
        <w:t xml:space="preserve"> </w:t>
      </w:r>
      <w:r>
        <w:t xml:space="preserve">Commerce Commission</w:t>
      </w:r>
      <w:r>
        <w:t xml:space="preserve">”</w:t>
      </w:r>
      <w:r>
        <w:t xml:space="preserve"> </w:t>
      </w:r>
      <w:r>
        <w:t xml:space="preserve">(p. 383). Approved 4 February 1887. The 1887</w:t>
      </w:r>
      <w:r>
        <w:t xml:space="preserve"> </w:t>
      </w:r>
      <w:r>
        <w:t xml:space="preserve">text contains no divestiture, dissolution or forfeiture-of-assets</w:t>
      </w:r>
      <w:r>
        <w:t xml:space="preserve"> </w:t>
      </w:r>
      <w:r>
        <w:t xml:space="preserve">provision (searched; none). The 1887 ICC could prohibit and</w:t>
      </w:r>
      <w:r>
        <w:t xml:space="preserve"> </w:t>
      </w:r>
      <w:r>
        <w:t xml:space="preserve">investigate; the power to PRESCRIBE came with Hepburn (approved 29</w:t>
      </w:r>
      <w:r>
        <w:t xml:space="preserve"> </w:t>
      </w:r>
      <w:r>
        <w:t xml:space="preserve">June 1906), amended §15: the Commission</w:t>
      </w:r>
      <w:r>
        <w:t xml:space="preserve"> </w:t>
      </w:r>
      <w:r>
        <w:t xml:space="preserve">“</w:t>
      </w:r>
      <w:r>
        <w:t xml:space="preserve">authorized and empowered…</w:t>
      </w:r>
      <w:r>
        <w:t xml:space="preserve"> </w:t>
      </w:r>
      <w:r>
        <w:t xml:space="preserve">to determine and prescribe what will be the just and reasonable rate</w:t>
      </w:r>
      <w:r>
        <w:t xml:space="preserve"> </w:t>
      </w:r>
      <w:r>
        <w:t xml:space="preserve">or rates… to be thereafter observed in such case as the maximum to</w:t>
      </w:r>
      <w:r>
        <w:t xml:space="preserve"> </w:t>
      </w:r>
      <w:r>
        <w:t xml:space="preserve">be charged</w:t>
      </w:r>
      <w:r>
        <w:t xml:space="preserve">”</w:t>
      </w:r>
      <w:r>
        <w:t xml:space="preserve"> </w:t>
      </w:r>
      <w:r>
        <w:t xml:space="preserve">(34 Stat., §4), orders in force up to two years. Hepburn</w:t>
      </w:r>
      <w:r>
        <w:t xml:space="preserve"> </w:t>
      </w:r>
      <w:r>
        <w:t xml:space="preserve">also made oil pipelines common carriers (the off-switch probe’s §3</w:t>
      </w:r>
      <w:r>
        <w:t xml:space="preserve"> </w:t>
      </w:r>
      <w:r>
        <w:t xml:space="preserve">anchor).</w:t>
      </w:r>
    </w:p>
    <w:p>
      <w:pPr>
        <w:pStyle w:val="BodyText"/>
      </w:pPr>
      <w:r>
        <w:rPr>
          <w:bCs/>
          <w:b/>
        </w:rPr>
        <w:t xml:space="preserve">The buried structural rule — the probe’s first finding.</w:t>
      </w:r>
      <w:r>
        <w:t xml:space="preserve"> </w:t>
      </w:r>
      <w:r>
        <w:t xml:space="preserve">Hepburn</w:t>
      </w:r>
      <w:r>
        <w:t xml:space="preserve"> </w:t>
      </w:r>
      <w:r>
        <w:t xml:space="preserve">carries a genuine line-of-business separation INSIDE the regulatory</w:t>
      </w:r>
      <w:r>
        <w:t xml:space="preserve"> </w:t>
      </w:r>
      <w:r>
        <w:t xml:space="preserve">statute, the commodities clause:</w:t>
      </w:r>
      <w:r>
        <w:t xml:space="preserve"> </w:t>
      </w:r>
      <w:r>
        <w:t xml:space="preserve">“</w:t>
      </w:r>
      <w:r>
        <w:t xml:space="preserve">From and after May first, nineteen</w:t>
      </w:r>
      <w:r>
        <w:t xml:space="preserve"> </w:t>
      </w:r>
      <w:r>
        <w:t xml:space="preserve">hundred and eight, it shall be unlawful for any railroad company to</w:t>
      </w:r>
      <w:r>
        <w:t xml:space="preserve"> </w:t>
      </w:r>
      <w:r>
        <w:t xml:space="preserve">transport… any article or commodity, other than timber and the</w:t>
      </w:r>
      <w:r>
        <w:t xml:space="preserve"> </w:t>
      </w:r>
      <w:r>
        <w:t xml:space="preserve">manufactured products thereof, manufactured, mined, or produced by</w:t>
      </w:r>
      <w:r>
        <w:t xml:space="preserve"> </w:t>
      </w:r>
      <w:r>
        <w:t xml:space="preserve">it, or under its authority, or which it may own in whole, or in</w:t>
      </w:r>
      <w:r>
        <w:t xml:space="preserve"> </w:t>
      </w:r>
      <w:r>
        <w:t xml:space="preserve">part, or in which it may have any interest direct or indirect,</w:t>
      </w:r>
      <w:r>
        <w:t xml:space="preserve">”</w:t>
      </w:r>
      <w:r>
        <w:t xml:space="preserve"> </w:t>
      </w:r>
      <w:r>
        <w:t xml:space="preserve">excepting articles for its own carrier use. The carrier may not</w:t>
      </w:r>
      <w:r>
        <w:t xml:space="preserve"> </w:t>
      </w:r>
      <w:r>
        <w:t xml:space="preserve">carry its own goods — a self-preferencing ban in structural form,</w:t>
      </w:r>
      <w:r>
        <w:t xml:space="preserve"> </w:t>
      </w:r>
      <w:r>
        <w:t xml:space="preserve">enacted five years before the Standard Oil dissolution.</w:t>
      </w:r>
    </w:p>
    <w:p>
      <w:pPr>
        <w:pStyle w:val="BodyText"/>
      </w:pPr>
      <w:r>
        <w:rPr>
          <w:bCs/>
          <w:b/>
        </w:rPr>
        <w:t xml:space="preserve">Severed / left.</w:t>
      </w:r>
      <w:r>
        <w:t xml:space="preserve"> </w:t>
      </w:r>
      <w:r>
        <w:t xml:space="preserve">Severed: unilateral tariff discretion, the</w:t>
      </w:r>
      <w:r>
        <w:t xml:space="preserve"> </w:t>
      </w:r>
      <w:r>
        <w:t xml:space="preserve">rebate, the preference, and (1908) carriage-of-own-commodities.</w:t>
      </w:r>
      <w:r>
        <w:t xml:space="preserve"> </w:t>
      </w:r>
      <w:r>
        <w:t xml:space="preserve">Left: ownership of the roads, private operation, the revenues.</w:t>
      </w:r>
      <w:r>
        <w:t xml:space="preserve"> </w:t>
      </w:r>
      <w:r>
        <w:rPr>
          <w:bCs/>
          <w:b/>
        </w:rPr>
        <w:t xml:space="preserve">Fortune:</w:t>
      </w:r>
      <w:r>
        <w:t xml:space="preserve"> </w:t>
      </w:r>
      <w:r>
        <w:t xml:space="preserve">not addressed by these statutes; no in-repo T2 speaks</w:t>
      </w:r>
      <w:r>
        <w:t xml:space="preserve"> </w:t>
      </w:r>
      <w:r>
        <w:t xml:space="preserve">to the railroad fortunes — [UNVERIFIED — RETRIEVAL], not needed.</w:t>
      </w:r>
    </w:p>
    <w:p>
      <w:pPr>
        <w:pStyle w:val="BodyText"/>
      </w:pPr>
      <w:r>
        <w:rPr>
          <w:bCs/>
          <w:b/>
        </w:rPr>
        <w:t xml:space="preserve">Sequence.</w:t>
      </w:r>
      <w:r>
        <w:t xml:space="preserve"> </w:t>
      </w:r>
      <w:r>
        <w:t xml:space="preserve">Regulation IS the whole case: the series opens with</w:t>
      </w:r>
      <w:r>
        <w:t xml:space="preserve"> </w:t>
      </w:r>
      <w:r>
        <w:t xml:space="preserve">twenty-four years of carriage regulation before any structural</w:t>
      </w:r>
      <w:r>
        <w:t xml:space="preserve"> </w:t>
      </w:r>
      <w:r>
        <w:t xml:space="preserve">dissolution anywhere. The lag finding’s baseline.</w:t>
      </w:r>
    </w:p>
    <w:p>
      <w:r>
        <w:pict>
          <v:rect style="width:0;height:1.5pt" o:hralign="center" o:hrstd="t" o:hr="t"/>
        </w:pict>
      </w:r>
    </w:p>
    <w:bookmarkEnd w:id="73"/>
    <w:bookmarkStart w:id="74" w:name="X898d9eb2a85c501584201522779e16459bf84ba"/>
    <w:p>
      <w:pPr>
        <w:pStyle w:val="Heading2"/>
      </w:pPr>
      <w:r>
        <w:t xml:space="preserve">2. Standard Oil, 1911 — the worked example [T1 IN CORPUS; full treatment in ch12/standard-oil-offswitch.md]</w:t>
      </w:r>
    </w:p>
    <w:p>
      <w:pPr>
        <w:pStyle w:val="FirstParagraph"/>
      </w:pPr>
      <w:r>
        <w:t xml:space="preserve">Summary of the worked example, for the pattern table: dependency =</w:t>
      </w:r>
      <w:r>
        <w:t xml:space="preserve"> </w:t>
      </w:r>
      <w:r>
        <w:t xml:space="preserve">unified command of refining, pipelines and marketing through the</w:t>
      </w:r>
      <w:r>
        <w:t xml:space="preserve"> </w:t>
      </w:r>
      <w:r>
        <w:t xml:space="preserve">holding company; instrument = Sherman dissolution decree (221 U.S.</w:t>
      </w:r>
      <w:r>
        <w:t xml:space="preserve"> </w:t>
      </w:r>
      <w:r>
        <w:t xml:space="preserve">1); severed = the command structure (§5 no exercise of ownership; §6</w:t>
      </w:r>
      <w:r>
        <w:t xml:space="preserve"> </w:t>
      </w:r>
      <w:r>
        <w:t xml:space="preserve">no recombination) and nothing physical (the Court’s own pipeline</w:t>
      </w:r>
      <w:r>
        <w:t xml:space="preserve"> </w:t>
      </w:r>
      <w:r>
        <w:t xml:space="preserve">illustration); left = the shares pro rata, the plant, lawful</w:t>
      </w:r>
      <w:r>
        <w:t xml:space="preserve"> </w:t>
      </w:r>
      <w:r>
        <w:t xml:space="preserve">coordination-in-carriage; fortune = the control side verified at T1</w:t>
      </w:r>
      <w:r>
        <w:t xml:space="preserve"> </w:t>
      </w:r>
      <w:r>
        <w:t xml:space="preserve">(no divestiture ordered of any individual), the wealth side</w:t>
      </w:r>
      <w:r>
        <w:t xml:space="preserve"> </w:t>
      </w:r>
      <w:r>
        <w:t xml:space="preserve">([~$300M → ~$900M+ by 1913]) carried only by an unfootnoted T3 —</w:t>
      </w:r>
      <w:r>
        <w:t xml:space="preserve"> </w:t>
      </w:r>
      <w:r>
        <w:t xml:space="preserve">[UNVERIFIED — RETRIEVAL: Chernow; Yergin]; sequence = Hepburn’s</w:t>
      </w:r>
      <w:r>
        <w:t xml:space="preserve"> </w:t>
      </w:r>
      <w:r>
        <w:t xml:space="preserve">carriage regulation and commodities clause PRECEDE, the public</w:t>
      </w:r>
      <w:r>
        <w:t xml:space="preserve"> </w:t>
      </w:r>
      <w:r>
        <w:t xml:space="preserve">off-switch is assembled 1906–1977.</w:t>
      </w:r>
    </w:p>
    <w:p>
      <w:pPr>
        <w:pStyle w:val="BodyText"/>
      </w:pPr>
      <w:r>
        <w:rPr>
          <w:bCs/>
          <w:b/>
        </w:rPr>
        <w:t xml:space="preserve">Playbook check.</w:t>
      </w:r>
      <w:r>
        <w:t xml:space="preserve"> </w:t>
      </w:r>
      <w:r>
        <w:t xml:space="preserve">The playbook says dissolution</w:t>
      </w:r>
      <w:r>
        <w:t xml:space="preserve"> </w:t>
      </w:r>
      <w:r>
        <w:t xml:space="preserve">“</w:t>
      </w:r>
      <w:r>
        <w:t xml:space="preserve">into 34</w:t>
      </w:r>
      <w:r>
        <w:t xml:space="preserve"> </w:t>
      </w:r>
      <w:r>
        <w:t xml:space="preserve">companies.</w:t>
      </w:r>
      <w:r>
        <w:t xml:space="preserve">”</w:t>
      </w:r>
      <w:r>
        <w:t xml:space="preserve"> </w:t>
      </w:r>
      <w:r>
        <w:t xml:space="preserve">Decree §4 as recited in the U.S. Reports tabulates ~37</w:t>
      </w:r>
      <w:r>
        <w:t xml:space="preserve"> </w:t>
      </w:r>
      <w:r>
        <w:t xml:space="preserve">named subsidiaries whose stock was to be distributed. The</w:t>
      </w:r>
      <w:r>
        <w:t xml:space="preserve"> </w:t>
      </w:r>
      <w:r>
        <w:t xml:space="preserve">conventional</w:t>
      </w:r>
      <w:r>
        <w:t xml:space="preserve"> </w:t>
      </w:r>
      <w:r>
        <w:t xml:space="preserve">“</w:t>
      </w:r>
      <w:r>
        <w:t xml:space="preserve">34</w:t>
      </w:r>
      <w:r>
        <w:t xml:space="preserve">”</w:t>
      </w:r>
      <w:r>
        <w:t xml:space="preserve"> </w:t>
      </w:r>
      <w:r>
        <w:t xml:space="preserve">is not the decree’s own count — the number should</w:t>
      </w:r>
      <w:r>
        <w:t xml:space="preserve"> </w:t>
      </w:r>
      <w:r>
        <w:t xml:space="preserve">be stated from the decree table or not at all.</w:t>
      </w:r>
    </w:p>
    <w:p>
      <w:r>
        <w:pict>
          <v:rect style="width:0;height:1.5pt" o:hralign="center" o:hrstd="t" o:hr="t"/>
        </w:pict>
      </w:r>
    </w:p>
    <w:bookmarkEnd w:id="74"/>
    <w:bookmarkStart w:id="75" w:name="X73bdcd7aaa2f127b410a7ef2e1c1beba500134c"/>
    <w:p>
      <w:pPr>
        <w:pStyle w:val="Heading2"/>
      </w:pPr>
      <w:r>
        <w:t xml:space="preserve">3. The Money Trust, 1913–14 [Clayton and FTC Acts T1 IN CORPUS; the Federal Reserve Act NOT — [UNVERIFIED — RETRIEVAL]]</w:t>
      </w:r>
    </w:p>
    <w:p>
      <w:pPr>
        <w:pStyle w:val="FirstParagraph"/>
      </w:pPr>
      <w:r>
        <w:rPr>
          <w:bCs/>
          <w:b/>
        </w:rPr>
        <w:t xml:space="preserve">Dependency.</w:t>
      </w:r>
      <w:r>
        <w:t xml:space="preserve"> </w:t>
      </w:r>
      <w:r>
        <w:t xml:space="preserve">Coordinated control of credit and corporate</w:t>
      </w:r>
      <w:r>
        <w:t xml:space="preserve"> </w:t>
      </w:r>
      <w:r>
        <w:t xml:space="preserve">governance through interlocking directorates and a private liquidity</w:t>
      </w:r>
      <w:r>
        <w:t xml:space="preserve"> </w:t>
      </w:r>
      <w:r>
        <w:t xml:space="preserve">syndicate. The in-corpus T1 evidence for how Congress framed it is</w:t>
      </w:r>
      <w:r>
        <w:t xml:space="preserve"> </w:t>
      </w:r>
      <w:r>
        <w:t xml:space="preserve">the instrument itself: Clayton §8 bans the shared-governance device</w:t>
      </w:r>
      <w:r>
        <w:t xml:space="preserve"> </w:t>
      </w:r>
      <w:r>
        <w:t xml:space="preserve">directly.</w:t>
      </w:r>
    </w:p>
    <w:p>
      <w:pPr>
        <w:pStyle w:val="BodyText"/>
      </w:pPr>
      <w:r>
        <w:rPr>
          <w:bCs/>
          <w:b/>
        </w:rPr>
        <w:t xml:space="preserve">Instrument — three legs, none structural.</w:t>
      </w:r>
      <w:r>
        <w:t xml:space="preserve"> </w:t>
      </w:r>
      <w:r>
        <w:t xml:space="preserve">(i) A public</w:t>
      </w:r>
      <w:r>
        <w:t xml:space="preserve"> </w:t>
      </w:r>
      <w:r>
        <w:t xml:space="preserve">substitute institution: the Federal Reserve Act (Pub. L. 63-43, 38</w:t>
      </w:r>
      <w:r>
        <w:t xml:space="preserve"> </w:t>
      </w:r>
      <w:r>
        <w:t xml:space="preserve">Stat. 251, 1913) — its text is NOT in corpus; the claim that it</w:t>
      </w:r>
      <w:r>
        <w:t xml:space="preserve"> </w:t>
      </w:r>
      <w:r>
        <w:t xml:space="preserve">displaced the private liquidity function is [UNVERIFIED — RETRIEVAL:</w:t>
      </w:r>
      <w:r>
        <w:t xml:space="preserve"> </w:t>
      </w:r>
      <w:r>
        <w:t xml:space="preserve">FRASER NARA scan, URL in retrieval-master]. (ii) The interlock ban,</w:t>
      </w:r>
      <w:r>
        <w:t xml:space="preserve"> </w:t>
      </w:r>
      <w:r>
        <w:t xml:space="preserve">verbatim (Clayton Act, approved 15 October 1914):</w:t>
      </w:r>
      <w:r>
        <w:t xml:space="preserve"> </w:t>
      </w:r>
      <w:r>
        <w:t xml:space="preserve">“</w:t>
      </w:r>
      <w:r>
        <w:t xml:space="preserve">from and after</w:t>
      </w:r>
      <w:r>
        <w:t xml:space="preserve"> </w:t>
      </w:r>
      <w:r>
        <w:t xml:space="preserve">two years from the date of the approval of this Act no person shall</w:t>
      </w:r>
      <w:r>
        <w:t xml:space="preserve"> </w:t>
      </w:r>
      <w:r>
        <w:t xml:space="preserve">at the same time be a director or other officer or employee of more</w:t>
      </w:r>
      <w:r>
        <w:t xml:space="preserve"> </w:t>
      </w:r>
      <w:r>
        <w:t xml:space="preserve">than one bank, banking association or trust company… [with]</w:t>
      </w:r>
      <w:r>
        <w:t xml:space="preserve"> </w:t>
      </w:r>
      <w:r>
        <w:t xml:space="preserve">deposits, capital, surplus, and undivided profits aggregating more</w:t>
      </w:r>
      <w:r>
        <w:t xml:space="preserve"> </w:t>
      </w:r>
      <w:r>
        <w:t xml:space="preserve">than $5,000,000</w:t>
      </w:r>
      <w:r>
        <w:t xml:space="preserve">”</w:t>
      </w:r>
      <w:r>
        <w:t xml:space="preserve">; and</w:t>
      </w:r>
      <w:r>
        <w:t xml:space="preserve"> </w:t>
      </w:r>
      <w:r>
        <w:t xml:space="preserve">“</w:t>
      </w:r>
      <w:r>
        <w:t xml:space="preserve">no person at the same time shall be a</w:t>
      </w:r>
      <w:r>
        <w:t xml:space="preserve"> </w:t>
      </w:r>
      <w:r>
        <w:t xml:space="preserve">director in any two or more corporations, any one of which has</w:t>
      </w:r>
      <w:r>
        <w:t xml:space="preserve"> </w:t>
      </w:r>
      <w:r>
        <w:t xml:space="preserve">capital, surplus, and undivided profits aggregating more than</w:t>
      </w:r>
      <w:r>
        <w:t xml:space="preserve"> </w:t>
      </w:r>
      <w:r>
        <w:t xml:space="preserve">$1,000,000… if such corporations are or shall have been</w:t>
      </w:r>
      <w:r>
        <w:t xml:space="preserve"> </w:t>
      </w:r>
      <w:r>
        <w:t xml:space="preserve">theretofore, by virtue of their business and location of operation,</w:t>
      </w:r>
      <w:r>
        <w:t xml:space="preserve"> </w:t>
      </w:r>
      <w:r>
        <w:t xml:space="preserve">competitors</w:t>
      </w:r>
      <w:r>
        <w:t xml:space="preserve">”</w:t>
      </w:r>
      <w:r>
        <w:t xml:space="preserve"> </w:t>
      </w:r>
      <w:r>
        <w:t xml:space="preserve">(§8, 38 Stat. 732–33). Alongside it §7:</w:t>
      </w:r>
      <w:r>
        <w:t xml:space="preserve"> </w:t>
      </w:r>
      <w:r>
        <w:t xml:space="preserve">“</w:t>
      </w:r>
      <w:r>
        <w:t xml:space="preserve">no corporation</w:t>
      </w:r>
      <w:r>
        <w:t xml:space="preserve"> </w:t>
      </w:r>
      <w:r>
        <w:t xml:space="preserve">engaged in commerce shall acquire, directly or indirectly, the whole</w:t>
      </w:r>
      <w:r>
        <w:t xml:space="preserve"> </w:t>
      </w:r>
      <w:r>
        <w:t xml:space="preserve">or any part of the stock or other share capital of another</w:t>
      </w:r>
      <w:r>
        <w:t xml:space="preserve"> </w:t>
      </w:r>
      <w:r>
        <w:t xml:space="preserve">corporation engaged also in commerce, where the effect of such</w:t>
      </w:r>
      <w:r>
        <w:t xml:space="preserve"> </w:t>
      </w:r>
      <w:r>
        <w:t xml:space="preserve">acquisition may be to substantially lessen competition</w:t>
      </w:r>
      <w:r>
        <w:t xml:space="preserve">”</w:t>
      </w:r>
      <w:r>
        <w:t xml:space="preserve"> </w:t>
      </w:r>
      <w:r>
        <w:t xml:space="preserve">(38 Stat.</w:t>
      </w:r>
      <w:r>
        <w:t xml:space="preserve"> </w:t>
      </w:r>
      <w:r>
        <w:t xml:space="preserve">731–32) — the stock-acquisition gate DuPont–GM would run through</w:t>
      </w:r>
      <w:r>
        <w:t xml:space="preserve"> </w:t>
      </w:r>
      <w:r>
        <w:t xml:space="preserve">forty years later. (iii) A standing commission:</w:t>
      </w:r>
      <w:r>
        <w:t xml:space="preserve"> </w:t>
      </w:r>
      <w:r>
        <w:t xml:space="preserve">“</w:t>
      </w:r>
      <w:r>
        <w:t xml:space="preserve">unfair methods of</w:t>
      </w:r>
      <w:r>
        <w:t xml:space="preserve"> </w:t>
      </w:r>
      <w:r>
        <w:t xml:space="preserve">competition in commerce are hereby declared unlawful,</w:t>
      </w:r>
      <w:r>
        <w:t xml:space="preserve">”</w:t>
      </w:r>
      <w:r>
        <w:t xml:space="preserve"> </w:t>
      </w:r>
      <w:r>
        <w:t xml:space="preserve">the FTC</w:t>
      </w:r>
      <w:r>
        <w:t xml:space="preserve"> </w:t>
      </w:r>
      <w:r>
        <w:t xml:space="preserve">“</w:t>
      </w:r>
      <w:r>
        <w:t xml:space="preserve">empowered and directed to prevent</w:t>
      </w:r>
      <w:r>
        <w:t xml:space="preserve">”</w:t>
      </w:r>
      <w:r>
        <w:t xml:space="preserve"> </w:t>
      </w:r>
      <w:r>
        <w:t xml:space="preserve">them by complaint, hearing and</w:t>
      </w:r>
      <w:r>
        <w:t xml:space="preserve"> </w:t>
      </w:r>
      <w:r>
        <w:t xml:space="preserve">cease-and-desist order (FTC Act §5, 38 Stat. 719–20, approved 26</w:t>
      </w:r>
      <w:r>
        <w:t xml:space="preserve"> </w:t>
      </w:r>
      <w:r>
        <w:t xml:space="preserve">September 1914). Remedies across both statutes are injunctive and</w:t>
      </w:r>
      <w:r>
        <w:t xml:space="preserve"> </w:t>
      </w:r>
      <w:r>
        <w:t xml:space="preserve">prospective; nothing transfers property.</w:t>
      </w:r>
    </w:p>
    <w:p>
      <w:pPr>
        <w:pStyle w:val="BodyText"/>
      </w:pPr>
      <w:r>
        <w:rPr>
          <w:bCs/>
          <w:b/>
        </w:rPr>
        <w:t xml:space="preserve">Severed / left.</w:t>
      </w:r>
      <w:r>
        <w:t xml:space="preserve"> </w:t>
      </w:r>
      <w:r>
        <w:t xml:space="preserve">Severed: the lawful basis of governance-network</w:t>
      </w:r>
      <w:r>
        <w:t xml:space="preserve"> </w:t>
      </w:r>
      <w:r>
        <w:t xml:space="preserve">coordination — the seat on the rival’s board; prospectively, the</w:t>
      </w:r>
      <w:r>
        <w:t xml:space="preserve"> </w:t>
      </w:r>
      <w:r>
        <w:t xml:space="preserve">stock route to combination. Left: the banks, the partnerships, the</w:t>
      </w:r>
      <w:r>
        <w:t xml:space="preserve"> </w:t>
      </w:r>
      <w:r>
        <w:t xml:space="preserve">capital.</w:t>
      </w:r>
      <w:r>
        <w:t xml:space="preserve"> </w:t>
      </w:r>
      <w:r>
        <w:rPr>
          <w:bCs/>
          <w:b/>
        </w:rPr>
        <w:t xml:space="preserve">Fortune:</w:t>
      </w:r>
      <w:r>
        <w:t xml:space="preserve"> </w:t>
      </w:r>
      <w:r>
        <w:t xml:space="preserve">no in-repo source — [UNVERIFIED — RETRIEVAL].</w:t>
      </w:r>
    </w:p>
    <w:p>
      <w:pPr>
        <w:pStyle w:val="BodyText"/>
      </w:pPr>
      <w:r>
        <w:rPr>
          <w:bCs/>
          <w:b/>
        </w:rPr>
        <w:t xml:space="preserve">Sequence.</w:t>
      </w:r>
      <w:r>
        <w:t xml:space="preserve"> </w:t>
      </w:r>
      <w:r>
        <w:t xml:space="preserve">No structural act, ever: the republic answered a</w:t>
      </w:r>
      <w:r>
        <w:t xml:space="preserve"> </w:t>
      </w:r>
      <w:r>
        <w:t xml:space="preserve">control NETWORK with a public institution, a governance rule and a</w:t>
      </w:r>
      <w:r>
        <w:t xml:space="preserve"> </w:t>
      </w:r>
      <w:r>
        <w:t xml:space="preserve">standing commission. Regulation not preceding structure but</w:t>
      </w:r>
      <w:r>
        <w:t xml:space="preserve"> </w:t>
      </w:r>
      <w:r>
        <w:t xml:space="preserve">replacing it.</w:t>
      </w:r>
    </w:p>
    <w:p>
      <w:r>
        <w:pict>
          <v:rect style="width:0;height:1.5pt" o:hralign="center" o:hrstd="t" o:hr="t"/>
        </w:pict>
      </w:r>
    </w:p>
    <w:bookmarkEnd w:id="75"/>
    <w:bookmarkStart w:id="76" w:name="X09de8e25afde917e1835c4c6adc2e4dd62030d9"/>
    <w:p>
      <w:pPr>
        <w:pStyle w:val="Heading2"/>
      </w:pPr>
      <w:r>
        <w:t xml:space="preserve">4. Glass–Steagall, 1933 [T1 IN CORPUS: Pub. L. 73-66, 48 Stat. 162, FRASER scan]</w:t>
      </w:r>
    </w:p>
    <w:p>
      <w:pPr>
        <w:pStyle w:val="FirstParagraph"/>
      </w:pPr>
      <w:r>
        <w:rPr>
          <w:bCs/>
          <w:b/>
        </w:rPr>
        <w:t xml:space="preserve">Dependency.</w:t>
      </w:r>
      <w:r>
        <w:t xml:space="preserve"> </w:t>
      </w:r>
      <w:r>
        <w:t xml:space="preserve">The universal bank:</w:t>
      </w:r>
      <w:r>
        <w:t xml:space="preserve"> </w:t>
      </w:r>
      <w:r>
        <w:t xml:space="preserve">“</w:t>
      </w:r>
      <w:r>
        <w:t xml:space="preserve">government-supported deposits,</w:t>
      </w:r>
      <w:r>
        <w:t xml:space="preserve"> </w:t>
      </w:r>
      <w:r>
        <w:t xml:space="preserve">lending relationships, securities promotion, and speculative risk</w:t>
      </w:r>
      <w:r>
        <w:t xml:space="preserve"> </w:t>
      </w:r>
      <w:r>
        <w:t xml:space="preserve">under one roof</w:t>
      </w:r>
      <w:r>
        <w:t xml:space="preserve">”</w:t>
      </w:r>
      <w:r>
        <w:t xml:space="preserve"> </w:t>
      </w:r>
      <w:r>
        <w:t xml:space="preserve">is the playbook’s gloss; the statute’s own device is</w:t>
      </w:r>
      <w:r>
        <w:t xml:space="preserve"> </w:t>
      </w:r>
      <w:r>
        <w:t xml:space="preserve">the definition of incompatible combinations.</w:t>
      </w:r>
    </w:p>
    <w:p>
      <w:pPr>
        <w:pStyle w:val="BodyText"/>
      </w:pPr>
      <w:r>
        <w:rPr>
          <w:bCs/>
          <w:b/>
        </w:rPr>
        <w:t xml:space="preserve">Instrument — the line-of-business firebreak, verbatim.</w:t>
      </w:r>
      <w:r>
        <w:t xml:space="preserve"> </w:t>
      </w:r>
      <w:r>
        <w:t xml:space="preserve">Approved</w:t>
      </w:r>
      <w:r>
        <w:t xml:space="preserve"> </w:t>
      </w:r>
      <w:r>
        <w:t xml:space="preserve">16 June 1933. §16: dealing in investment securities</w:t>
      </w:r>
      <w:r>
        <w:t xml:space="preserve"> </w:t>
      </w:r>
      <w:r>
        <w:t xml:space="preserve">“</w:t>
      </w:r>
      <w:r>
        <w:t xml:space="preserve">limited to</w:t>
      </w:r>
      <w:r>
        <w:t xml:space="preserve"> </w:t>
      </w:r>
      <w:r>
        <w:t xml:space="preserve">purchasing and selling such securities without recourse, solely upon</w:t>
      </w:r>
      <w:r>
        <w:t xml:space="preserve"> </w:t>
      </w:r>
      <w:r>
        <w:t xml:space="preserve">the order, and for the account of, customers, and in no case for its</w:t>
      </w:r>
      <w:r>
        <w:t xml:space="preserve"> </w:t>
      </w:r>
      <w:r>
        <w:t xml:space="preserve">own account, and the association shall not underwrite any issue of</w:t>
      </w:r>
      <w:r>
        <w:t xml:space="preserve"> </w:t>
      </w:r>
      <w:r>
        <w:t xml:space="preserve">securities</w:t>
      </w:r>
      <w:r>
        <w:t xml:space="preserve">”</w:t>
      </w:r>
      <w:r>
        <w:t xml:space="preserve"> </w:t>
      </w:r>
      <w:r>
        <w:t xml:space="preserve">(with US/state/municipal exemptions; effective one year</w:t>
      </w:r>
      <w:r>
        <w:t xml:space="preserve"> </w:t>
      </w:r>
      <w:r>
        <w:t xml:space="preserve">after approval). §20:</w:t>
      </w:r>
      <w:r>
        <w:t xml:space="preserve"> </w:t>
      </w:r>
      <w:r>
        <w:t xml:space="preserve">“</w:t>
      </w:r>
      <w:r>
        <w:t xml:space="preserve">no member bank shall be affiliated… with any</w:t>
      </w:r>
      <w:r>
        <w:t xml:space="preserve"> </w:t>
      </w:r>
      <w:r>
        <w:t xml:space="preserve">corporation… engaged principally in the issue, flotation,</w:t>
      </w:r>
      <w:r>
        <w:t xml:space="preserve"> </w:t>
      </w:r>
      <w:r>
        <w:t xml:space="preserve">underwriting, public sale, or distribution… of stocks, bonds,</w:t>
      </w:r>
      <w:r>
        <w:t xml:space="preserve"> </w:t>
      </w:r>
      <w:r>
        <w:t xml:space="preserve">debentures, notes, or other securities</w:t>
      </w:r>
      <w:r>
        <w:t xml:space="preserve">”</w:t>
      </w:r>
      <w:r>
        <w:t xml:space="preserve"> </w:t>
      </w:r>
      <w:r>
        <w:t xml:space="preserve">(after one year; $1,000/day</w:t>
      </w:r>
      <w:r>
        <w:t xml:space="preserve"> </w:t>
      </w:r>
      <w:r>
        <w:t xml:space="preserve">penalty; forfeiture of charter or Fed membership after six months’</w:t>
      </w:r>
      <w:r>
        <w:t xml:space="preserve"> </w:t>
      </w:r>
      <w:r>
        <w:t xml:space="preserve">warning). §21: any organisation</w:t>
      </w:r>
      <w:r>
        <w:t xml:space="preserve"> </w:t>
      </w:r>
      <w:r>
        <w:t xml:space="preserve">“</w:t>
      </w:r>
      <w:r>
        <w:t xml:space="preserve">engaged in the business of issuing,</w:t>
      </w:r>
      <w:r>
        <w:t xml:space="preserve"> </w:t>
      </w:r>
      <w:r>
        <w:t xml:space="preserve">underwriting, selling, or distributing… securities</w:t>
      </w:r>
      <w:r>
        <w:t xml:space="preserve">”</w:t>
      </w:r>
      <w:r>
        <w:t xml:space="preserve"> </w:t>
      </w:r>
      <w:r>
        <w:t xml:space="preserve">barred from</w:t>
      </w:r>
      <w:r>
        <w:t xml:space="preserve"> </w:t>
      </w:r>
      <w:r>
        <w:t xml:space="preserve">“</w:t>
      </w:r>
      <w:r>
        <w:t xml:space="preserve">the business of receiving deposits</w:t>
      </w:r>
      <w:r>
        <w:t xml:space="preserve">”</w:t>
      </w:r>
      <w:r>
        <w:t xml:space="preserve"> </w:t>
      </w:r>
      <w:r>
        <w:t xml:space="preserve">(after one year; criminal</w:t>
      </w:r>
      <w:r>
        <w:t xml:space="preserve"> </w:t>
      </w:r>
      <w:r>
        <w:t xml:space="preserve">penalty; binds EVERYONE, not just member banks). §32: officer and</w:t>
      </w:r>
      <w:r>
        <w:t xml:space="preserve"> </w:t>
      </w:r>
      <w:r>
        <w:t xml:space="preserve">director interlocks between member banks and securities firms banned</w:t>
      </w:r>
      <w:r>
        <w:t xml:space="preserve"> </w:t>
      </w:r>
      <w:r>
        <w:t xml:space="preserve">from 1 January 1934,</w:t>
      </w:r>
      <w:r>
        <w:t xml:space="preserve"> </w:t>
      </w:r>
      <w:r>
        <w:t xml:space="preserve">“</w:t>
      </w:r>
      <w:r>
        <w:t xml:space="preserve">unless… there is a permit therefor issued by</w:t>
      </w:r>
      <w:r>
        <w:t xml:space="preserve"> </w:t>
      </w:r>
      <w:r>
        <w:t xml:space="preserve">the Federal Reserve Board.</w:t>
      </w:r>
      <w:r>
        <w:t xml:space="preserve">”</w:t>
      </w:r>
    </w:p>
    <w:p>
      <w:pPr>
        <w:pStyle w:val="BodyText"/>
      </w:pPr>
      <w:r>
        <w:rPr>
          <w:bCs/>
          <w:b/>
        </w:rPr>
        <w:t xml:space="preserve">Severed / left.</w:t>
      </w:r>
      <w:r>
        <w:t xml:space="preserve"> </w:t>
      </w:r>
      <w:r>
        <w:t xml:space="preserve">The extraction’s conclusion, verified against</w:t>
      </w:r>
      <w:r>
        <w:t xml:space="preserve"> </w:t>
      </w:r>
      <w:r>
        <w:t xml:space="preserve">every operative section:</w:t>
      </w:r>
      <w:r>
        <w:t xml:space="preserve"> </w:t>
      </w:r>
      <w:r>
        <w:t xml:space="preserve">“</w:t>
      </w:r>
      <w:r>
        <w:t xml:space="preserve">No provision transfers any property or</w:t>
      </w:r>
      <w:r>
        <w:t xml:space="preserve"> </w:t>
      </w:r>
      <w:r>
        <w:t xml:space="preserve">requires sale to the state… the statute’s entire enforcement</w:t>
      </w:r>
      <w:r>
        <w:t xml:space="preserve"> </w:t>
      </w:r>
      <w:r>
        <w:t xml:space="preserve">apparatus is… definitional restriction… civil per-diem penalties…</w:t>
      </w:r>
      <w:r>
        <w:t xml:space="preserve"> </w:t>
      </w:r>
      <w:r>
        <w:t xml:space="preserve">forfeiture of federal charter/Fed membership… criminal fine…</w:t>
      </w:r>
      <w:r>
        <w:t xml:space="preserve"> </w:t>
      </w:r>
      <w:r>
        <w:t xml:space="preserve">prohibition subject to a permit. The state acquires nothing.</w:t>
      </w:r>
      <w:r>
        <w:t xml:space="preserve">”</w:t>
      </w:r>
      <w:r>
        <w:t xml:space="preserve"> </w:t>
      </w:r>
      <w:r>
        <w:t xml:space="preserve">Owners choose sides within the one-year windows; the statute never</w:t>
      </w:r>
      <w:r>
        <w:t xml:space="preserve"> </w:t>
      </w:r>
      <w:r>
        <w:t xml:space="preserve">uses</w:t>
      </w:r>
      <w:r>
        <w:t xml:space="preserve"> </w:t>
      </w:r>
      <w:r>
        <w:t xml:space="preserve">“</w:t>
      </w:r>
      <w:r>
        <w:t xml:space="preserve">divest.</w:t>
      </w:r>
      <w:r>
        <w:t xml:space="preserve">”</w:t>
      </w:r>
      <w:r>
        <w:t xml:space="preserve"> </w:t>
      </w:r>
      <w:r>
        <w:t xml:space="preserve">Severed: the combination. Left: the equity and</w:t>
      </w:r>
      <w:r>
        <w:t xml:space="preserve"> </w:t>
      </w:r>
      <w:r>
        <w:t xml:space="preserve">either business.</w:t>
      </w:r>
      <w:r>
        <w:t xml:space="preserve"> </w:t>
      </w:r>
      <w:r>
        <w:rPr>
          <w:bCs/>
          <w:b/>
        </w:rPr>
        <w:t xml:space="preserve">Fortune:</w:t>
      </w:r>
      <w:r>
        <w:t xml:space="preserve"> </w:t>
      </w:r>
      <w:r>
        <w:t xml:space="preserve">not addressed at T1; [UNVERIFIED —</w:t>
      </w:r>
      <w:r>
        <w:t xml:space="preserve"> </w:t>
      </w:r>
      <w:r>
        <w:t xml:space="preserve">RETRIEVAL].</w:t>
      </w:r>
    </w:p>
    <w:p>
      <w:pPr>
        <w:pStyle w:val="BodyText"/>
      </w:pPr>
      <w:r>
        <w:rPr>
          <w:bCs/>
          <w:b/>
        </w:rPr>
        <w:t xml:space="preserve">Sequence.</w:t>
      </w:r>
      <w:r>
        <w:t xml:space="preserve"> </w:t>
      </w:r>
      <w:r>
        <w:t xml:space="preserve">The structural statute operates THROUGH the</w:t>
      </w:r>
      <w:r>
        <w:t xml:space="preserve"> </w:t>
      </w:r>
      <w:r>
        <w:t xml:space="preserve">pre-existing regulatory membrane: its sanctions are forfeitures of</w:t>
      </w:r>
      <w:r>
        <w:t xml:space="preserve"> </w:t>
      </w:r>
      <w:r>
        <w:t xml:space="preserve">membership in a system built in 1913, and its escape valve is a</w:t>
      </w:r>
      <w:r>
        <w:t xml:space="preserve"> </w:t>
      </w:r>
      <w:r>
        <w:t xml:space="preserve">regulator’s permit. Supervision precedes; the firebreak is bolted</w:t>
      </w:r>
      <w:r>
        <w:t xml:space="preserve"> </w:t>
      </w:r>
      <w:r>
        <w:t xml:space="preserve">onto it.</w:t>
      </w:r>
    </w:p>
    <w:p>
      <w:r>
        <w:pict>
          <v:rect style="width:0;height:1.5pt" o:hralign="center" o:hrstd="t" o:hr="t"/>
        </w:pict>
      </w:r>
    </w:p>
    <w:bookmarkEnd w:id="76"/>
    <w:bookmarkStart w:id="77" w:name="Xadf8f0277fe57e284ebdd79330ed4311f4e551b"/>
    <w:p>
      <w:pPr>
        <w:pStyle w:val="Heading2"/>
      </w:pPr>
      <w:r>
        <w:t xml:space="preserve">5. Utility pyramids — PUHCA/Insull, 1935 [PRIMARY NOT IN CORPUS — [UNVERIFIED — RETRIEVAL]]</w:t>
      </w:r>
    </w:p>
    <w:p>
      <w:pPr>
        <w:pStyle w:val="FirstParagraph"/>
      </w:pPr>
      <w:r>
        <w:t xml:space="preserve">The Public Utility Holding Company Act, 49 Stat. 803 (1935), Title I</w:t>
      </w:r>
      <w:r>
        <w:t xml:space="preserve"> </w:t>
      </w:r>
      <w:r>
        <w:t xml:space="preserve">§11 (the</w:t>
      </w:r>
      <w:r>
        <w:t xml:space="preserve"> </w:t>
      </w:r>
      <w:r>
        <w:t xml:space="preserve">“</w:t>
      </w:r>
      <w:r>
        <w:t xml:space="preserve">death sentence</w:t>
      </w:r>
      <w:r>
        <w:t xml:space="preserve">”</w:t>
      </w:r>
      <w:r>
        <w:t xml:space="preserve">), is not in corpus (14 MB govinfo file;</w:t>
      </w:r>
      <w:r>
        <w:t xml:space="preserve"> </w:t>
      </w:r>
      <w:r>
        <w:t xml:space="preserve">URL in retrieval-master). Nothing from the playbook’s account —</w:t>
      </w:r>
      <w:r>
        <w:t xml:space="preserve"> </w:t>
      </w:r>
      <w:r>
        <w:t xml:space="preserve">SEC registration, compulsory simplification, confinement to</w:t>
      </w:r>
      <w:r>
        <w:t xml:space="preserve"> </w:t>
      </w:r>
      <w:r>
        <w:t xml:space="preserve">integrated systems — may be asserted until it is. The case enters</w:t>
      </w:r>
      <w:r>
        <w:t xml:space="preserve"> </w:t>
      </w:r>
      <w:r>
        <w:t xml:space="preserve">the pattern table wholly bracketed.</w:t>
      </w:r>
      <w:r>
        <w:t xml:space="preserve"> </w:t>
      </w:r>
      <w:r>
        <w:rPr>
          <w:bCs/>
          <w:b/>
        </w:rPr>
        <w:t xml:space="preserve">One open question flagged for</w:t>
      </w:r>
      <w:r>
        <w:rPr>
          <w:bCs/>
          <w:b/>
        </w:rPr>
        <w:t xml:space="preserve"> </w:t>
      </w:r>
      <w:r>
        <w:rPr>
          <w:bCs/>
          <w:b/>
        </w:rPr>
        <w:t xml:space="preserve">the retrieval, not answered here:</w:t>
      </w:r>
      <w:r>
        <w:t xml:space="preserve"> </w:t>
      </w:r>
      <w:r>
        <w:t xml:space="preserve">whether the FORTUNE survived in</w:t>
      </w:r>
      <w:r>
        <w:t xml:space="preserve"> </w:t>
      </w:r>
      <w:r>
        <w:t xml:space="preserve">this case — the playbook asserts the pattern’s wealth-preserving</w:t>
      </w:r>
      <w:r>
        <w:t xml:space="preserve"> </w:t>
      </w:r>
      <w:r>
        <w:t xml:space="preserve">character generally but says nothing about Insull personally; no</w:t>
      </w:r>
      <w:r>
        <w:t xml:space="preserve"> </w:t>
      </w:r>
      <w:r>
        <w:t xml:space="preserve">source in repo speaks to it. [UNVERIFIED — RETRIEVAL: PUHCA text; a</w:t>
      </w:r>
      <w:r>
        <w:t xml:space="preserve"> </w:t>
      </w:r>
      <w:r>
        <w:t xml:space="preserve">T2 on Insull.] If the Insull fortune did NOT survive, the pattern</w:t>
      </w:r>
      <w:r>
        <w:t xml:space="preserve"> </w:t>
      </w:r>
      <w:r>
        <w:t xml:space="preserve">table’s fortune column gains its one qualification — worth knowing</w:t>
      </w:r>
      <w:r>
        <w:t xml:space="preserve"> </w:t>
      </w:r>
      <w:r>
        <w:t xml:space="preserve">before the chapter claims the column.</w:t>
      </w:r>
    </w:p>
    <w:bookmarkEnd w:id="77"/>
    <w:bookmarkStart w:id="78" w:name="Xff127fcad741358650202cee01a6dc950b9740d"/>
    <w:p>
      <w:pPr>
        <w:pStyle w:val="Heading2"/>
      </w:pPr>
      <w:r>
        <w:t xml:space="preserve">6. The packers, 1920–21 [PRIMARIES NOT IN CORPUS — [UNVERIFIED — RETRIEVAL]]</w:t>
      </w:r>
    </w:p>
    <w:p>
      <w:pPr>
        <w:pStyle w:val="FirstParagraph"/>
      </w:pPr>
      <w:r>
        <w:t xml:space="preserve">Neither the Swift consent decree (27 February 1920) nor the Packers</w:t>
      </w:r>
      <w:r>
        <w:t xml:space="preserve"> </w:t>
      </w:r>
      <w:r>
        <w:t xml:space="preserve">and Stockyards Act (42 Stat. 159, 1921) is in corpus. Route: the</w:t>
      </w:r>
      <w:r>
        <w:t xml:space="preserve"> </w:t>
      </w:r>
      <w:r>
        <w:t xml:space="preserve">decree’s terms are recited in</w:t>
      </w:r>
      <w:r>
        <w:t xml:space="preserve"> </w:t>
      </w:r>
      <w:r>
        <w:rPr>
          <w:iCs/>
          <w:i/>
        </w:rPr>
        <w:t xml:space="preserve">Swift &amp; Co. v. United States</w:t>
      </w:r>
      <w:r>
        <w:t xml:space="preserve">, 276</w:t>
      </w:r>
      <w:r>
        <w:t xml:space="preserve"> </w:t>
      </w:r>
      <w:r>
        <w:t xml:space="preserve">U.S. 311 (1928), open at the Library of Congress (URL in</w:t>
      </w:r>
      <w:r>
        <w:t xml:space="preserve"> </w:t>
      </w:r>
      <w:r>
        <w:t xml:space="preserve">retrieval-master); the Act is one govinfo pull. Carried bracketed.</w:t>
      </w:r>
      <w:r>
        <w:t xml:space="preserve"> </w:t>
      </w:r>
      <w:r>
        <w:rPr>
          <w:bCs/>
          <w:b/>
        </w:rPr>
        <w:t xml:space="preserve">Why the case matters to the lag test, conditionally:</w:t>
      </w:r>
      <w:r>
        <w:t xml:space="preserve"> </w:t>
      </w:r>
      <w:r>
        <w:t xml:space="preserve">on the</w:t>
      </w:r>
      <w:r>
        <w:t xml:space="preserve"> </w:t>
      </w:r>
      <w:r>
        <w:t xml:space="preserve">playbook’s account the ORDER here is reversed — a structural</w:t>
      </w:r>
      <w:r>
        <w:t xml:space="preserve"> </w:t>
      </w:r>
      <w:r>
        <w:t xml:space="preserve">exclusion by decree (1920) preceding sector regulation by statute</w:t>
      </w:r>
      <w:r>
        <w:t xml:space="preserve"> </w:t>
      </w:r>
      <w:r>
        <w:t xml:space="preserve">(1921). If the primaries bear that out, the packers are the series’</w:t>
      </w:r>
      <w:r>
        <w:t xml:space="preserve"> </w:t>
      </w:r>
      <w:r>
        <w:t xml:space="preserve">one structure-first case and the lag generalisation must be stated</w:t>
      </w:r>
      <w:r>
        <w:t xml:space="preserve"> </w:t>
      </w:r>
      <w:r>
        <w:t xml:space="preserve">with that exception. Not assertable yet.</w:t>
      </w:r>
    </w:p>
    <w:bookmarkEnd w:id="78"/>
    <w:bookmarkStart w:id="79" w:name="X087acc2efc08ae45ba9102b1c7934d6105cde54"/>
    <w:p>
      <w:pPr>
        <w:pStyle w:val="Heading2"/>
      </w:pPr>
      <w:r>
        <w:t xml:space="preserve">7. RCA, 1932 [PRIMARY NOT IN CORPUS — [UNVERIFIED — RETRIEVAL]]</w:t>
      </w:r>
    </w:p>
    <w:p>
      <w:pPr>
        <w:pStyle w:val="FirstParagraph"/>
      </w:pPr>
      <w:r>
        <w:t xml:space="preserve">The 1932 consent decree (GE/Westinghouse divestiture of RCA</w:t>
      </w:r>
      <w:r>
        <w:t xml:space="preserve"> </w:t>
      </w:r>
      <w:r>
        <w:t xml:space="preserve">holdings; patent-pool constraints) has no located open text</w:t>
      </w:r>
      <w:r>
        <w:t xml:space="preserve"> </w:t>
      </w:r>
      <w:r>
        <w:t xml:space="preserve">(retrieval-master row: DOJ archive location to identify). Nothing</w:t>
      </w:r>
      <w:r>
        <w:t xml:space="preserve"> </w:t>
      </w:r>
      <w:r>
        <w:t xml:space="preserve">asserted.</w:t>
      </w:r>
    </w:p>
    <w:p>
      <w:r>
        <w:pict>
          <v:rect style="width:0;height:1.5pt" o:hralign="center" o:hrstd="t" o:hr="t"/>
        </w:pict>
      </w:r>
    </w:p>
    <w:bookmarkEnd w:id="79"/>
    <w:bookmarkStart w:id="80" w:name="X72794ac4535d203303e0b7a3462bdbb6a9f9991"/>
    <w:p>
      <w:pPr>
        <w:pStyle w:val="Heading2"/>
      </w:pPr>
      <w:r>
        <w:t xml:space="preserve">8. Paramount, 1948 [OPINION T1 IN CORPUS: 334 U.S. 131, U.S. Reports scan]</w:t>
      </w:r>
    </w:p>
    <w:p>
      <w:pPr>
        <w:pStyle w:val="FirstParagraph"/>
      </w:pPr>
      <w:r>
        <w:rPr>
          <w:bCs/>
          <w:b/>
        </w:rPr>
        <w:t xml:space="preserve">Dependency.</w:t>
      </w:r>
      <w:r>
        <w:t xml:space="preserve"> </w:t>
      </w:r>
      <w:r>
        <w:t xml:space="preserve">The first-run exhibition bottleneck plus copyright</w:t>
      </w:r>
      <w:r>
        <w:t xml:space="preserve"> </w:t>
      </w:r>
      <w:r>
        <w:t xml:space="preserve">licensing practices. The Court’s figures (at 167): the five majors</w:t>
      </w:r>
      <w:r>
        <w:t xml:space="preserve"> </w:t>
      </w:r>
      <w:r>
        <w:t xml:space="preserve">held 3,137 of 18,076 theatres (~17%), but</w:t>
      </w:r>
      <w:r>
        <w:t xml:space="preserve"> </w:t>
      </w:r>
      <w:r>
        <w:t xml:space="preserve">“</w:t>
      </w:r>
      <w:r>
        <w:t xml:space="preserve">In the 92 cities of the</w:t>
      </w:r>
      <w:r>
        <w:t xml:space="preserve"> </w:t>
      </w:r>
      <w:r>
        <w:t xml:space="preserve">country with populations over 100,000 at least 70 per cent of all</w:t>
      </w:r>
      <w:r>
        <w:t xml:space="preserve"> </w:t>
      </w:r>
      <w:r>
        <w:t xml:space="preserve">the first-run theatres are affiliated with one or more of the five</w:t>
      </w:r>
      <w:r>
        <w:t xml:space="preserve"> </w:t>
      </w:r>
      <w:r>
        <w:t xml:space="preserve">majors… In 38 of those cities there are no independent first-run</w:t>
      </w:r>
      <w:r>
        <w:t xml:space="preserve"> </w:t>
      </w:r>
      <w:r>
        <w:t xml:space="preserve">theatres.</w:t>
      </w:r>
      <w:r>
        <w:t xml:space="preserve">”</w:t>
      </w:r>
      <w:r>
        <w:t xml:space="preserve"> </w:t>
      </w:r>
      <w:r>
        <w:t xml:space="preserve">“</w:t>
      </w:r>
      <w:r>
        <w:t xml:space="preserve">The main contest is over the cream of the exhibition</w:t>
      </w:r>
      <w:r>
        <w:t xml:space="preserve"> </w:t>
      </w:r>
      <w:r>
        <w:t xml:space="preserve">business — that of the first-run theatres</w:t>
      </w:r>
      <w:r>
        <w:t xml:space="preserve">”</w:t>
      </w:r>
      <w:r>
        <w:t xml:space="preserve"> </w:t>
      </w:r>
      <w:r>
        <w:t xml:space="preserve">(166–67).</w:t>
      </w:r>
    </w:p>
    <w:p>
      <w:pPr>
        <w:pStyle w:val="BodyText"/>
      </w:pPr>
      <w:r>
        <w:rPr>
          <w:bCs/>
          <w:b/>
        </w:rPr>
        <w:t xml:space="preserve">Instrument.</w:t>
      </w:r>
      <w:r>
        <w:t xml:space="preserve"> </w:t>
      </w:r>
      <w:r>
        <w:t xml:space="preserve">Sherman §§1–2. Practices condemned and enjoined:</w:t>
      </w:r>
      <w:r>
        <w:t xml:space="preserve"> </w:t>
      </w:r>
      <w:r>
        <w:t xml:space="preserve">horizontal and vertical price-fixing of admission prices (141–44),</w:t>
      </w:r>
      <w:r>
        <w:t xml:space="preserve"> </w:t>
      </w:r>
      <w:r>
        <w:t xml:space="preserve">unreasonable clearances, pooling agreements (</w:t>
      </w:r>
      <w:r>
        <w:t xml:space="preserve">“</w:t>
      </w:r>
      <w:r>
        <w:t xml:space="preserve">Clearer restraints of</w:t>
      </w:r>
      <w:r>
        <w:t xml:space="preserve"> </w:t>
      </w:r>
      <w:r>
        <w:t xml:space="preserve">trade are difficult to imagine,</w:t>
      </w:r>
      <w:r>
        <w:t xml:space="preserve">”</w:t>
      </w:r>
      <w:r>
        <w:t xml:space="preserve"> </w:t>
      </w:r>
      <w:r>
        <w:t xml:space="preserve">149–50), joint ownership between</w:t>
      </w:r>
      <w:r>
        <w:t xml:space="preserve"> </w:t>
      </w:r>
      <w:r>
        <w:t xml:space="preserve">exhibitor-defendants dissolved (149–51), formula deals and master</w:t>
      </w:r>
      <w:r>
        <w:t xml:space="preserve"> </w:t>
      </w:r>
      <w:r>
        <w:t xml:space="preserve">agreements (</w:t>
      </w:r>
      <w:r>
        <w:t xml:space="preserve">“</w:t>
      </w:r>
      <w:r>
        <w:t xml:space="preserve">The pooling of the purchasing power of an entire</w:t>
      </w:r>
      <w:r>
        <w:t xml:space="preserve"> </w:t>
      </w:r>
      <w:r>
        <w:t xml:space="preserve">circuit in bidding for films is a misuse of monopoly power,</w:t>
      </w:r>
      <w:r>
        <w:t xml:space="preserve">”</w:t>
      </w:r>
      <w:r>
        <w:t xml:space="preserve"> </w:t>
      </w:r>
      <w:r>
        <w:t xml:space="preserve">154–55), block-booking (</w:t>
      </w:r>
      <w:r>
        <w:t xml:space="preserve">“</w:t>
      </w:r>
      <w:r>
        <w:t xml:space="preserve">All we hold to be illegal is a refusal to</w:t>
      </w:r>
      <w:r>
        <w:t xml:space="preserve"> </w:t>
      </w:r>
      <w:r>
        <w:t xml:space="preserve">license one or more copyrights unless another copyright is</w:t>
      </w:r>
      <w:r>
        <w:t xml:space="preserve"> </w:t>
      </w:r>
      <w:r>
        <w:t xml:space="preserve">accepted,</w:t>
      </w:r>
      <w:r>
        <w:t xml:space="preserve">”</w:t>
      </w:r>
      <w:r>
        <w:t xml:space="preserve"> </w:t>
      </w:r>
      <w:r>
        <w:t xml:space="preserve">159). Vertical integration itself was held NOT per se</w:t>
      </w:r>
      <w:r>
        <w:t xml:space="preserve"> </w:t>
      </w:r>
      <w:r>
        <w:t xml:space="preserve">illegal (173–74). The Court struck the district court’s</w:t>
      </w:r>
      <w:r>
        <w:t xml:space="preserve"> </w:t>
      </w:r>
      <w:r>
        <w:t xml:space="preserve">competitive-bidding remedy (</w:t>
      </w:r>
      <w:r>
        <w:t xml:space="preserve">“</w:t>
      </w:r>
      <w:r>
        <w:t xml:space="preserve">involves the judiciary so deeply in</w:t>
      </w:r>
      <w:r>
        <w:t xml:space="preserve"> </w:t>
      </w:r>
      <w:r>
        <w:t xml:space="preserve">the daily operation of this nation-wide business… it should not be</w:t>
      </w:r>
      <w:r>
        <w:t xml:space="preserve"> </w:t>
      </w:r>
      <w:r>
        <w:t xml:space="preserve">undertaken,</w:t>
      </w:r>
      <w:r>
        <w:t xml:space="preserve">”</w:t>
      </w:r>
      <w:r>
        <w:t xml:space="preserve"> </w:t>
      </w:r>
      <w:r>
        <w:t xml:space="preserve">162) and remanded divestiture under the fruits</w:t>
      </w:r>
      <w:r>
        <w:t xml:space="preserve"> </w:t>
      </w:r>
      <w:r>
        <w:t xml:space="preserve">standard: the court’s</w:t>
      </w:r>
      <w:r>
        <w:t xml:space="preserve"> </w:t>
      </w:r>
      <w:r>
        <w:t xml:space="preserve">“</w:t>
      </w:r>
      <w:r>
        <w:t xml:space="preserve">function includes undoing what the</w:t>
      </w:r>
      <w:r>
        <w:t xml:space="preserve"> </w:t>
      </w:r>
      <w:r>
        <w:t xml:space="preserve">conspiracy achieved… the fruits of the conspiracy which are denied</w:t>
      </w:r>
      <w:r>
        <w:t xml:space="preserve"> </w:t>
      </w:r>
      <w:r>
        <w:t xml:space="preserve">the independents must also be denied the five majors</w:t>
      </w:r>
      <w:r>
        <w:t xml:space="preserve">”</w:t>
      </w:r>
      <w:r>
        <w:t xml:space="preserve"> </w:t>
      </w:r>
      <w:r>
        <w:t xml:space="preserve">(171–72).</w:t>
      </w:r>
    </w:p>
    <w:p>
      <w:pPr>
        <w:pStyle w:val="BodyText"/>
      </w:pPr>
      <w:r>
        <w:rPr>
          <w:bCs/>
          <w:b/>
        </w:rPr>
        <w:t xml:space="preserve">Severed / left — the probe’s second finding.</w:t>
      </w:r>
      <w:r>
        <w:t xml:space="preserve"> </w:t>
      </w:r>
      <w:r>
        <w:t xml:space="preserve">BY THIS TEXT:</w:t>
      </w:r>
      <w:r>
        <w:t xml:space="preserve"> </w:t>
      </w:r>
      <w:r>
        <w:t xml:space="preserve">practices severed, no assets. The opinion orders no divestiture; the</w:t>
      </w:r>
      <w:r>
        <w:t xml:space="preserve"> </w:t>
      </w:r>
      <w:r>
        <w:t xml:space="preserve">only consent decree it mentions is the pre-trial decree of 20</w:t>
      </w:r>
      <w:r>
        <w:t xml:space="preserve"> </w:t>
      </w:r>
      <w:r>
        <w:t xml:space="preserve">November 1940 (142 n.3); the theatre divestitures rest entirely on</w:t>
      </w:r>
      <w:r>
        <w:t xml:space="preserve"> </w:t>
      </w:r>
      <w:r>
        <w:t xml:space="preserve">the 1948–49 decrees, which are NOT in corpus — [UNVERIFIED —</w:t>
      </w:r>
      <w:r>
        <w:t xml:space="preserve"> </w:t>
      </w:r>
      <w:r>
        <w:t xml:space="preserve">RETRIEVAL: the Paramount consent decrees]. At this text’s close the</w:t>
      </w:r>
      <w:r>
        <w:t xml:space="preserve"> </w:t>
      </w:r>
      <w:r>
        <w:t xml:space="preserve">majors keep production (monopoly in production</w:t>
      </w:r>
      <w:r>
        <w:t xml:space="preserve"> </w:t>
      </w:r>
      <w:r>
        <w:t xml:space="preserve">“</w:t>
      </w:r>
      <w:r>
        <w:t xml:space="preserve">eliminated as an</w:t>
      </w:r>
      <w:r>
        <w:t xml:space="preserve"> </w:t>
      </w:r>
      <w:r>
        <w:t xml:space="preserve">issue,</w:t>
      </w:r>
      <w:r>
        <w:t xml:space="preserve">”</w:t>
      </w:r>
      <w:r>
        <w:t xml:space="preserve"> </w:t>
      </w:r>
      <w:r>
        <w:t xml:space="preserve">166), distribution and the theatres; even the</w:t>
      </w:r>
      <w:r>
        <w:t xml:space="preserve"> </w:t>
      </w:r>
      <w:r>
        <w:t xml:space="preserve">anti-expansion injunction was vacated for a</w:t>
      </w:r>
      <w:r>
        <w:t xml:space="preserve"> </w:t>
      </w:r>
      <w:r>
        <w:t xml:space="preserve">“</w:t>
      </w:r>
      <w:r>
        <w:t xml:space="preserve">fresh start</w:t>
      </w:r>
      <w:r>
        <w:t xml:space="preserve">”</w:t>
      </w:r>
      <w:r>
        <w:t xml:space="preserve"> </w:t>
      </w:r>
      <w:r>
        <w:t xml:space="preserve">(175).</w:t>
      </w:r>
      <w:r>
        <w:t xml:space="preserve"> </w:t>
      </w:r>
      <w:r>
        <w:rPr>
          <w:bCs/>
          <w:b/>
        </w:rPr>
        <w:t xml:space="preserve">Fortune:</w:t>
      </w:r>
      <w:r>
        <w:t xml:space="preserve"> </w:t>
      </w:r>
      <w:r>
        <w:t xml:space="preserve">not addressed; [UNVERIFIED — RETRIEVAL].</w:t>
      </w:r>
    </w:p>
    <w:p>
      <w:pPr>
        <w:pStyle w:val="BodyText"/>
      </w:pPr>
      <w:r>
        <w:rPr>
          <w:bCs/>
          <w:b/>
        </w:rPr>
        <w:t xml:space="preserve">Sequence.</w:t>
      </w:r>
      <w:r>
        <w:t xml:space="preserve"> </w:t>
      </w:r>
      <w:r>
        <w:t xml:space="preserve">A behavioural consent decree (1940) precedes; no</w:t>
      </w:r>
      <w:r>
        <w:t xml:space="preserve"> </w:t>
      </w:r>
      <w:r>
        <w:t xml:space="preserve">sector regulator ever existed for exhibition; the structural act</w:t>
      </w:r>
      <w:r>
        <w:t xml:space="preserve"> </w:t>
      </w:r>
      <w:r>
        <w:t xml:space="preserve">post-dates the opinion. Judicial line only — the one verified case</w:t>
      </w:r>
      <w:r>
        <w:t xml:space="preserve"> </w:t>
      </w:r>
      <w:r>
        <w:t xml:space="preserve">where carriage-style regulation played no part.</w:t>
      </w:r>
    </w:p>
    <w:p>
      <w:r>
        <w:pict>
          <v:rect style="width:0;height:1.5pt" o:hralign="center" o:hrstd="t" o:hr="t"/>
        </w:pict>
      </w:r>
    </w:p>
    <w:bookmarkEnd w:id="80"/>
    <w:bookmarkStart w:id="81" w:name="X563e423156a2fad450f0d59446239ee7f792b62"/>
    <w:p>
      <w:pPr>
        <w:pStyle w:val="Heading2"/>
      </w:pPr>
      <w:r>
        <w:t xml:space="preserve">9. Alcoa, 1945 [OPINION T1 IN CORPUS: 148 F.2d 416, CourtListener text]</w:t>
      </w:r>
    </w:p>
    <w:p>
      <w:pPr>
        <w:pStyle w:val="FirstParagraph"/>
      </w:pPr>
      <w:r>
        <w:rPr>
          <w:bCs/>
          <w:b/>
        </w:rPr>
        <w:t xml:space="preserve">Dependency.</w:t>
      </w:r>
      <w:r>
        <w:t xml:space="preserve"> </w:t>
      </w:r>
      <w:r>
        <w:t xml:space="preserve">Over ninety per cent of virgin ingot — the primary</w:t>
      </w:r>
      <w:r>
        <w:t xml:space="preserve"> </w:t>
      </w:r>
      <w:r>
        <w:t xml:space="preserve">input on which all fabricators depended (</w:t>
      </w:r>
      <w:r>
        <w:t xml:space="preserve">“</w:t>
      </w:r>
      <w:r>
        <w:t xml:space="preserve">They were its market,</w:t>
      </w:r>
      <w:r>
        <w:t xml:space="preserve">”</w:t>
      </w:r>
      <w:r>
        <w:t xml:space="preserve"> </w:t>
      </w:r>
      <w:r>
        <w:t xml:space="preserve">*431) — maintained by pre-emptive capacity expansion.</w:t>
      </w:r>
    </w:p>
    <w:p>
      <w:pPr>
        <w:pStyle w:val="BodyText"/>
      </w:pPr>
      <w:r>
        <w:rPr>
          <w:bCs/>
          <w:b/>
        </w:rPr>
        <w:t xml:space="preserve">Instrument.</w:t>
      </w:r>
      <w:r>
        <w:t xml:space="preserve"> </w:t>
      </w:r>
      <w:r>
        <w:t xml:space="preserve">Sherman §2, liability from structure plus intent to</w:t>
      </w:r>
      <w:r>
        <w:t xml:space="preserve"> </w:t>
      </w:r>
      <w:r>
        <w:t xml:space="preserve">hold it. The percentages (at</w:t>
      </w:r>
      <w:r>
        <w:t xml:space="preserve"> </w:t>
      </w:r>
      <w:r>
        <w:rPr>
          <w:iCs/>
          <w:i/>
        </w:rPr>
        <w:t xml:space="preserve">424):</w:t>
      </w:r>
      <w:r>
        <w:rPr>
          <w:iCs/>
          <w:i/>
        </w:rPr>
        <w:t xml:space="preserve"> </w:t>
      </w:r>
      <w:r>
        <w:rPr>
          <w:iCs/>
          <w:i/>
        </w:rPr>
        <w:t xml:space="preserve">“</w:t>
      </w:r>
      <w:r>
        <w:rPr>
          <w:iCs/>
          <w:i/>
        </w:rPr>
        <w:t xml:space="preserve">That percentage is enough to</w:t>
      </w:r>
      <w:r>
        <w:rPr>
          <w:iCs/>
          <w:i/>
        </w:rPr>
        <w:t xml:space="preserve"> </w:t>
      </w:r>
      <w:r>
        <w:rPr>
          <w:iCs/>
          <w:i/>
        </w:rPr>
        <w:t xml:space="preserve">constitute a monopoly; it is doubtful whether sixty or sixty-four</w:t>
      </w:r>
      <w:r>
        <w:rPr>
          <w:iCs/>
          <w:i/>
        </w:rPr>
        <w:t xml:space="preserve"> </w:t>
      </w:r>
      <w:r>
        <w:rPr>
          <w:iCs/>
          <w:i/>
        </w:rPr>
        <w:t xml:space="preserve">percent would be enough; and certainly thirty-three per cent is</w:t>
      </w:r>
      <w:r>
        <w:rPr>
          <w:iCs/>
          <w:i/>
        </w:rPr>
        <w:t xml:space="preserve"> </w:t>
      </w:r>
      <w:r>
        <w:rPr>
          <w:iCs/>
          <w:i/>
        </w:rPr>
        <w:t xml:space="preserve">not.</w:t>
      </w:r>
      <w:r>
        <w:rPr>
          <w:iCs/>
          <w:i/>
        </w:rPr>
        <w:t xml:space="preserve">”</w:t>
      </w:r>
      <w:r>
        <w:rPr>
          <w:iCs/>
          <w:i/>
        </w:rPr>
        <w:t xml:space="preserve"> </w:t>
      </w:r>
      <w:r>
        <w:rPr>
          <w:iCs/>
          <w:i/>
        </w:rPr>
        <w:t xml:space="preserve">The exclusion holding (at</w:t>
      </w:r>
      <w:r>
        <w:rPr>
          <w:iCs/>
          <w:i/>
        </w:rPr>
        <w:t xml:space="preserve"> </w:t>
      </w:r>
      <w:r>
        <w:t xml:space="preserve">430–31):</w:t>
      </w:r>
      <w:r>
        <w:t xml:space="preserve"> </w:t>
      </w:r>
      <w:r>
        <w:t xml:space="preserve">“</w:t>
      </w:r>
      <w:r>
        <w:t xml:space="preserve">It was not inevitable</w:t>
      </w:r>
      <w:r>
        <w:t xml:space="preserve"> </w:t>
      </w:r>
      <w:r>
        <w:t xml:space="preserve">that it should always anticipate increases in the demand for ingot</w:t>
      </w:r>
      <w:r>
        <w:t xml:space="preserve"> </w:t>
      </w:r>
      <w:r>
        <w:t xml:space="preserve">and be prepared to supply them… we can think of no more effective</w:t>
      </w:r>
      <w:r>
        <w:t xml:space="preserve"> </w:t>
      </w:r>
      <w:r>
        <w:t xml:space="preserve">exclusion than progressively to embrace each new opportunity as it</w:t>
      </w:r>
      <w:r>
        <w:t xml:space="preserve"> </w:t>
      </w:r>
      <w:r>
        <w:t xml:space="preserve">opened, and to face every newcomer with new capacity already geared</w:t>
      </w:r>
      <w:r>
        <w:t xml:space="preserve"> </w:t>
      </w:r>
      <w:r>
        <w:t xml:space="preserve">into a great organization.</w:t>
      </w:r>
      <w:r>
        <w:t xml:space="preserve">”</w:t>
      </w:r>
      <w:r>
        <w:t xml:space="preserve"> </w:t>
      </w:r>
      <w:r>
        <w:t xml:space="preserve">The concession that bounds it (at</w:t>
      </w:r>
      <w:r>
        <w:t xml:space="preserve"> </w:t>
      </w:r>
      <w:r>
        <w:t xml:space="preserve">*429–30):</w:t>
      </w:r>
      <w:r>
        <w:t xml:space="preserve"> </w:t>
      </w:r>
      <w:r>
        <w:t xml:space="preserve">“</w:t>
      </w:r>
      <w:r>
        <w:t xml:space="preserve">monopoly may have been thrust upon it… The successful</w:t>
      </w:r>
      <w:r>
        <w:t xml:space="preserve"> </w:t>
      </w:r>
      <w:r>
        <w:t xml:space="preserve">competitor, having been urged to compete, must not be turned upon</w:t>
      </w:r>
      <w:r>
        <w:t xml:space="preserve"> </w:t>
      </w:r>
      <w:r>
        <w:t xml:space="preserve">when he wins.</w:t>
      </w:r>
      <w:r>
        <w:t xml:space="preserve">”</w:t>
      </w:r>
    </w:p>
    <w:p>
      <w:pPr>
        <w:pStyle w:val="BodyText"/>
      </w:pPr>
      <w:r>
        <w:rPr>
          <w:bCs/>
          <w:b/>
        </w:rPr>
        <w:t xml:space="preserve">Severed / left — the probe’s third finding.</w:t>
      </w:r>
      <w:r>
        <w:t xml:space="preserve"> </w:t>
      </w:r>
      <w:r>
        <w:t xml:space="preserve">BY THIS TEXT:</w:t>
      </w:r>
      <w:r>
        <w:t xml:space="preserve"> </w:t>
      </w:r>
      <w:r>
        <w:t xml:space="preserve">nothing structural. Hand expressly deferred dissolution:</w:t>
      </w:r>
      <w:r>
        <w:t xml:space="preserve"> </w:t>
      </w:r>
      <w:r>
        <w:t xml:space="preserve">“</w:t>
      </w:r>
      <w:r>
        <w:t xml:space="preserve">Dissolution is not a penalty but a remedy; if the industry will not</w:t>
      </w:r>
      <w:r>
        <w:t xml:space="preserve"> </w:t>
      </w:r>
      <w:r>
        <w:t xml:space="preserve">need it for its protection, it will be a disservice to break up an</w:t>
      </w:r>
      <w:r>
        <w:t xml:space="preserve"> </w:t>
      </w:r>
      <w:r>
        <w:t xml:space="preserve">aggregation which has for so long demonstrated its efficiency</w:t>
      </w:r>
      <w:r>
        <w:t xml:space="preserve">”</w:t>
      </w:r>
      <w:r>
        <w:t xml:space="preserve"> </w:t>
      </w:r>
      <w:r>
        <w:t xml:space="preserve">(</w:t>
      </w:r>
      <w:r>
        <w:rPr>
          <w:iCs/>
          <w:i/>
        </w:rPr>
        <w:t xml:space="preserve">446). Relief actually granted: injunctions against the price</w:t>
      </w:r>
      <w:r>
        <w:rPr>
          <w:iCs/>
          <w:i/>
        </w:rPr>
        <w:t xml:space="preserve"> </w:t>
      </w:r>
      <w:r>
        <w:rPr>
          <w:iCs/>
          <w:i/>
        </w:rPr>
        <w:t xml:space="preserve">squeeze and the 1936 cartel; the prayer that common shareholders of</w:t>
      </w:r>
      <w:r>
        <w:rPr>
          <w:iCs/>
          <w:i/>
        </w:rPr>
        <w:t xml:space="preserve"> </w:t>
      </w:r>
      <w:r>
        <w:rPr>
          <w:iCs/>
          <w:i/>
        </w:rPr>
        <w:t xml:space="preserve">Alcoa and Aluminium Ltd divest one or the other was DENIED (</w:t>
      </w:r>
      <w:r>
        <w:t xml:space="preserve">447).</w:t>
      </w:r>
      <w:r>
        <w:t xml:space="preserve"> </w:t>
      </w:r>
      <w:r>
        <w:t xml:space="preserve">The whole of Alcoa stayed in its owners’ hands.</w:t>
      </w:r>
      <w:r>
        <w:t xml:space="preserve"> </w:t>
      </w:r>
      <w:r>
        <w:rPr>
          <w:bCs/>
          <w:b/>
        </w:rPr>
        <w:t xml:space="preserve">Fortune:</w:t>
      </w:r>
      <w:r>
        <w:t xml:space="preserve"> </w:t>
      </w:r>
      <w:r>
        <w:t xml:space="preserve">untouched by this text, definitionally.</w:t>
      </w:r>
    </w:p>
    <w:p>
      <w:pPr>
        <w:pStyle w:val="BodyText"/>
      </w:pPr>
      <w:r>
        <w:rPr>
          <w:bCs/>
          <w:b/>
        </w:rPr>
        <w:t xml:space="preserve">Sequence — the series’ unique row.</w:t>
      </w:r>
      <w:r>
        <w:t xml:space="preserve"> </w:t>
      </w:r>
      <w:r>
        <w:t xml:space="preserve">The remedy Hand waited on was</w:t>
      </w:r>
      <w:r>
        <w:t xml:space="preserve"> </w:t>
      </w:r>
      <w:r>
        <w:t xml:space="preserve">the STATE’S OWN CAPACITY: the Surplus Property Act disposal of the</w:t>
      </w:r>
      <w:r>
        <w:t xml:space="preserve"> </w:t>
      </w:r>
      <w:r>
        <w:t xml:space="preserve">government’s war-built aluminium plants would set</w:t>
      </w:r>
      <w:r>
        <w:t xml:space="preserve"> </w:t>
      </w:r>
      <w:r>
        <w:t xml:space="preserve">“</w:t>
      </w:r>
      <w:r>
        <w:t xml:space="preserve">a plan or design</w:t>
      </w:r>
      <w:r>
        <w:t xml:space="preserve"> </w:t>
      </w:r>
      <w:r>
        <w:t xml:space="preserve">for the industry as a whole,</w:t>
      </w:r>
      <w:r>
        <w:t xml:space="preserve">”</w:t>
      </w:r>
      <w:r>
        <w:t xml:space="preserve"> </w:t>
      </w:r>
      <w:r>
        <w:t xml:space="preserve">and only if that failed would</w:t>
      </w:r>
      <w:r>
        <w:t xml:space="preserve"> </w:t>
      </w:r>
      <w:r>
        <w:t xml:space="preserve">dissolution arise —</w:t>
      </w:r>
      <w:r>
        <w:t xml:space="preserve"> </w:t>
      </w:r>
      <w:r>
        <w:t xml:space="preserve">“</w:t>
      </w:r>
      <w:r>
        <w:t xml:space="preserve">then, but then only</w:t>
      </w:r>
      <w:r>
        <w:t xml:space="preserve">”</w:t>
      </w:r>
      <w:r>
        <w:t xml:space="preserve"> </w:t>
      </w:r>
      <w:r>
        <w:t xml:space="preserve">(*446–47). Public</w:t>
      </w:r>
      <w:r>
        <w:t xml:space="preserve"> </w:t>
      </w:r>
      <w:r>
        <w:t xml:space="preserve">capacity-building as the structural remedy’s substitute: the row in</w:t>
      </w:r>
      <w:r>
        <w:t xml:space="preserve"> </w:t>
      </w:r>
      <w:r>
        <w:t xml:space="preserve">the pattern where the republic answered a private bottleneck by</w:t>
      </w:r>
      <w:r>
        <w:t xml:space="preserve"> </w:t>
      </w:r>
      <w:r>
        <w:t xml:space="preserve">having built plant of its own.</w:t>
      </w:r>
    </w:p>
    <w:p>
      <w:r>
        <w:pict>
          <v:rect style="width:0;height:1.5pt" o:hralign="center" o:hrstd="t" o:hr="t"/>
        </w:pict>
      </w:r>
    </w:p>
    <w:bookmarkEnd w:id="81"/>
    <w:bookmarkStart w:id="82" w:name="X89629697c1c0f9f275f08d9451a57d9f21cdd56"/>
    <w:p>
      <w:pPr>
        <w:pStyle w:val="Heading2"/>
      </w:pPr>
      <w:r>
        <w:t xml:space="preserve">10. DuPont–GM, 1957 [OPINION T1 IN CORPUS: 353 U.S. 586, U.S. Reports scan]</w:t>
      </w:r>
    </w:p>
    <w:p>
      <w:pPr>
        <w:pStyle w:val="FirstParagraph"/>
      </w:pPr>
      <w:r>
        <w:rPr>
          <w:bCs/>
          <w:b/>
        </w:rPr>
        <w:t xml:space="preserve">Dependency.</w:t>
      </w:r>
      <w:r>
        <w:t xml:space="preserve"> </w:t>
      </w:r>
      <w:r>
        <w:t xml:space="preserve">A strategic equity link converting ownership into</w:t>
      </w:r>
      <w:r>
        <w:t xml:space="preserve"> </w:t>
      </w:r>
      <w:r>
        <w:t xml:space="preserve">preferred access: du Pont’s 23% of GM (1917–19) and</w:t>
      </w:r>
      <w:r>
        <w:t xml:space="preserve"> </w:t>
      </w:r>
      <w:r>
        <w:t xml:space="preserve">“</w:t>
      </w:r>
      <w:r>
        <w:t xml:space="preserve">du Pont’s</w:t>
      </w:r>
      <w:r>
        <w:t xml:space="preserve"> </w:t>
      </w:r>
      <w:r>
        <w:t xml:space="preserve">commanding position as General Motors’ supplier of automotive</w:t>
      </w:r>
      <w:r>
        <w:t xml:space="preserve"> </w:t>
      </w:r>
      <w:r>
        <w:t xml:space="preserve">finishes and fabrics… promoted by its stock interest and… not</w:t>
      </w:r>
      <w:r>
        <w:t xml:space="preserve"> </w:t>
      </w:r>
      <w:r>
        <w:t xml:space="preserve">gained solely on competitive merit</w:t>
      </w:r>
      <w:r>
        <w:t xml:space="preserve">”</w:t>
      </w:r>
      <w:r>
        <w:t xml:space="preserve"> </w:t>
      </w:r>
      <w:r>
        <w:t xml:space="preserve">(605); the stock</w:t>
      </w:r>
      <w:r>
        <w:t xml:space="preserve"> </w:t>
      </w:r>
      <w:r>
        <w:t xml:space="preserve">“</w:t>
      </w:r>
      <w:r>
        <w:t xml:space="preserve">purposely</w:t>
      </w:r>
      <w:r>
        <w:t xml:space="preserve"> </w:t>
      </w:r>
      <w:r>
        <w:t xml:space="preserve">employed… to pry open the General Motors market</w:t>
      </w:r>
      <w:r>
        <w:t xml:space="preserve">”</w:t>
      </w:r>
      <w:r>
        <w:t xml:space="preserve"> </w:t>
      </w:r>
      <w:r>
        <w:t xml:space="preserve">(606); Raskob’s</w:t>
      </w:r>
      <w:r>
        <w:t xml:space="preserve"> </w:t>
      </w:r>
      <w:r>
        <w:t xml:space="preserve">1917 Treasurer’s Report quoted at 601–02 (</w:t>
      </w:r>
      <w:r>
        <w:t xml:space="preserve">“</w:t>
      </w:r>
      <w:r>
        <w:t xml:space="preserve">will undoubtedly secure</w:t>
      </w:r>
      <w:r>
        <w:t xml:space="preserve"> </w:t>
      </w:r>
      <w:r>
        <w:t xml:space="preserve">for us the entire Fabrikoid, Pyralin, paint and varnish business</w:t>
      </w:r>
      <w:r>
        <w:t xml:space="preserve">”</w:t>
      </w:r>
      <w:r>
        <w:t xml:space="preserve">).</w:t>
      </w:r>
    </w:p>
    <w:p>
      <w:pPr>
        <w:pStyle w:val="BodyText"/>
      </w:pPr>
      <w:r>
        <w:rPr>
          <w:bCs/>
          <w:b/>
        </w:rPr>
        <w:t xml:space="preserve">Instrument.</w:t>
      </w:r>
      <w:r>
        <w:t xml:space="preserve"> </w:t>
      </w:r>
      <w:r>
        <w:t xml:space="preserve">Clayton §7 (pre-1950 text), reaching a</w:t>
      </w:r>
      <w:r>
        <w:t xml:space="preserve"> </w:t>
      </w:r>
      <w:r>
        <w:t xml:space="preserve">thirty-year-old acquisition:</w:t>
      </w:r>
      <w:r>
        <w:t xml:space="preserve"> </w:t>
      </w:r>
      <w:r>
        <w:t xml:space="preserve">“</w:t>
      </w:r>
      <w:r>
        <w:t xml:space="preserve">the Government may proceed at any time</w:t>
      </w:r>
      <w:r>
        <w:t xml:space="preserve"> </w:t>
      </w:r>
      <w:r>
        <w:t xml:space="preserve">that an acquisition may be said with reasonable probability to</w:t>
      </w:r>
      <w:r>
        <w:t xml:space="preserve"> </w:t>
      </w:r>
      <w:r>
        <w:t xml:space="preserve">contain a threat</w:t>
      </w:r>
      <w:r>
        <w:t xml:space="preserve">”</w:t>
      </w:r>
      <w:r>
        <w:t xml:space="preserve"> </w:t>
      </w:r>
      <w:r>
        <w:t xml:space="preserve">(597–98);</w:t>
      </w:r>
      <w:r>
        <w:t xml:space="preserve"> </w:t>
      </w:r>
      <w:r>
        <w:t xml:space="preserve">“</w:t>
      </w:r>
      <w:r>
        <w:t xml:space="preserve">any acquisition by one corporation of</w:t>
      </w:r>
      <w:r>
        <w:t xml:space="preserve"> </w:t>
      </w:r>
      <w:r>
        <w:t xml:space="preserve">all or any part of the stock of another corporation, competitor or</w:t>
      </w:r>
      <w:r>
        <w:t xml:space="preserve"> </w:t>
      </w:r>
      <w:r>
        <w:t xml:space="preserve">not, is within the reach of the section</w:t>
      </w:r>
      <w:r>
        <w:t xml:space="preserve">”</w:t>
      </w:r>
      <w:r>
        <w:t xml:space="preserve"> </w:t>
      </w:r>
      <w:r>
        <w:t xml:space="preserve">(592).</w:t>
      </w:r>
    </w:p>
    <w:p>
      <w:pPr>
        <w:pStyle w:val="BodyText"/>
      </w:pPr>
      <w:r>
        <w:rPr>
          <w:bCs/>
          <w:b/>
        </w:rPr>
        <w:t xml:space="preserve">Severed / left — the probe’s fourth finding.</w:t>
      </w:r>
      <w:r>
        <w:t xml:space="preserve"> </w:t>
      </w:r>
      <w:r>
        <w:t xml:space="preserve">BY THIS TEXT:</w:t>
      </w:r>
      <w:r>
        <w:t xml:space="preserve"> </w:t>
      </w:r>
      <w:r>
        <w:t xml:space="preserve">nothing yet. The opinion reverses the dismissal and remands</w:t>
      </w:r>
      <w:r>
        <w:t xml:space="preserve"> </w:t>
      </w:r>
      <w:r>
        <w:t xml:space="preserve">“</w:t>
      </w:r>
      <w:r>
        <w:t xml:space="preserve">for a</w:t>
      </w:r>
      <w:r>
        <w:t xml:space="preserve"> </w:t>
      </w:r>
      <w:r>
        <w:t xml:space="preserve">determination, after further hearing, of the equitable relief</w:t>
      </w:r>
      <w:r>
        <w:t xml:space="preserve"> </w:t>
      </w:r>
      <w:r>
        <w:t xml:space="preserve">necessary and appropriate</w:t>
      </w:r>
      <w:r>
        <w:t xml:space="preserve">”</w:t>
      </w:r>
      <w:r>
        <w:t xml:space="preserve"> </w:t>
      </w:r>
      <w:r>
        <w:t xml:space="preserve">(607–08); the divestiture belongs to the</w:t>
      </w:r>
      <w:r>
        <w:t xml:space="preserve"> </w:t>
      </w:r>
      <w:r>
        <w:t xml:space="preserve">later remedy proceedings (the 1961 decision — its citation, 366</w:t>
      </w:r>
      <w:r>
        <w:t xml:space="preserve"> </w:t>
      </w:r>
      <w:r>
        <w:t xml:space="preserve">U.S., appears in corpus only as quoted in</w:t>
      </w:r>
      <w:r>
        <w:t xml:space="preserve"> </w:t>
      </w:r>
      <w:r>
        <w:rPr>
          <w:iCs/>
          <w:i/>
        </w:rPr>
        <w:t xml:space="preserve">Microsoft</w:t>
      </w:r>
      <w:r>
        <w:t xml:space="preserve">, 253 F.3d 34:</w:t>
      </w:r>
      <w:r>
        <w:t xml:space="preserve"> </w:t>
      </w:r>
      <w:r>
        <w:t xml:space="preserve">divestiture</w:t>
      </w:r>
      <w:r>
        <w:t xml:space="preserve"> </w:t>
      </w:r>
      <w:r>
        <w:t xml:space="preserve">“</w:t>
      </w:r>
      <w:r>
        <w:t xml:space="preserve">has traditionally been the remedy for Sherman Act</w:t>
      </w:r>
      <w:r>
        <w:t xml:space="preserve"> </w:t>
      </w:r>
      <w:r>
        <w:t xml:space="preserve">violations whose heart is intercorporate combination and control</w:t>
      </w:r>
      <w:r>
        <w:t xml:space="preserve">”</w:t>
      </w:r>
      <w:r>
        <w:t xml:space="preserve">).</w:t>
      </w:r>
      <w:r>
        <w:t xml:space="preserve"> </w:t>
      </w:r>
      <w:r>
        <w:t xml:space="preserve">The remedy decision itself is NOT in corpus — [UNVERIFIED —</w:t>
      </w:r>
      <w:r>
        <w:t xml:space="preserve"> </w:t>
      </w:r>
      <w:r>
        <w:t xml:space="preserve">RETRIEVAL].</w:t>
      </w:r>
      <w:r>
        <w:t xml:space="preserve"> </w:t>
      </w:r>
      <w:r>
        <w:rPr>
          <w:bCs/>
          <w:b/>
        </w:rPr>
        <w:t xml:space="preserve">Fortune:</w:t>
      </w:r>
      <w:r>
        <w:t xml:space="preserve"> </w:t>
      </w:r>
      <w:r>
        <w:t xml:space="preserve">not addressed; the instrument targets the</w:t>
      </w:r>
      <w:r>
        <w:t xml:space="preserve"> </w:t>
      </w:r>
      <w:r>
        <w:t xml:space="preserve">LINK, not the holdings’ value — but that reading completes only</w:t>
      </w:r>
      <w:r>
        <w:t xml:space="preserve"> </w:t>
      </w:r>
      <w:r>
        <w:t xml:space="preserve">with the 1961 text.</w:t>
      </w:r>
    </w:p>
    <w:p>
      <w:pPr>
        <w:pStyle w:val="BodyText"/>
      </w:pPr>
      <w:r>
        <w:rPr>
          <w:bCs/>
          <w:b/>
        </w:rPr>
        <w:t xml:space="preserve">Sequence.</w:t>
      </w:r>
      <w:r>
        <w:t xml:space="preserve"> </w:t>
      </w:r>
      <w:r>
        <w:t xml:space="preserve">The gate was legislated in 1914 (Clayton §7, in</w:t>
      </w:r>
      <w:r>
        <w:t xml:space="preserve"> </w:t>
      </w:r>
      <w:r>
        <w:t xml:space="preserve">corpus); the acquisition predates it (1917–19 — a §7 applied to a</w:t>
      </w:r>
      <w:r>
        <w:t xml:space="preserve"> </w:t>
      </w:r>
      <w:r>
        <w:t xml:space="preserve">pre-existing position through the</w:t>
      </w:r>
      <w:r>
        <w:t xml:space="preserve"> </w:t>
      </w:r>
      <w:r>
        <w:t xml:space="preserve">“</w:t>
      </w:r>
      <w:r>
        <w:t xml:space="preserve">any time the acquisition</w:t>
      </w:r>
      <w:r>
        <w:t xml:space="preserve"> </w:t>
      </w:r>
      <w:r>
        <w:t xml:space="preserve">threatens to ripen</w:t>
      </w:r>
      <w:r>
        <w:t xml:space="preserve">”</w:t>
      </w:r>
      <w:r>
        <w:t xml:space="preserve"> </w:t>
      </w:r>
      <w:r>
        <w:t xml:space="preserve">doctrine); suit 1949; liability 1957; structure</w:t>
      </w:r>
      <w:r>
        <w:t xml:space="preserve"> </w:t>
      </w:r>
      <w:r>
        <w:t xml:space="preserve">later still. The longest regulation-to-structure lag in the series</w:t>
      </w:r>
      <w:r>
        <w:t xml:space="preserve"> </w:t>
      </w:r>
      <w:r>
        <w:t xml:space="preserve">— four decades.</w:t>
      </w:r>
    </w:p>
    <w:p>
      <w:r>
        <w:pict>
          <v:rect style="width:0;height:1.5pt" o:hralign="center" o:hrstd="t" o:hr="t"/>
        </w:pict>
      </w:r>
    </w:p>
    <w:bookmarkEnd w:id="82"/>
    <w:bookmarkStart w:id="83" w:name="X06be5ffffe81f261f663a794f608f19279a67b9"/>
    <w:p>
      <w:pPr>
        <w:pStyle w:val="Heading2"/>
      </w:pPr>
      <w:r>
        <w:t xml:space="preserve">11. AT&amp;T, 1956 and 1982 [MFJ OPINION T1 IN CORPUS: 552 F. Supp. 131; the 1956 decree known only through the MFJ’s recitation]</w:t>
      </w:r>
    </w:p>
    <w:p>
      <w:pPr>
        <w:pStyle w:val="FirstParagraph"/>
      </w:pPr>
      <w:r>
        <w:rPr>
          <w:bCs/>
          <w:b/>
        </w:rPr>
        <w:t xml:space="preserve">Dependency.</w:t>
      </w:r>
      <w:r>
        <w:t xml:space="preserve"> </w:t>
      </w:r>
      <w:r>
        <w:t xml:space="preserve">“</w:t>
      </w:r>
      <w:r>
        <w:t xml:space="preserve">The principal means by which AT&amp;T has maintained</w:t>
      </w:r>
      <w:r>
        <w:t xml:space="preserve"> </w:t>
      </w:r>
      <w:r>
        <w:t xml:space="preserve">monopoly power in telecommunications has been its control of the</w:t>
      </w:r>
      <w:r>
        <w:t xml:space="preserve"> </w:t>
      </w:r>
      <w:r>
        <w:t xml:space="preserve">Operating Companies with their strategic bottleneck position</w:t>
      </w:r>
      <w:r>
        <w:t xml:space="preserve">”</w:t>
      </w:r>
      <w:r>
        <w:t xml:space="preserve"> </w:t>
      </w:r>
      <w:r>
        <w:t xml:space="preserve">(*171)</w:t>
      </w:r>
      <w:r>
        <w:t xml:space="preserve"> </w:t>
      </w:r>
      <w:r>
        <w:t xml:space="preserve">— every rival’s calls originated and terminated on AT&amp;T’s local</w:t>
      </w:r>
      <w:r>
        <w:t xml:space="preserve"> </w:t>
      </w:r>
      <w:r>
        <w:t xml:space="preserve">exchanges.</w:t>
      </w:r>
    </w:p>
    <w:p>
      <w:pPr>
        <w:pStyle w:val="BodyText"/>
      </w:pPr>
      <w:r>
        <w:rPr>
          <w:bCs/>
          <w:b/>
        </w:rPr>
        <w:t xml:space="preserve">Instrument — two stages.</w:t>
      </w:r>
      <w:r>
        <w:t xml:space="preserve"> </w:t>
      </w:r>
      <w:r>
        <w:t xml:space="preserve">(i) 1956 (as this opinion describes it;</w:t>
      </w:r>
      <w:r>
        <w:t xml:space="preserve"> </w:t>
      </w:r>
      <w:r>
        <w:t xml:space="preserve">the decree itself NOT in corpus):</w:t>
      </w:r>
      <w:r>
        <w:t xml:space="preserve"> </w:t>
      </w:r>
      <w:r>
        <w:t xml:space="preserve">“</w:t>
      </w:r>
      <w:r>
        <w:t xml:space="preserve">an injunction was issued which</w:t>
      </w:r>
      <w:r>
        <w:t xml:space="preserve"> </w:t>
      </w:r>
      <w:r>
        <w:t xml:space="preserve">precluded AT&amp;T from engaging in any business other than the</w:t>
      </w:r>
      <w:r>
        <w:t xml:space="preserve"> </w:t>
      </w:r>
      <w:r>
        <w:t xml:space="preserve">provision of common carrier communications services; precluded</w:t>
      </w:r>
      <w:r>
        <w:t xml:space="preserve"> </w:t>
      </w:r>
      <w:r>
        <w:t xml:space="preserve">Western Electric from manufacturing equipment other than that used</w:t>
      </w:r>
      <w:r>
        <w:t xml:space="preserve"> </w:t>
      </w:r>
      <w:r>
        <w:t xml:space="preserve">by the Bell System; and required the defendants to license their</w:t>
      </w:r>
      <w:r>
        <w:t xml:space="preserve"> </w:t>
      </w:r>
      <w:r>
        <w:t xml:space="preserve">patents to all applicants upon the payment of appropriate</w:t>
      </w:r>
      <w:r>
        <w:t xml:space="preserve"> </w:t>
      </w:r>
      <w:r>
        <w:t xml:space="preserve">royalties</w:t>
      </w:r>
      <w:r>
        <w:t xml:space="preserve">”</w:t>
      </w:r>
      <w:r>
        <w:t xml:space="preserve"> </w:t>
      </w:r>
      <w:r>
        <w:t xml:space="preserve">(</w:t>
      </w:r>
      <w:r>
        <w:rPr>
          <w:iCs/>
          <w:i/>
        </w:rPr>
        <w:t xml:space="preserve">137–38); non-exclusive licences for</w:t>
      </w:r>
      <w:r>
        <w:rPr>
          <w:iCs/>
          <w:i/>
        </w:rPr>
        <w:t xml:space="preserve"> </w:t>
      </w:r>
      <w:r>
        <w:rPr>
          <w:iCs/>
          <w:i/>
        </w:rPr>
        <w:t xml:space="preserve">“</w:t>
      </w:r>
      <w:r>
        <w:rPr>
          <w:iCs/>
          <w:i/>
        </w:rPr>
        <w:t xml:space="preserve">all existing and</w:t>
      </w:r>
      <w:r>
        <w:rPr>
          <w:iCs/>
          <w:i/>
        </w:rPr>
        <w:t xml:space="preserve"> </w:t>
      </w:r>
      <w:r>
        <w:rPr>
          <w:iCs/>
          <w:i/>
        </w:rPr>
        <w:t xml:space="preserve">future Bell System patents</w:t>
      </w:r>
      <w:r>
        <w:rPr>
          <w:iCs/>
          <w:i/>
        </w:rPr>
        <w:t xml:space="preserve">”</w:t>
      </w:r>
      <w:r>
        <w:rPr>
          <w:iCs/>
          <w:i/>
        </w:rPr>
        <w:t xml:space="preserve"> </w:t>
      </w:r>
      <w:r>
        <w:rPr>
          <w:iCs/>
          <w:i/>
        </w:rPr>
        <w:t xml:space="preserve">(§X, at</w:t>
      </w:r>
      <w:r>
        <w:rPr>
          <w:iCs/>
          <w:i/>
        </w:rPr>
        <w:t xml:space="preserve"> </w:t>
      </w:r>
      <w:r>
        <w:t xml:space="preserve">178). (ii) 1982: divestiture</w:t>
      </w:r>
      <w:r>
        <w:t xml:space="preserve"> </w:t>
      </w:r>
      <w:r>
        <w:t xml:space="preserve">of the twenty-two Operating Companies; MFJ §II(D) quarantining the</w:t>
      </w:r>
      <w:r>
        <w:t xml:space="preserve"> </w:t>
      </w:r>
      <w:r>
        <w:t xml:space="preserve">divested BOCs (</w:t>
      </w:r>
      <w:r>
        <w:t xml:space="preserve">“</w:t>
      </w:r>
      <w:r>
        <w:t xml:space="preserve">no BOC shall… provide interexchange</w:t>
      </w:r>
      <w:r>
        <w:t xml:space="preserve"> </w:t>
      </w:r>
      <w:r>
        <w:t xml:space="preserve">telecommunications services or information services; manufacture or</w:t>
      </w:r>
      <w:r>
        <w:t xml:space="preserve"> </w:t>
      </w:r>
      <w:r>
        <w:t xml:space="preserve">provide telecommunications products or customer premises</w:t>
      </w:r>
      <w:r>
        <w:t xml:space="preserve"> </w:t>
      </w:r>
      <w:r>
        <w:t xml:space="preserve">equipment…; or provide any other product or service… that is not a</w:t>
      </w:r>
      <w:r>
        <w:t xml:space="preserve"> </w:t>
      </w:r>
      <w:r>
        <w:t xml:space="preserve">natural monopoly service actually regulated by tariff</w:t>
      </w:r>
      <w:r>
        <w:t xml:space="preserve">”</w:t>
      </w:r>
      <w:r>
        <w:t xml:space="preserve">); §II(A)</w:t>
      </w:r>
      <w:r>
        <w:t xml:space="preserve"> </w:t>
      </w:r>
      <w:r>
        <w:t xml:space="preserve">equal access</w:t>
      </w:r>
      <w:r>
        <w:t xml:space="preserve"> </w:t>
      </w:r>
      <w:r>
        <w:t xml:space="preserve">“</w:t>
      </w:r>
      <w:r>
        <w:t xml:space="preserve">on an unbundled, tariffed basis, that is equal in</w:t>
      </w:r>
      <w:r>
        <w:t xml:space="preserve"> </w:t>
      </w:r>
      <w:r>
        <w:t xml:space="preserve">type, quality, and price to that provided to AT&amp;T and its</w:t>
      </w:r>
      <w:r>
        <w:t xml:space="preserve"> </w:t>
      </w:r>
      <w:r>
        <w:t xml:space="preserve">affiliates.</w:t>
      </w:r>
      <w:r>
        <w:t xml:space="preserve">”</w:t>
      </w:r>
    </w:p>
    <w:p>
      <w:pPr>
        <w:pStyle w:val="BodyText"/>
      </w:pPr>
      <w:r>
        <w:rPr>
          <w:bCs/>
          <w:b/>
        </w:rPr>
        <w:t xml:space="preserve">Severed / left.</w:t>
      </w:r>
      <w:r>
        <w:t xml:space="preserve"> </w:t>
      </w:r>
      <w:r>
        <w:t xml:space="preserve">Severed: the bottleneck itself — and by spin-off</w:t>
      </w:r>
      <w:r>
        <w:t xml:space="preserve"> </w:t>
      </w:r>
      <w:r>
        <w:t xml:space="preserve">to the owners, in the decree’s own words (§I(A)(4)): divestiture by</w:t>
      </w:r>
      <w:r>
        <w:t xml:space="preserve"> </w:t>
      </w:r>
      <w:r>
        <w:t xml:space="preserve">“</w:t>
      </w:r>
      <w:r>
        <w:t xml:space="preserve">a spin-off of stock of the separated BOCs to the shareholders of</w:t>
      </w:r>
      <w:r>
        <w:t xml:space="preserve"> </w:t>
      </w:r>
      <w:r>
        <w:t xml:space="preserve">AT&amp;T,</w:t>
      </w:r>
      <w:r>
        <w:t xml:space="preserve">”</w:t>
      </w:r>
      <w:r>
        <w:t xml:space="preserve"> </w:t>
      </w:r>
      <w:r>
        <w:t xml:space="preserve">the decree declining to fix the number of successor</w:t>
      </w:r>
      <w:r>
        <w:t xml:space="preserve"> </w:t>
      </w:r>
      <w:r>
        <w:t xml:space="preserve">entities. Left: Long Lines, Western Electric, Bell Laboratories,</w:t>
      </w:r>
      <w:r>
        <w:t xml:space="preserve"> </w:t>
      </w:r>
      <w:r>
        <w:t xml:space="preserve">and freedom from the 1956 confinement —</w:t>
      </w:r>
      <w:r>
        <w:t xml:space="preserve"> </w:t>
      </w:r>
      <w:r>
        <w:t xml:space="preserve">“</w:t>
      </w:r>
      <w:r>
        <w:t xml:space="preserve">AT&amp;T would be free to</w:t>
      </w:r>
      <w:r>
        <w:t xml:space="preserve"> </w:t>
      </w:r>
      <w:r>
        <w:t xml:space="preserve">compete in all facets of the marketplace</w:t>
      </w:r>
      <w:r>
        <w:t xml:space="preserve">”</w:t>
      </w:r>
      <w:r>
        <w:t xml:space="preserve"> </w:t>
      </w:r>
      <w:r>
        <w:t xml:space="preserve">(*170–71).</w:t>
      </w:r>
      <w:r>
        <w:t xml:space="preserve"> </w:t>
      </w:r>
      <w:r>
        <w:rPr>
          <w:bCs/>
          <w:b/>
        </w:rPr>
        <w:t xml:space="preserve">Fortune:</w:t>
      </w:r>
      <w:r>
        <w:t xml:space="preserve"> </w:t>
      </w:r>
      <w:r>
        <w:t xml:space="preserve">the wealth-preserving mechanism is IN the decree at T1 — the</w:t>
      </w:r>
      <w:r>
        <w:t xml:space="preserve"> </w:t>
      </w:r>
      <w:r>
        <w:t xml:space="preserve">shareholders receive the successors’ stock, exactly the Standard</w:t>
      </w:r>
      <w:r>
        <w:t xml:space="preserve"> </w:t>
      </w:r>
      <w:r>
        <w:t xml:space="preserve">Oil design. (Subsequent value: not addressed; not needed.)</w:t>
      </w:r>
    </w:p>
    <w:p>
      <w:pPr>
        <w:pStyle w:val="BodyText"/>
      </w:pPr>
      <w:r>
        <w:rPr>
          <w:bCs/>
          <w:b/>
        </w:rPr>
        <w:t xml:space="preserve">Sequence — the lag thesis’s fullest confirmation, in the court’s</w:t>
      </w:r>
      <w:r>
        <w:rPr>
          <w:bCs/>
          <w:b/>
        </w:rPr>
        <w:t xml:space="preserve"> </w:t>
      </w:r>
      <w:r>
        <w:rPr>
          <w:bCs/>
          <w:b/>
        </w:rPr>
        <w:t xml:space="preserve">own words.</w:t>
      </w:r>
      <w:r>
        <w:t xml:space="preserve"> </w:t>
      </w:r>
      <w:r>
        <w:t xml:space="preserve">Rate regulation from the Communications Act framework;</w:t>
      </w:r>
      <w:r>
        <w:t xml:space="preserve"> </w:t>
      </w:r>
      <w:r>
        <w:t xml:space="preserve">the 1949 suit; the 1956 confinement-and-licensing decree; then (at</w:t>
      </w:r>
      <w:r>
        <w:t xml:space="preserve"> </w:t>
      </w:r>
      <w:r>
        <w:rPr>
          <w:iCs/>
          <w:i/>
        </w:rPr>
        <w:t xml:space="preserve">170):</w:t>
      </w:r>
      <w:r>
        <w:rPr>
          <w:iCs/>
          <w:i/>
        </w:rPr>
        <w:t xml:space="preserve"> </w:t>
      </w:r>
      <w:r>
        <w:rPr>
          <w:iCs/>
          <w:i/>
        </w:rPr>
        <w:t xml:space="preserve">“</w:t>
      </w:r>
      <w:r>
        <w:rPr>
          <w:iCs/>
          <w:i/>
        </w:rPr>
        <w:t xml:space="preserve">The antitrust suit brought by the Department of Justice in</w:t>
      </w:r>
      <w:r>
        <w:rPr>
          <w:iCs/>
          <w:i/>
        </w:rPr>
        <w:t xml:space="preserve"> </w:t>
      </w:r>
      <w:r>
        <w:rPr>
          <w:iCs/>
          <w:i/>
        </w:rPr>
        <w:t xml:space="preserve">1949 ended in 1956 with a consent decree which imposed injunctive</w:t>
      </w:r>
      <w:r>
        <w:rPr>
          <w:iCs/>
          <w:i/>
        </w:rPr>
        <w:t xml:space="preserve"> </w:t>
      </w:r>
      <w:r>
        <w:rPr>
          <w:iCs/>
          <w:i/>
        </w:rPr>
        <w:t xml:space="preserve">relief that was patently inadequate… Future regulatory and</w:t>
      </w:r>
      <w:r>
        <w:rPr>
          <w:iCs/>
          <w:i/>
        </w:rPr>
        <w:t xml:space="preserve"> </w:t>
      </w:r>
      <w:r>
        <w:rPr>
          <w:iCs/>
          <w:i/>
        </w:rPr>
        <w:t xml:space="preserve">injunctive remedies are unlikely to be more successful than were</w:t>
      </w:r>
      <w:r>
        <w:rPr>
          <w:iCs/>
          <w:i/>
        </w:rPr>
        <w:t xml:space="preserve"> </w:t>
      </w:r>
      <w:r>
        <w:rPr>
          <w:iCs/>
          <w:i/>
        </w:rPr>
        <w:t xml:space="preserve">similar efforts in the past</w:t>
      </w:r>
      <w:r>
        <w:rPr>
          <w:iCs/>
          <w:i/>
        </w:rPr>
        <w:t xml:space="preserve">”</w:t>
      </w:r>
      <w:r>
        <w:rPr>
          <w:iCs/>
          <w:i/>
        </w:rPr>
        <w:t xml:space="preserve"> </w:t>
      </w:r>
      <w:r>
        <w:rPr>
          <w:iCs/>
          <w:i/>
        </w:rPr>
        <w:t xml:space="preserve">— and the FCC’s own former Common</w:t>
      </w:r>
      <w:r>
        <w:rPr>
          <w:iCs/>
          <w:i/>
        </w:rPr>
        <w:t xml:space="preserve"> </w:t>
      </w:r>
      <w:r>
        <w:rPr>
          <w:iCs/>
          <w:i/>
        </w:rPr>
        <w:t xml:space="preserve">Carrier Bureau chiefs testifying</w:t>
      </w:r>
      <w:r>
        <w:rPr>
          <w:iCs/>
          <w:i/>
        </w:rPr>
        <w:t xml:space="preserve"> </w:t>
      </w:r>
      <w:r>
        <w:rPr>
          <w:iCs/>
          <w:i/>
        </w:rPr>
        <w:t xml:space="preserve">“</w:t>
      </w:r>
      <w:r>
        <w:rPr>
          <w:iCs/>
          <w:i/>
        </w:rPr>
        <w:t xml:space="preserve">that the Commission is not and</w:t>
      </w:r>
      <w:r>
        <w:rPr>
          <w:iCs/>
          <w:i/>
        </w:rPr>
        <w:t xml:space="preserve"> </w:t>
      </w:r>
      <w:r>
        <w:rPr>
          <w:iCs/>
          <w:i/>
        </w:rPr>
        <w:t xml:space="preserve">never has been capable of effective enforcement of the laws</w:t>
      </w:r>
      <w:r>
        <w:rPr>
          <w:iCs/>
          <w:i/>
        </w:rPr>
        <w:t xml:space="preserve"> </w:t>
      </w:r>
      <w:r>
        <w:rPr>
          <w:iCs/>
          <w:i/>
        </w:rPr>
        <w:t xml:space="preserve">governing AT&amp;T’s behavior</w:t>
      </w:r>
      <w:r>
        <w:rPr>
          <w:iCs/>
          <w:i/>
        </w:rPr>
        <w:t xml:space="preserve">”</w:t>
      </w:r>
      <w:r>
        <w:rPr>
          <w:iCs/>
          <w:i/>
        </w:rPr>
        <w:t xml:space="preserve"> </w:t>
      </w:r>
      <w:r>
        <w:rPr>
          <w:iCs/>
          <w:i/>
        </w:rPr>
        <w:t xml:space="preserve">(</w:t>
      </w:r>
      <w:r>
        <w:t xml:space="preserve">168). Regulation preceded, was tried</w:t>
      </w:r>
      <w:r>
        <w:t xml:space="preserve"> </w:t>
      </w:r>
      <w:r>
        <w:t xml:space="preserve">for decades, failed on the record, and structure followed. Greene</w:t>
      </w:r>
      <w:r>
        <w:t xml:space="preserve"> </w:t>
      </w:r>
      <w:r>
        <w:t xml:space="preserve">also supplies the book’s lineage sentence, quoting Senator Sherman</w:t>
      </w:r>
      <w:r>
        <w:t xml:space="preserve"> </w:t>
      </w:r>
      <w:r>
        <w:t xml:space="preserve">(21 Cong. Rec. 2457 (1890)):</w:t>
      </w:r>
      <w:r>
        <w:t xml:space="preserve"> </w:t>
      </w:r>
      <w:r>
        <w:t xml:space="preserve">“</w:t>
      </w:r>
      <w:r>
        <w:t xml:space="preserve">If we will not endure a king as a</w:t>
      </w:r>
      <w:r>
        <w:t xml:space="preserve"> </w:t>
      </w:r>
      <w:r>
        <w:t xml:space="preserve">political power we should not endure a king over the production,</w:t>
      </w:r>
      <w:r>
        <w:t xml:space="preserve"> </w:t>
      </w:r>
      <w:r>
        <w:t xml:space="preserve">transportation, and sale of any of the necessaries of life</w:t>
      </w:r>
      <w:r>
        <w:t xml:space="preserve">”</w:t>
      </w:r>
      <w:r>
        <w:t xml:space="preserve"> </w:t>
      </w:r>
      <w:r>
        <w:t xml:space="preserve">— the</w:t>
      </w:r>
      <w:r>
        <w:t xml:space="preserve"> </w:t>
      </w:r>
      <w:r>
        <w:t xml:space="preserve">over-mighty citizen, in the instrument’s own legislative record.</w:t>
      </w:r>
    </w:p>
    <w:p>
      <w:pPr>
        <w:pStyle w:val="BodyText"/>
      </w:pPr>
      <w:r>
        <w:rPr>
          <w:bCs/>
          <w:b/>
        </w:rPr>
        <w:t xml:space="preserve">Playbook checks.</w:t>
      </w:r>
      <w:r>
        <w:t xml:space="preserve"> </w:t>
      </w:r>
      <w:r>
        <w:t xml:space="preserve">(i)</w:t>
      </w:r>
      <w:r>
        <w:t xml:space="preserve"> </w:t>
      </w:r>
      <w:r>
        <w:t xml:space="preserve">“</w:t>
      </w:r>
      <w:r>
        <w:t xml:space="preserve">The 1984 reorganization created seven</w:t>
      </w:r>
      <w:r>
        <w:t xml:space="preserve"> </w:t>
      </w:r>
      <w:r>
        <w:t xml:space="preserve">Regional Bell Operating Companies</w:t>
      </w:r>
      <w:r>
        <w:t xml:space="preserve">”</w:t>
      </w:r>
      <w:r>
        <w:t xml:space="preserve"> </w:t>
      </w:r>
      <w:r>
        <w:t xml:space="preserve">— the SEVEN was AT&amp;T’s</w:t>
      </w:r>
      <w:r>
        <w:t xml:space="preserve"> </w:t>
      </w:r>
      <w:r>
        <w:t xml:space="preserve">reorganisation plan under the decree, not a decree term: §I(A)(4)</w:t>
      </w:r>
      <w:r>
        <w:t xml:space="preserve"> </w:t>
      </w:r>
      <w:r>
        <w:t xml:space="preserve">expressly provides</w:t>
      </w:r>
      <w:r>
        <w:t xml:space="preserve"> </w:t>
      </w:r>
      <w:r>
        <w:t xml:space="preserve">“</w:t>
      </w:r>
      <w:r>
        <w:t xml:space="preserve">nothing in this Modification of Final Judgment</w:t>
      </w:r>
      <w:r>
        <w:t xml:space="preserve"> </w:t>
      </w:r>
      <w:r>
        <w:t xml:space="preserve">shall require or prohibit the consolidation of the ownership of the</w:t>
      </w:r>
      <w:r>
        <w:t xml:space="preserve"> </w:t>
      </w:r>
      <w:r>
        <w:t xml:space="preserve">BOCs into any particular number of entities</w:t>
      </w:r>
      <w:r>
        <w:t xml:space="preserve">”</w:t>
      </w:r>
      <w:r>
        <w:t xml:space="preserve">; the opinion records</w:t>
      </w:r>
      <w:r>
        <w:t xml:space="preserve"> </w:t>
      </w:r>
      <w:r>
        <w:t xml:space="preserve">AT&amp;T’s plan for seven (n.41; *201). (ii) The playbook’s</w:t>
      </w:r>
      <w:r>
        <w:t xml:space="preserve"> </w:t>
      </w:r>
      <w:r>
        <w:t xml:space="preserve">“</w:t>
      </w:r>
      <w:r>
        <w:t xml:space="preserve">confined</w:t>
      </w:r>
      <w:r>
        <w:t xml:space="preserve"> </w:t>
      </w:r>
      <w:r>
        <w:t xml:space="preserve">AT&amp;T largely to regulated communications and government work</w:t>
      </w:r>
      <w:r>
        <w:t xml:space="preserve">”</w:t>
      </w:r>
      <w:r>
        <w:t xml:space="preserve">: the</w:t>
      </w:r>
      <w:r>
        <w:t xml:space="preserve"> </w:t>
      </w:r>
      <w:r>
        <w:t xml:space="preserve">“</w:t>
      </w:r>
      <w:r>
        <w:t xml:space="preserve">government work</w:t>
      </w:r>
      <w:r>
        <w:t xml:space="preserve">”</w:t>
      </w:r>
      <w:r>
        <w:t xml:space="preserve"> </w:t>
      </w:r>
      <w:r>
        <w:t xml:space="preserve">element is NOT in this opinion’s summary of the</w:t>
      </w:r>
      <w:r>
        <w:t xml:space="preserve"> </w:t>
      </w:r>
      <w:r>
        <w:t xml:space="preserve">1956 decree — [UNVERIFIED — RETRIEVAL: the 1956 decree text] before</w:t>
      </w:r>
      <w:r>
        <w:t xml:space="preserve"> </w:t>
      </w:r>
      <w:r>
        <w:t xml:space="preserve">any draft carries it.</w:t>
      </w:r>
    </w:p>
    <w:p>
      <w:r>
        <w:pict>
          <v:rect style="width:0;height:1.5pt" o:hralign="center" o:hrstd="t" o:hr="t"/>
        </w:pict>
      </w:r>
    </w:p>
    <w:bookmarkEnd w:id="83"/>
    <w:bookmarkStart w:id="84" w:name="X7d0b4f0a8968b38a9c7c217cba04f4d77b45708"/>
    <w:p>
      <w:pPr>
        <w:pStyle w:val="Heading2"/>
      </w:pPr>
      <w:r>
        <w:t xml:space="preserve">12. IBM, 1956/1969 [PRIMARIES NOT IN CORPUS — [UNVERIFIED — RETRIEVAL]]</w:t>
      </w:r>
    </w:p>
    <w:p>
      <w:pPr>
        <w:pStyle w:val="FirstParagraph"/>
      </w:pPr>
      <w:r>
        <w:t xml:space="preserve">Neither the 1956 consent decree (patent licensing; sale as well as</w:t>
      </w:r>
      <w:r>
        <w:t xml:space="preserve"> </w:t>
      </w:r>
      <w:r>
        <w:t xml:space="preserve">lease) nor the 1969-case materials and 1982 dismissal are in corpus</w:t>
      </w:r>
      <w:r>
        <w:t xml:space="preserve"> </w:t>
      </w:r>
      <w:r>
        <w:t xml:space="preserve">(retrieval-master rows; the DOJ’s 1996 modification memorandum</w:t>
      </w:r>
      <w:r>
        <w:t xml:space="preserve"> </w:t>
      </w:r>
      <w:r>
        <w:t xml:space="preserve">recites the decree and is the open route). Nothing asserted — and</w:t>
      </w:r>
      <w:r>
        <w:t xml:space="preserve"> </w:t>
      </w:r>
      <w:r>
        <w:t xml:space="preserve">the playbook’s own causation caveat (unbundling</w:t>
      </w:r>
      <w:r>
        <w:t xml:space="preserve"> </w:t>
      </w:r>
      <w:r>
        <w:t xml:space="preserve">“</w:t>
      </w:r>
      <w:r>
        <w:t xml:space="preserve">reflected</w:t>
      </w:r>
      <w:r>
        <w:t xml:space="preserve"> </w:t>
      </w:r>
      <w:r>
        <w:t xml:space="preserve">litigation pressure, customer demand, and technological change</w:t>
      </w:r>
      <w:r>
        <w:t xml:space="preserve">”</w:t>
      </w:r>
      <w:r>
        <w:t xml:space="preserve">) is</w:t>
      </w:r>
      <w:r>
        <w:t xml:space="preserve"> </w:t>
      </w:r>
      <w:r>
        <w:t xml:space="preserve">recorded as a discipline on any future use, not as a finding.</w:t>
      </w:r>
    </w:p>
    <w:bookmarkEnd w:id="84"/>
    <w:bookmarkStart w:id="85" w:name="X5d0bf2ad0997769f76a14e8fa130e8b200b7148"/>
    <w:p>
      <w:pPr>
        <w:pStyle w:val="Heading2"/>
      </w:pPr>
      <w:r>
        <w:t xml:space="preserve">13. Microsoft, 2001–02 [T1 IN CORPUS: 253 F.3d 34; Final Judgment, D.D.C., 12 Nov 2002]</w:t>
      </w:r>
    </w:p>
    <w:p>
      <w:pPr>
        <w:pStyle w:val="FirstParagraph"/>
      </w:pPr>
      <w:r>
        <w:rPr>
          <w:bCs/>
          <w:b/>
        </w:rPr>
        <w:t xml:space="preserve">Dependency.</w:t>
      </w:r>
      <w:r>
        <w:t xml:space="preserve"> </w:t>
      </w:r>
      <w:r>
        <w:t xml:space="preserve">The OEM distribution channel and the middleware/API</w:t>
      </w:r>
      <w:r>
        <w:t xml:space="preserve"> </w:t>
      </w:r>
      <w:r>
        <w:t xml:space="preserve">layer protecting the operating-system monopoly (&gt;95% share; the</w:t>
      </w:r>
      <w:r>
        <w:t xml:space="preserve"> </w:t>
      </w:r>
      <w:r>
        <w:t xml:space="preserve">applications barrier to entry — liability</w:t>
      </w:r>
      <w:r>
        <w:t xml:space="preserve"> </w:t>
      </w:r>
      <w:r>
        <w:t xml:space="preserve">“</w:t>
      </w:r>
      <w:r>
        <w:t xml:space="preserve">in its entirety</w:t>
      </w:r>
      <w:r>
        <w:t xml:space="preserve">”</w:t>
      </w:r>
      <w:r>
        <w:t xml:space="preserve"> </w:t>
      </w:r>
      <w:r>
        <w:t xml:space="preserve">on</w:t>
      </w:r>
      <w:r>
        <w:t xml:space="preserve"> </w:t>
      </w:r>
      <w:r>
        <w:t xml:space="preserve">monopoly power, 253 F.3d at *51).</w:t>
      </w:r>
    </w:p>
    <w:p>
      <w:pPr>
        <w:pStyle w:val="BodyText"/>
      </w:pPr>
      <w:r>
        <w:rPr>
          <w:bCs/>
          <w:b/>
        </w:rPr>
        <w:t xml:space="preserve">Instrument.</w:t>
      </w:r>
      <w:r>
        <w:t xml:space="preserve"> </w:t>
      </w:r>
      <w:r>
        <w:t xml:space="preserve">Litigated Sherman §2 monopoly-maintenance liability,</w:t>
      </w:r>
      <w:r>
        <w:t xml:space="preserve"> </w:t>
      </w:r>
      <w:r>
        <w:t xml:space="preserve">affirmed (</w:t>
      </w:r>
      <w:r>
        <w:rPr>
          <w:iCs/>
          <w:i/>
        </w:rPr>
        <w:t xml:space="preserve">46); the district court’s two-way BREAKUP VACATED for</w:t>
      </w:r>
      <w:r>
        <w:rPr>
          <w:iCs/>
          <w:i/>
        </w:rPr>
        <w:t xml:space="preserve"> </w:t>
      </w:r>
      <w:r>
        <w:rPr>
          <w:iCs/>
          <w:i/>
        </w:rPr>
        <w:t xml:space="preserve">three stated reasons — no evidentiary hearing, inadequate reasons,</w:t>
      </w:r>
      <w:r>
        <w:rPr>
          <w:iCs/>
          <w:i/>
        </w:rPr>
        <w:t xml:space="preserve"> </w:t>
      </w:r>
      <w:r>
        <w:rPr>
          <w:iCs/>
          <w:i/>
        </w:rPr>
        <w:t xml:space="preserve">“</w:t>
      </w:r>
      <w:r>
        <w:rPr>
          <w:iCs/>
          <w:i/>
        </w:rPr>
        <w:t xml:space="preserve">we have drastically altered the scope of Microsoft’s liability</w:t>
      </w:r>
      <w:r>
        <w:rPr>
          <w:iCs/>
          <w:i/>
        </w:rPr>
        <w:t xml:space="preserve">”</w:t>
      </w:r>
      <w:r>
        <w:rPr>
          <w:iCs/>
          <w:i/>
        </w:rPr>
        <w:t xml:space="preserve"> </w:t>
      </w:r>
      <w:r>
        <w:rPr>
          <w:iCs/>
          <w:i/>
        </w:rPr>
        <w:t xml:space="preserve">(</w:t>
      </w:r>
      <w:r>
        <w:t xml:space="preserve">107) — with the structural-remedy caution (</w:t>
      </w:r>
      <w:r>
        <w:t xml:space="preserve">“</w:t>
      </w:r>
      <w:r>
        <w:t xml:space="preserve">divestiture is a</w:t>
      </w:r>
      <w:r>
        <w:t xml:space="preserve"> </w:t>
      </w:r>
      <w:r>
        <w:t xml:space="preserve">remedy that is imposed only with great caution,</w:t>
      </w:r>
      <w:r>
        <w:t xml:space="preserve">”</w:t>
      </w:r>
      <w:r>
        <w:t xml:space="preserve"> </w:t>
      </w:r>
      <w:r>
        <w:rPr>
          <w:iCs/>
          <w:i/>
        </w:rPr>
        <w:t xml:space="preserve">80) and the tempo</w:t>
      </w:r>
      <w:r>
        <w:rPr>
          <w:iCs/>
          <w:i/>
        </w:rPr>
        <w:t xml:space="preserve"> </w:t>
      </w:r>
      <w:r>
        <w:rPr>
          <w:iCs/>
          <w:i/>
        </w:rPr>
        <w:t xml:space="preserve">warning (</w:t>
      </w:r>
      <w:r>
        <w:t xml:space="preserve">49):</w:t>
      </w:r>
      <w:r>
        <w:t xml:space="preserve"> </w:t>
      </w:r>
      <w:r>
        <w:t xml:space="preserve">“</w:t>
      </w:r>
      <w:r>
        <w:t xml:space="preserve">six years seems like an eternity in the computer</w:t>
      </w:r>
      <w:r>
        <w:t xml:space="preserve"> </w:t>
      </w:r>
      <w:r>
        <w:t xml:space="preserve">industry. By the time a court can assess liability, firms,</w:t>
      </w:r>
      <w:r>
        <w:t xml:space="preserve"> </w:t>
      </w:r>
      <w:r>
        <w:t xml:space="preserve">products, and the marketplace are likely to have changed</w:t>
      </w:r>
      <w:r>
        <w:t xml:space="preserve"> </w:t>
      </w:r>
      <w:r>
        <w:t xml:space="preserve">dramatically.</w:t>
      </w:r>
      <w:r>
        <w:t xml:space="preserve">”</w:t>
      </w:r>
      <w:r>
        <w:t xml:space="preserve"> </w:t>
      </w:r>
      <w:r>
        <w:t xml:space="preserve">Then the 2002 consent Final Judgment, conduct only:</w:t>
      </w:r>
      <w:r>
        <w:t xml:space="preserve"> </w:t>
      </w:r>
      <w:r>
        <w:t xml:space="preserve">§III.E compulsory communications-protocol licensing</w:t>
      </w:r>
      <w:r>
        <w:t xml:space="preserve"> </w:t>
      </w:r>
      <w:r>
        <w:t xml:space="preserve">“</w:t>
      </w:r>
      <w:r>
        <w:t xml:space="preserve">on reasonable</w:t>
      </w:r>
      <w:r>
        <w:t xml:space="preserve"> </w:t>
      </w:r>
      <w:r>
        <w:t xml:space="preserve">and non-discriminatory terms</w:t>
      </w:r>
      <w:r>
        <w:t xml:space="preserve">”</w:t>
      </w:r>
      <w:r>
        <w:t xml:space="preserve">; §III.D API disclosure; §III.H</w:t>
      </w:r>
      <w:r>
        <w:t xml:space="preserve"> </w:t>
      </w:r>
      <w:r>
        <w:t xml:space="preserve">end-user/OEM freedom to remove Microsoft middleware and designate</w:t>
      </w:r>
      <w:r>
        <w:t xml:space="preserve"> </w:t>
      </w:r>
      <w:r>
        <w:t xml:space="preserve">rivals’ defaults; §§III.A/F anti-retaliation; §III.G</w:t>
      </w:r>
      <w:r>
        <w:t xml:space="preserve"> </w:t>
      </w:r>
      <w:r>
        <w:t xml:space="preserve">exclusive-dealing ban; §IV.B a three-expert Technical Committee; §V</w:t>
      </w:r>
      <w:r>
        <w:t xml:space="preserve"> </w:t>
      </w:r>
      <w:r>
        <w:t xml:space="preserve">a five-year term. The extraction confirms:</w:t>
      </w:r>
      <w:r>
        <w:t xml:space="preserve"> </w:t>
      </w:r>
      <w:r>
        <w:t xml:space="preserve">“</w:t>
      </w:r>
      <w:r>
        <w:t xml:space="preserve">no divestiture,</w:t>
      </w:r>
      <w:r>
        <w:t xml:space="preserve"> </w:t>
      </w:r>
      <w:r>
        <w:t xml:space="preserve">break-up, spin-off, or structural reorganisation provision anywhere</w:t>
      </w:r>
      <w:r>
        <w:t xml:space="preserve"> </w:t>
      </w:r>
      <w:r>
        <w:t xml:space="preserve">in the Final Judgment.</w:t>
      </w:r>
      <w:r>
        <w:t xml:space="preserve">”</w:t>
      </w:r>
    </w:p>
    <w:p>
      <w:pPr>
        <w:pStyle w:val="BodyText"/>
      </w:pPr>
      <w:r>
        <w:rPr>
          <w:bCs/>
          <w:b/>
        </w:rPr>
        <w:t xml:space="preserve">Severed / left.</w:t>
      </w:r>
      <w:r>
        <w:t xml:space="preserve"> </w:t>
      </w:r>
      <w:r>
        <w:t xml:space="preserve">Severed: the closed interface and the</w:t>
      </w:r>
      <w:r>
        <w:t xml:space="preserve"> </w:t>
      </w:r>
      <w:r>
        <w:t xml:space="preserve">distribution chokehold — temporarily (five years) and by conduct</w:t>
      </w:r>
      <w:r>
        <w:t xml:space="preserve"> </w:t>
      </w:r>
      <w:r>
        <w:t xml:space="preserve">rule, not by ownership change. Left: Windows whole, the company</w:t>
      </w:r>
      <w:r>
        <w:t xml:space="preserve"> </w:t>
      </w:r>
      <w:r>
        <w:t xml:space="preserve">intact, the fortune untouched.</w:t>
      </w:r>
      <w:r>
        <w:t xml:space="preserve"> </w:t>
      </w:r>
      <w:r>
        <w:rPr>
          <w:bCs/>
          <w:b/>
        </w:rPr>
        <w:t xml:space="preserve">Fortune:</w:t>
      </w:r>
      <w:r>
        <w:t xml:space="preserve"> </w:t>
      </w:r>
      <w:r>
        <w:t xml:space="preserve">not addressed at T1;</w:t>
      </w:r>
      <w:r>
        <w:t xml:space="preserve"> </w:t>
      </w:r>
      <w:r>
        <w:t xml:space="preserve">[UNVERIFIED — RETRIEVAL] — though the decree’s non-structural form</w:t>
      </w:r>
      <w:r>
        <w:t xml:space="preserve"> </w:t>
      </w:r>
      <w:r>
        <w:t xml:space="preserve">makes the inference trivial, the column stays honest.</w:t>
      </w:r>
    </w:p>
    <w:p>
      <w:pPr>
        <w:pStyle w:val="BodyText"/>
      </w:pPr>
      <w:r>
        <w:rPr>
          <w:bCs/>
          <w:b/>
        </w:rPr>
        <w:t xml:space="preserve">Sequence — the counter-lag case.</w:t>
      </w:r>
      <w:r>
        <w:t xml:space="preserve"> </w:t>
      </w:r>
      <w:r>
        <w:t xml:space="preserve">Structure was attempted FIRST</w:t>
      </w:r>
      <w:r>
        <w:t xml:space="preserve"> </w:t>
      </w:r>
      <w:r>
        <w:t xml:space="preserve">(the 2000 breakup order) and abandoned at the threshold; conduct</w:t>
      </w:r>
      <w:r>
        <w:t xml:space="preserve"> </w:t>
      </w:r>
      <w:r>
        <w:t xml:space="preserve">remedies replaced it. Where AT&amp;T’s court reached structure after</w:t>
      </w:r>
      <w:r>
        <w:t xml:space="preserve"> </w:t>
      </w:r>
      <w:r>
        <w:t xml:space="preserve">regulation demonstrably failed, Microsoft’s court retreated from</w:t>
      </w:r>
      <w:r>
        <w:t xml:space="preserve"> </w:t>
      </w:r>
      <w:r>
        <w:t xml:space="preserve">structure to conduct because the market’s tempo outran the</w:t>
      </w:r>
      <w:r>
        <w:t xml:space="preserve"> </w:t>
      </w:r>
      <w:r>
        <w:t xml:space="preserve">litigation’s. The one verified case where the republic blinked at</w:t>
      </w:r>
      <w:r>
        <w:t xml:space="preserve"> </w:t>
      </w:r>
      <w:r>
        <w:t xml:space="preserve">the structural act — load-bearing for the Parrott engagement</w:t>
      </w:r>
      <w:r>
        <w:t xml:space="preserve"> </w:t>
      </w:r>
      <w:r>
        <w:t xml:space="preserve">(critiques.md, this date).</w:t>
      </w:r>
    </w:p>
    <w:p>
      <w:r>
        <w:pict>
          <v:rect style="width:0;height:1.5pt" o:hralign="center" o:hrstd="t" o:hr="t"/>
        </w:pict>
      </w:r>
    </w:p>
    <w:bookmarkEnd w:id="85"/>
    <w:bookmarkStart w:id="86" w:name="Xb50964d381f7de83f0ba985aa0e59d41de9e3ee"/>
    <w:p>
      <w:pPr>
        <w:pStyle w:val="Heading2"/>
      </w:pPr>
      <w:r>
        <w:t xml:space="preserve">Instruments beyond the cases [T1 IN CORPUS]</w:t>
      </w:r>
    </w:p>
    <w:p>
      <w:pPr>
        <w:pStyle w:val="FirstParagraph"/>
      </w:pPr>
      <w:r>
        <w:t xml:space="preserve">Two toolkit statutes verified for the mirror table:</w:t>
      </w:r>
      <w:r>
        <w:t xml:space="preserve"> </w:t>
      </w:r>
      <w:r>
        <w:rPr>
          <w:bCs/>
          <w:b/>
        </w:rPr>
        <w:t xml:space="preserve">HSR 1976</w:t>
      </w:r>
      <w:r>
        <w:t xml:space="preserve"> </w:t>
      </w:r>
      <w:r>
        <w:t xml:space="preserve">(90</w:t>
      </w:r>
      <w:r>
        <w:t xml:space="preserve"> </w:t>
      </w:r>
      <w:r>
        <w:t xml:space="preserve">Stat. 1383, approved 30 September 1976) — §7A pure</w:t>
      </w:r>
      <w:r>
        <w:t xml:space="preserve"> </w:t>
      </w:r>
      <w:r>
        <w:t xml:space="preserve">notice-and-waiting machinery (</w:t>
      </w:r>
      <w:r>
        <w:t xml:space="preserve">“</w:t>
      </w:r>
      <w:r>
        <w:t xml:space="preserve">no person shall acquire… unless both</w:t>
      </w:r>
      <w:r>
        <w:t xml:space="preserve"> </w:t>
      </w:r>
      <w:r>
        <w:t xml:space="preserve">persons… file notification… and the waiting period… has expired</w:t>
      </w:r>
      <w:r>
        <w:t xml:space="preserve">”</w:t>
      </w:r>
      <w:r>
        <w:t xml:space="preserve">;</w:t>
      </w:r>
      <w:r>
        <w:t xml:space="preserve"> </w:t>
      </w:r>
      <w:r>
        <w:t xml:space="preserve">30 days, 15 for cash tenders; filings to FTC and DOJ jointly;</w:t>
      </w:r>
      <w:r>
        <w:t xml:space="preserve"> </w:t>
      </w:r>
      <w:r>
        <w:t xml:space="preserve">prohibits nothing substantively — the gate before consolidation).</w:t>
      </w:r>
      <w:r>
        <w:t xml:space="preserve"> </w:t>
      </w:r>
      <w:r>
        <w:rPr>
          <w:bCs/>
          <w:b/>
        </w:rPr>
        <w:t xml:space="preserve">Telecommunications Act 1996</w:t>
      </w:r>
      <w:r>
        <w:t xml:space="preserve"> </w:t>
      </w:r>
      <w:r>
        <w:t xml:space="preserve">(approved 8 February 1996) — §251(c)(3):</w:t>
      </w:r>
      <w:r>
        <w:t xml:space="preserve"> </w:t>
      </w:r>
      <w:r>
        <w:t xml:space="preserve">“</w:t>
      </w:r>
      <w:r>
        <w:t xml:space="preserve">nondiscriminatory access to network elements on an unbundled basis</w:t>
      </w:r>
      <w:r>
        <w:t xml:space="preserve"> </w:t>
      </w:r>
      <w:r>
        <w:t xml:space="preserve">at any technically feasible point on rates, terms, and conditions</w:t>
      </w:r>
      <w:r>
        <w:t xml:space="preserve"> </w:t>
      </w:r>
      <w:r>
        <w:t xml:space="preserve">that are just, reasonable, and nondiscriminatory…</w:t>
      </w:r>
      <w:r>
        <w:t xml:space="preserve">”</w:t>
      </w:r>
      <w:r>
        <w:t xml:space="preserve"> </w:t>
      </w:r>
      <w:r>
        <w:t xml:space="preserve">— access</w:t>
      </w:r>
      <w:r>
        <w:t xml:space="preserve"> </w:t>
      </w:r>
      <w:r>
        <w:t xml:space="preserve">mandated, ownership intact (the statute’s own possessives locate</w:t>
      </w:r>
      <w:r>
        <w:t xml:space="preserve"> </w:t>
      </w:r>
      <w:r>
        <w:t xml:space="preserve">every element in the incumbent).</w:t>
      </w:r>
    </w:p>
    <w:p>
      <w:r>
        <w:pict>
          <v:rect style="width:0;height:1.5pt" o:hralign="center" o:hrstd="t" o:hr="t"/>
        </w:pict>
      </w:r>
    </w:p>
    <w:bookmarkEnd w:id="86"/>
    <w:bookmarkStart w:id="87" w:name="table-1-the-pattern"/>
    <w:p>
      <w:pPr>
        <w:pStyle w:val="Heading2"/>
      </w:pPr>
      <w:r>
        <w:t xml:space="preserve">TABLE 1 — The pattern</w:t>
      </w:r>
    </w:p>
    <w:p>
      <w:pPr>
        <w:pStyle w:val="FirstParagraph"/>
      </w:pPr>
      <w:r>
        <w:t xml:space="preserve">Bracketed rows rest on primaries not yet in corpus.</w:t>
      </w:r>
      <w:r>
        <w:t xml:space="preserve"> </w:t>
      </w:r>
      <w:r>
        <w:t xml:space="preserve">“</w:t>
      </w:r>
      <w:r>
        <w:t xml:space="preserve">Lag</w:t>
      </w:r>
      <w:r>
        <w:t xml:space="preserve">”</w:t>
      </w:r>
      <w:r>
        <w:t xml:space="preserve"> </w:t>
      </w:r>
      <w:r>
        <w:t xml:space="preserve">= position</w:t>
      </w:r>
      <w:r>
        <w:t xml:space="preserve"> </w:t>
      </w:r>
      <w:r>
        <w:t xml:space="preserve">of switch-regulation relative to the structural act.</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Case</w:t>
            </w:r>
          </w:p>
        </w:tc>
        <w:tc>
          <w:tcPr/>
          <w:p>
            <w:pPr>
              <w:pStyle w:val="Compact"/>
              <w:jc w:val="left"/>
            </w:pPr>
            <w:r>
              <w:t xml:space="preserve">Dependency</w:t>
            </w:r>
          </w:p>
        </w:tc>
        <w:tc>
          <w:tcPr/>
          <w:p>
            <w:pPr>
              <w:pStyle w:val="Compact"/>
              <w:jc w:val="left"/>
            </w:pPr>
            <w:r>
              <w:t xml:space="preserve">Instrument</w:t>
            </w:r>
          </w:p>
        </w:tc>
        <w:tc>
          <w:tcPr/>
          <w:p>
            <w:pPr>
              <w:pStyle w:val="Compact"/>
              <w:jc w:val="left"/>
            </w:pPr>
            <w:r>
              <w:t xml:space="preserve">Severed</w:t>
            </w:r>
          </w:p>
        </w:tc>
        <w:tc>
          <w:tcPr/>
          <w:p>
            <w:pPr>
              <w:pStyle w:val="Compact"/>
              <w:jc w:val="left"/>
            </w:pPr>
            <w:r>
              <w:t xml:space="preserve">Left with owners</w:t>
            </w:r>
          </w:p>
        </w:tc>
        <w:tc>
          <w:tcPr/>
          <w:p>
            <w:pPr>
              <w:pStyle w:val="Compact"/>
              <w:jc w:val="left"/>
            </w:pPr>
            <w:r>
              <w:t xml:space="preserve">Fortune kept?</w:t>
            </w:r>
          </w:p>
        </w:tc>
        <w:tc>
          <w:tcPr/>
          <w:p>
            <w:pPr>
              <w:pStyle w:val="Compact"/>
              <w:jc w:val="left"/>
            </w:pPr>
            <w:r>
              <w:t xml:space="preserve">Lag/sequence</w:t>
            </w:r>
          </w:p>
        </w:tc>
      </w:tr>
      <w:tr>
        <w:tc>
          <w:tcPr/>
          <w:p>
            <w:pPr>
              <w:pStyle w:val="Compact"/>
              <w:jc w:val="left"/>
            </w:pPr>
            <w:r>
              <w:t xml:space="preserve">Railroads 1887/1906</w:t>
            </w:r>
          </w:p>
        </w:tc>
        <w:tc>
          <w:tcPr/>
          <w:p>
            <w:pPr>
              <w:pStyle w:val="Compact"/>
              <w:jc w:val="left"/>
            </w:pPr>
            <w:r>
              <w:t xml:space="preserve">rate/access discretion</w:t>
            </w:r>
          </w:p>
        </w:tc>
        <w:tc>
          <w:tcPr/>
          <w:p>
            <w:pPr>
              <w:pStyle w:val="Compact"/>
              <w:jc w:val="left"/>
            </w:pPr>
            <w:r>
              <w:t xml:space="preserve">common carriage; rate regulation; standing commission; (1908) commodities clause</w:t>
            </w:r>
          </w:p>
        </w:tc>
        <w:tc>
          <w:tcPr/>
          <w:p>
            <w:pPr>
              <w:pStyle w:val="Compact"/>
              <w:jc w:val="left"/>
            </w:pPr>
            <w:r>
              <w:t xml:space="preserve">tariff discretion; carriage of own goods</w:t>
            </w:r>
          </w:p>
        </w:tc>
        <w:tc>
          <w:tcPr/>
          <w:p>
            <w:pPr>
              <w:pStyle w:val="Compact"/>
              <w:jc w:val="left"/>
            </w:pPr>
            <w:r>
              <w:t xml:space="preserve">roads, revenues</w:t>
            </w:r>
          </w:p>
        </w:tc>
        <w:tc>
          <w:tcPr/>
          <w:p>
            <w:pPr>
              <w:pStyle w:val="Compact"/>
              <w:jc w:val="left"/>
            </w:pPr>
            <w:r>
              <w:t xml:space="preserve">not addressed [UNVERIFIED]</w:t>
            </w:r>
          </w:p>
        </w:tc>
        <w:tc>
          <w:tcPr/>
          <w:p>
            <w:pPr>
              <w:pStyle w:val="Compact"/>
              <w:jc w:val="left"/>
            </w:pPr>
            <w:r>
              <w:t xml:space="preserve">regulation only — no structural act; opens the series</w:t>
            </w:r>
          </w:p>
        </w:tc>
      </w:tr>
      <w:tr>
        <w:tc>
          <w:tcPr/>
          <w:p>
            <w:pPr>
              <w:pStyle w:val="Compact"/>
              <w:jc w:val="left"/>
            </w:pPr>
            <w:r>
              <w:t xml:space="preserve">Standard Oil 1911</w:t>
            </w:r>
          </w:p>
        </w:tc>
        <w:tc>
          <w:tcPr/>
          <w:p>
            <w:pPr>
              <w:pStyle w:val="Compact"/>
              <w:jc w:val="left"/>
            </w:pPr>
            <w:r>
              <w:t xml:space="preserve">unified command of oil system</w:t>
            </w:r>
          </w:p>
        </w:tc>
        <w:tc>
          <w:tcPr/>
          <w:p>
            <w:pPr>
              <w:pStyle w:val="Compact"/>
              <w:jc w:val="left"/>
            </w:pPr>
            <w:r>
              <w:t xml:space="preserve">Sherman dissolution decree</w:t>
            </w:r>
          </w:p>
        </w:tc>
        <w:tc>
          <w:tcPr/>
          <w:p>
            <w:pPr>
              <w:pStyle w:val="Compact"/>
              <w:jc w:val="left"/>
            </w:pPr>
            <w:r>
              <w:t xml:space="preserve">holding-company command; recombination</w:t>
            </w:r>
          </w:p>
        </w:tc>
        <w:tc>
          <w:tcPr/>
          <w:p>
            <w:pPr>
              <w:pStyle w:val="Compact"/>
              <w:jc w:val="left"/>
            </w:pPr>
            <w:r>
              <w:t xml:space="preserve">shares pro rata; plant; carriage coordination</w:t>
            </w:r>
          </w:p>
        </w:tc>
        <w:tc>
          <w:tcPr/>
          <w:p>
            <w:pPr>
              <w:pStyle w:val="Compact"/>
              <w:jc w:val="left"/>
            </w:pPr>
            <w:r>
              <w:t xml:space="preserve">control side T1 yes; wealth side [UNVERIFIED: Chernow/Yergin]</w:t>
            </w:r>
          </w:p>
        </w:tc>
        <w:tc>
          <w:tcPr/>
          <w:p>
            <w:pPr>
              <w:pStyle w:val="Compact"/>
              <w:jc w:val="left"/>
            </w:pPr>
            <w:r>
              <w:t xml:space="preserve">carriage regulation PRECEDES (Hepburn 1906); off-switch built 1906–77</w:t>
            </w:r>
          </w:p>
        </w:tc>
      </w:tr>
      <w:tr>
        <w:tc>
          <w:tcPr/>
          <w:p>
            <w:pPr>
              <w:pStyle w:val="Compact"/>
              <w:jc w:val="left"/>
            </w:pPr>
            <w:r>
              <w:t xml:space="preserve">Money Trust 1913–14</w:t>
            </w:r>
          </w:p>
        </w:tc>
        <w:tc>
          <w:tcPr/>
          <w:p>
            <w:pPr>
              <w:pStyle w:val="Compact"/>
              <w:jc w:val="left"/>
            </w:pPr>
            <w:r>
              <w:t xml:space="preserve">credit/governance network</w:t>
            </w:r>
          </w:p>
        </w:tc>
        <w:tc>
          <w:tcPr/>
          <w:p>
            <w:pPr>
              <w:pStyle w:val="Compact"/>
              <w:jc w:val="left"/>
            </w:pPr>
            <w:r>
              <w:t xml:space="preserve">public institution [Fed — UNVERIFIED] + interlock ban (Clayton §8) + standing FTC</w:t>
            </w:r>
          </w:p>
        </w:tc>
        <w:tc>
          <w:tcPr/>
          <w:p>
            <w:pPr>
              <w:pStyle w:val="Compact"/>
              <w:jc w:val="left"/>
            </w:pPr>
            <w:r>
              <w:t xml:space="preserve">board-seat coordination; stock route (§7)</w:t>
            </w:r>
          </w:p>
        </w:tc>
        <w:tc>
          <w:tcPr/>
          <w:p>
            <w:pPr>
              <w:pStyle w:val="Compact"/>
              <w:jc w:val="left"/>
            </w:pPr>
            <w:r>
              <w:t xml:space="preserve">banks, capital</w:t>
            </w:r>
          </w:p>
        </w:tc>
        <w:tc>
          <w:tcPr/>
          <w:p>
            <w:pPr>
              <w:pStyle w:val="Compact"/>
              <w:jc w:val="left"/>
            </w:pPr>
            <w:r>
              <w:t xml:space="preserve">[UNVERIFIED]</w:t>
            </w:r>
          </w:p>
        </w:tc>
        <w:tc>
          <w:tcPr/>
          <w:p>
            <w:pPr>
              <w:pStyle w:val="Compact"/>
              <w:jc w:val="left"/>
            </w:pPr>
            <w:r>
              <w:t xml:space="preserve">regulation REPLACES structure — none ever ordered</w:t>
            </w:r>
          </w:p>
        </w:tc>
      </w:tr>
      <w:tr>
        <w:tc>
          <w:tcPr/>
          <w:p>
            <w:pPr>
              <w:pStyle w:val="Compact"/>
              <w:jc w:val="left"/>
            </w:pPr>
            <w:r>
              <w:t xml:space="preserve">Glass–Steagall 1933</w:t>
            </w:r>
          </w:p>
        </w:tc>
        <w:tc>
          <w:tcPr/>
          <w:p>
            <w:pPr>
              <w:pStyle w:val="Compact"/>
              <w:jc w:val="left"/>
            </w:pPr>
            <w:r>
              <w:t xml:space="preserve">universal bank</w:t>
            </w:r>
          </w:p>
        </w:tc>
        <w:tc>
          <w:tcPr/>
          <w:p>
            <w:pPr>
              <w:pStyle w:val="Compact"/>
              <w:jc w:val="left"/>
            </w:pPr>
            <w:r>
              <w:t xml:space="preserve">line-of-business firebreak by statute (§§16/20/21/32)</w:t>
            </w:r>
          </w:p>
        </w:tc>
        <w:tc>
          <w:tcPr/>
          <w:p>
            <w:pPr>
              <w:pStyle w:val="Compact"/>
              <w:jc w:val="left"/>
            </w:pPr>
            <w:r>
              <w:t xml:space="preserve">the combination (owners choose sides in 1 yr)</w:t>
            </w:r>
          </w:p>
        </w:tc>
        <w:tc>
          <w:tcPr/>
          <w:p>
            <w:pPr>
              <w:pStyle w:val="Compact"/>
              <w:jc w:val="left"/>
            </w:pPr>
            <w:r>
              <w:t xml:space="preserve">equity; either business</w:t>
            </w:r>
          </w:p>
        </w:tc>
        <w:tc>
          <w:tcPr/>
          <w:p>
            <w:pPr>
              <w:pStyle w:val="Compact"/>
              <w:jc w:val="left"/>
            </w:pPr>
            <w:r>
              <w:t xml:space="preserve">[UNVERIFIED]</w:t>
            </w:r>
          </w:p>
        </w:tc>
        <w:tc>
          <w:tcPr/>
          <w:p>
            <w:pPr>
              <w:pStyle w:val="Compact"/>
              <w:jc w:val="left"/>
            </w:pPr>
            <w:r>
              <w:t xml:space="preserve">supervision (1913 system) precedes; firebreak enforced through it</w:t>
            </w:r>
          </w:p>
        </w:tc>
      </w:tr>
      <w:tr>
        <w:tc>
          <w:tcPr/>
          <w:p>
            <w:pPr>
              <w:pStyle w:val="Compact"/>
              <w:jc w:val="left"/>
            </w:pPr>
            <w:r>
              <w:t xml:space="preserve">[PUHCA/Insull 1935]</w:t>
            </w:r>
          </w:p>
        </w:tc>
        <w:tc>
          <w:tcPr/>
          <w:p>
            <w:pPr>
              <w:pStyle w:val="Compact"/>
              <w:jc w:val="left"/>
            </w:pPr>
            <w:r>
              <w:t xml:space="preserve">[pyramidal cross-layer command]</w:t>
            </w:r>
          </w:p>
        </w:tc>
        <w:tc>
          <w:tcPr/>
          <w:p>
            <w:pPr>
              <w:pStyle w:val="Compact"/>
              <w:jc w:val="left"/>
            </w:pPr>
            <w:r>
              <w:t xml:space="preserve">[simplification mandate, SEC]</w:t>
            </w:r>
          </w:p>
        </w:tc>
        <w:tc>
          <w:tcPr/>
          <w:p>
            <w:pPr>
              <w:pStyle w:val="Compact"/>
              <w:jc w:val="left"/>
            </w:pPr>
            <w:r>
              <w:t xml:space="preserve">[UNVERIFIED — RETRIEVAL throughout]</w:t>
            </w:r>
          </w:p>
        </w:tc>
        <w:tc>
          <w:tcPr/>
          <w:p>
            <w:pPr>
              <w:pStyle w:val="Compact"/>
              <w:jc w:val="left"/>
            </w:pPr>
            <w:r>
              <w:t xml:space="preserve">—</w:t>
            </w:r>
          </w:p>
        </w:tc>
        <w:tc>
          <w:tcPr/>
          <w:p>
            <w:pPr>
              <w:pStyle w:val="Compact"/>
              <w:jc w:val="left"/>
            </w:pPr>
            <w:r>
              <w:rPr>
                <w:bCs/>
                <w:b/>
              </w:rPr>
              <w:t xml:space="preserve">the open question</w:t>
            </w:r>
            <w:r>
              <w:t xml:space="preserve">: did Insull’s fortune survive? [UNVERIFIED]</w:t>
            </w:r>
          </w:p>
        </w:tc>
        <w:tc>
          <w:tcPr/>
          <w:p>
            <w:pPr>
              <w:pStyle w:val="Compact"/>
              <w:jc w:val="left"/>
            </w:pPr>
            <w:r>
              <w:t xml:space="preserve">[regulator (SEC, 1934) precedes mandate (1935) — unverified]</w:t>
            </w:r>
          </w:p>
        </w:tc>
      </w:tr>
      <w:tr>
        <w:tc>
          <w:tcPr/>
          <w:p>
            <w:pPr>
              <w:pStyle w:val="Compact"/>
              <w:jc w:val="left"/>
            </w:pPr>
            <w:r>
              <w:t xml:space="preserve">[Packers 1920–21]</w:t>
            </w:r>
          </w:p>
        </w:tc>
        <w:tc>
          <w:tcPr/>
          <w:p>
            <w:pPr>
              <w:pStyle w:val="Compact"/>
              <w:jc w:val="left"/>
            </w:pPr>
            <w:r>
              <w:t xml:space="preserve">[stockyard/adjacency gateways]</w:t>
            </w:r>
          </w:p>
        </w:tc>
        <w:tc>
          <w:tcPr/>
          <w:p>
            <w:pPr>
              <w:pStyle w:val="Compact"/>
              <w:jc w:val="left"/>
            </w:pPr>
            <w:r>
              <w:t xml:space="preserve">[decree exclusion + sector statute]</w:t>
            </w:r>
          </w:p>
        </w:tc>
        <w:tc>
          <w:tcPr/>
          <w:p>
            <w:pPr>
              <w:pStyle w:val="Compact"/>
              <w:jc w:val="left"/>
            </w:pPr>
            <w:r>
              <w:t xml:space="preserve">[UNVERIFIED — RETRIEVAL throughout]</w:t>
            </w:r>
          </w:p>
        </w:tc>
        <w:tc>
          <w:tcPr/>
          <w:p>
            <w:pPr>
              <w:pStyle w:val="Compact"/>
              <w:jc w:val="left"/>
            </w:pPr>
            <w:r>
              <w:t xml:space="preserve">—</w:t>
            </w:r>
          </w:p>
        </w:tc>
        <w:tc>
          <w:tcPr/>
          <w:p>
            <w:pPr>
              <w:pStyle w:val="Compact"/>
              <w:jc w:val="left"/>
            </w:pPr>
            <w:r>
              <w:t xml:space="preserve">[UNVERIFIED]</w:t>
            </w:r>
          </w:p>
        </w:tc>
        <w:tc>
          <w:tcPr/>
          <w:p>
            <w:pPr>
              <w:pStyle w:val="Compact"/>
              <w:jc w:val="left"/>
            </w:pPr>
            <w:r>
              <w:t xml:space="preserve">[conditionally the ONE structure-first case — decree 1920 before statute 1921; verify]</w:t>
            </w:r>
          </w:p>
        </w:tc>
      </w:tr>
      <w:tr>
        <w:tc>
          <w:tcPr/>
          <w:p>
            <w:pPr>
              <w:pStyle w:val="Compact"/>
              <w:jc w:val="left"/>
            </w:pPr>
            <w:r>
              <w:t xml:space="preserve">[RCA 1932]</w:t>
            </w:r>
          </w:p>
        </w:tc>
        <w:tc>
          <w:tcPr/>
          <w:p>
            <w:pPr>
              <w:pStyle w:val="Compact"/>
              <w:jc w:val="left"/>
            </w:pPr>
            <w:r>
              <w:t xml:space="preserve">[cross-ownership + patent pool]</w:t>
            </w:r>
          </w:p>
        </w:tc>
        <w:tc>
          <w:tcPr/>
          <w:p>
            <w:pPr>
              <w:pStyle w:val="Compact"/>
              <w:jc w:val="left"/>
            </w:pPr>
            <w:r>
              <w:t xml:space="preserve">[consent decree divestiture]</w:t>
            </w:r>
          </w:p>
        </w:tc>
        <w:tc>
          <w:tcPr/>
          <w:p>
            <w:pPr>
              <w:pStyle w:val="Compact"/>
              <w:jc w:val="left"/>
            </w:pPr>
            <w:r>
              <w:t xml:space="preserve">[UNVERIFIED — RETRIEVAL throughout]</w:t>
            </w:r>
          </w:p>
        </w:tc>
        <w:tc>
          <w:tcPr/>
          <w:p>
            <w:pPr>
              <w:pStyle w:val="Compact"/>
              <w:jc w:val="left"/>
            </w:pPr>
            <w:r>
              <w:t xml:space="preserve">—</w:t>
            </w:r>
          </w:p>
        </w:tc>
        <w:tc>
          <w:tcPr/>
          <w:p>
            <w:pPr>
              <w:pStyle w:val="Compact"/>
              <w:jc w:val="left"/>
            </w:pPr>
            <w:r>
              <w:t xml:space="preserve">[UNVERIFIED]</w:t>
            </w:r>
          </w:p>
        </w:tc>
        <w:tc>
          <w:tcPr/>
          <w:p>
            <w:pPr>
              <w:pStyle w:val="Compact"/>
              <w:jc w:val="left"/>
            </w:pPr>
            <w:r>
              <w:t xml:space="preserve">[structure 1932 before sector regulator (FCC 1934) — verify]</w:t>
            </w:r>
          </w:p>
        </w:tc>
      </w:tr>
      <w:tr>
        <w:tc>
          <w:tcPr/>
          <w:p>
            <w:pPr>
              <w:pStyle w:val="Compact"/>
              <w:jc w:val="left"/>
            </w:pPr>
            <w:r>
              <w:t xml:space="preserve">Paramount 1948</w:t>
            </w:r>
          </w:p>
        </w:tc>
        <w:tc>
          <w:tcPr/>
          <w:p>
            <w:pPr>
              <w:pStyle w:val="Compact"/>
              <w:jc w:val="left"/>
            </w:pPr>
            <w:r>
              <w:t xml:space="preserve">first-run exhibition bottleneck</w:t>
            </w:r>
          </w:p>
        </w:tc>
        <w:tc>
          <w:tcPr/>
          <w:p>
            <w:pPr>
              <w:pStyle w:val="Compact"/>
              <w:jc w:val="left"/>
            </w:pPr>
            <w:r>
              <w:t xml:space="preserve">Sherman practices injunctions; divestiture remanded (fruits standard); competitive bidding struck</w:t>
            </w:r>
          </w:p>
        </w:tc>
        <w:tc>
          <w:tcPr/>
          <w:p>
            <w:pPr>
              <w:pStyle w:val="Compact"/>
              <w:jc w:val="left"/>
            </w:pPr>
            <w:r>
              <w:t xml:space="preserve">practices only, by this text; theatres by later decrees [UNVERIFIED]</w:t>
            </w:r>
          </w:p>
        </w:tc>
        <w:tc>
          <w:tcPr/>
          <w:p>
            <w:pPr>
              <w:pStyle w:val="Compact"/>
              <w:jc w:val="left"/>
            </w:pPr>
            <w:r>
              <w:t xml:space="preserve">production, distribution, theatres (at 1948)</w:t>
            </w:r>
          </w:p>
        </w:tc>
        <w:tc>
          <w:tcPr/>
          <w:p>
            <w:pPr>
              <w:pStyle w:val="Compact"/>
              <w:jc w:val="left"/>
            </w:pPr>
            <w:r>
              <w:t xml:space="preserve">[UNVERIFIED]</w:t>
            </w:r>
          </w:p>
        </w:tc>
        <w:tc>
          <w:tcPr/>
          <w:p>
            <w:pPr>
              <w:pStyle w:val="Compact"/>
              <w:jc w:val="left"/>
            </w:pPr>
            <w:r>
              <w:t xml:space="preserve">1940 conduct decree precedes; no sector regulator ever; structure post-dates the opinion</w:t>
            </w:r>
          </w:p>
        </w:tc>
      </w:tr>
      <w:tr>
        <w:tc>
          <w:tcPr/>
          <w:p>
            <w:pPr>
              <w:pStyle w:val="Compact"/>
              <w:jc w:val="left"/>
            </w:pPr>
            <w:r>
              <w:t xml:space="preserve">Alcoa 1945</w:t>
            </w:r>
          </w:p>
        </w:tc>
        <w:tc>
          <w:tcPr/>
          <w:p>
            <w:pPr>
              <w:pStyle w:val="Compact"/>
              <w:jc w:val="left"/>
            </w:pPr>
            <w:r>
              <w:t xml:space="preserve">&gt;90% virgin ingot</w:t>
            </w:r>
          </w:p>
        </w:tc>
        <w:tc>
          <w:tcPr/>
          <w:p>
            <w:pPr>
              <w:pStyle w:val="Compact"/>
              <w:jc w:val="left"/>
            </w:pPr>
            <w:r>
              <w:t xml:space="preserve">Sherman §2 liability by structure; dissolution DEFERRED; injunctions only</w:t>
            </w:r>
          </w:p>
        </w:tc>
        <w:tc>
          <w:tcPr/>
          <w:p>
            <w:pPr>
              <w:pStyle w:val="Compact"/>
              <w:jc w:val="left"/>
            </w:pPr>
            <w:r>
              <w:t xml:space="preserve">nothing structural; price squeeze and cartel enjoined</w:t>
            </w:r>
          </w:p>
        </w:tc>
        <w:tc>
          <w:tcPr/>
          <w:p>
            <w:pPr>
              <w:pStyle w:val="Compact"/>
              <w:jc w:val="left"/>
            </w:pPr>
            <w:r>
              <w:t xml:space="preserve">the whole company</w:t>
            </w:r>
          </w:p>
        </w:tc>
        <w:tc>
          <w:tcPr/>
          <w:p>
            <w:pPr>
              <w:pStyle w:val="Compact"/>
              <w:jc w:val="left"/>
            </w:pPr>
            <w:r>
              <w:t xml:space="preserve">untouched by this text</w:t>
            </w:r>
          </w:p>
        </w:tc>
        <w:tc>
          <w:tcPr/>
          <w:p>
            <w:pPr>
              <w:pStyle w:val="Compact"/>
              <w:jc w:val="left"/>
            </w:pPr>
            <w:r>
              <w:t xml:space="preserve">remedy awaited the STATE’S OWN war plants — public capacity as substitute for severance</w:t>
            </w:r>
          </w:p>
        </w:tc>
      </w:tr>
      <w:tr>
        <w:tc>
          <w:tcPr/>
          <w:p>
            <w:pPr>
              <w:pStyle w:val="Compact"/>
              <w:jc w:val="left"/>
            </w:pPr>
            <w:r>
              <w:t xml:space="preserve">DuPont–GM 1957</w:t>
            </w:r>
          </w:p>
        </w:tc>
        <w:tc>
          <w:tcPr/>
          <w:p>
            <w:pPr>
              <w:pStyle w:val="Compact"/>
              <w:jc w:val="left"/>
            </w:pPr>
            <w:r>
              <w:t xml:space="preserve">equity link → preferred access</w:t>
            </w:r>
          </w:p>
        </w:tc>
        <w:tc>
          <w:tcPr/>
          <w:p>
            <w:pPr>
              <w:pStyle w:val="Compact"/>
              <w:jc w:val="left"/>
            </w:pPr>
            <w:r>
              <w:t xml:space="preserve">Clayton §7 reaching a 30-year-old stock position</w:t>
            </w:r>
          </w:p>
        </w:tc>
        <w:tc>
          <w:tcPr/>
          <w:p>
            <w:pPr>
              <w:pStyle w:val="Compact"/>
              <w:jc w:val="left"/>
            </w:pPr>
            <w:r>
              <w:t xml:space="preserve">nothing by this text; divestiture 1961 [UNVERIFIED]</w:t>
            </w:r>
          </w:p>
        </w:tc>
        <w:tc>
          <w:tcPr/>
          <w:p>
            <w:pPr>
              <w:pStyle w:val="Compact"/>
              <w:jc w:val="left"/>
            </w:pPr>
            <w:r>
              <w:t xml:space="preserve">everything (at 1957)</w:t>
            </w:r>
          </w:p>
        </w:tc>
        <w:tc>
          <w:tcPr/>
          <w:p>
            <w:pPr>
              <w:pStyle w:val="Compact"/>
              <w:jc w:val="left"/>
            </w:pPr>
            <w:r>
              <w:t xml:space="preserve">[UNVERIFIED]</w:t>
            </w:r>
          </w:p>
        </w:tc>
        <w:tc>
          <w:tcPr/>
          <w:p>
            <w:pPr>
              <w:pStyle w:val="Compact"/>
              <w:jc w:val="left"/>
            </w:pPr>
            <w:r>
              <w:t xml:space="preserve">gate legislated 1914; acquisition 1917–19; liability 1957; structure later — four-decade lag</w:t>
            </w:r>
          </w:p>
        </w:tc>
      </w:tr>
      <w:tr>
        <w:tc>
          <w:tcPr/>
          <w:p>
            <w:pPr>
              <w:pStyle w:val="Compact"/>
              <w:jc w:val="left"/>
            </w:pPr>
            <w:r>
              <w:t xml:space="preserve">AT&amp;T 1956/1982</w:t>
            </w:r>
          </w:p>
        </w:tc>
        <w:tc>
          <w:tcPr/>
          <w:p>
            <w:pPr>
              <w:pStyle w:val="Compact"/>
              <w:jc w:val="left"/>
            </w:pPr>
            <w:r>
              <w:t xml:space="preserve">local-exchange bottleneck</w:t>
            </w:r>
          </w:p>
        </w:tc>
        <w:tc>
          <w:tcPr/>
          <w:p>
            <w:pPr>
              <w:pStyle w:val="Compact"/>
              <w:jc w:val="left"/>
            </w:pPr>
            <w:r>
              <w:t xml:space="preserve">1956 confinement + patent licensing; 1982 divestiture + BOC quarantine + equal access</w:t>
            </w:r>
          </w:p>
        </w:tc>
        <w:tc>
          <w:tcPr/>
          <w:p>
            <w:pPr>
              <w:pStyle w:val="Compact"/>
              <w:jc w:val="left"/>
            </w:pPr>
            <w:r>
              <w:t xml:space="preserve">the 22 BOCs, spun to shareholders (§I(A)(4))</w:t>
            </w:r>
          </w:p>
        </w:tc>
        <w:tc>
          <w:tcPr/>
          <w:p>
            <w:pPr>
              <w:pStyle w:val="Compact"/>
              <w:jc w:val="left"/>
            </w:pPr>
            <w:r>
              <w:t xml:space="preserve">Long Lines, Western Electric, Bell Labs + new freedoms</w:t>
            </w:r>
          </w:p>
        </w:tc>
        <w:tc>
          <w:tcPr/>
          <w:p>
            <w:pPr>
              <w:pStyle w:val="Compact"/>
              <w:jc w:val="left"/>
            </w:pPr>
            <w:r>
              <w:t xml:space="preserve">wealth mechanism IN the decree at T1 (spin-off to shareholders)</w:t>
            </w:r>
          </w:p>
        </w:tc>
        <w:tc>
          <w:tcPr/>
          <w:p>
            <w:pPr>
              <w:pStyle w:val="Compact"/>
              <w:jc w:val="left"/>
            </w:pPr>
            <w:r>
              <w:t xml:space="preserve">regulation precedes, fails on the record (</w:t>
            </w:r>
            <w:r>
              <w:rPr>
                <w:iCs/>
                <w:i/>
              </w:rPr>
              <w:t xml:space="preserve">168,</w:t>
            </w:r>
            <w:r>
              <w:rPr>
                <w:iCs/>
                <w:i/>
              </w:rPr>
              <w:t xml:space="preserve"> </w:t>
            </w:r>
            <w:r>
              <w:t xml:space="preserve">170); structure follows — the lag thesis verbatim</w:t>
            </w:r>
          </w:p>
        </w:tc>
      </w:tr>
      <w:tr>
        <w:tc>
          <w:tcPr/>
          <w:p>
            <w:pPr>
              <w:pStyle w:val="Compact"/>
              <w:jc w:val="left"/>
            </w:pPr>
            <w:r>
              <w:t xml:space="preserve">[IBM 1956/1969]</w:t>
            </w:r>
          </w:p>
        </w:tc>
        <w:tc>
          <w:tcPr/>
          <w:p>
            <w:pPr>
              <w:pStyle w:val="Compact"/>
              <w:jc w:val="left"/>
            </w:pPr>
            <w:r>
              <w:t xml:space="preserve">[tying; closed interfaces; patents]</w:t>
            </w:r>
          </w:p>
        </w:tc>
        <w:tc>
          <w:tcPr/>
          <w:p>
            <w:pPr>
              <w:pStyle w:val="Compact"/>
              <w:jc w:val="left"/>
            </w:pPr>
            <w:r>
              <w:t xml:space="preserve">[decree licensing; unbundling]</w:t>
            </w:r>
          </w:p>
        </w:tc>
        <w:tc>
          <w:tcPr/>
          <w:p>
            <w:pPr>
              <w:pStyle w:val="Compact"/>
              <w:jc w:val="left"/>
            </w:pPr>
            <w:r>
              <w:t xml:space="preserve">[UNVERIFIED — RETRIEVAL throughout]</w:t>
            </w:r>
          </w:p>
        </w:tc>
        <w:tc>
          <w:tcPr/>
          <w:p>
            <w:pPr>
              <w:pStyle w:val="Compact"/>
              <w:jc w:val="left"/>
            </w:pPr>
            <w:r>
              <w:t xml:space="preserve">—</w:t>
            </w:r>
          </w:p>
        </w:tc>
        <w:tc>
          <w:tcPr/>
          <w:p>
            <w:pPr>
              <w:pStyle w:val="Compact"/>
              <w:jc w:val="left"/>
            </w:pPr>
            <w:r>
              <w:t xml:space="preserve">[UNVERIFIED]</w:t>
            </w:r>
          </w:p>
        </w:tc>
        <w:tc>
          <w:tcPr/>
          <w:p>
            <w:pPr>
              <w:pStyle w:val="Compact"/>
              <w:jc w:val="left"/>
            </w:pPr>
            <w:r>
              <w:t xml:space="preserve">[1956 decree precedes 1969 unbundling — verify; causation caveat recorded]</w:t>
            </w:r>
          </w:p>
        </w:tc>
      </w:tr>
      <w:tr>
        <w:tc>
          <w:tcPr/>
          <w:p>
            <w:pPr>
              <w:pStyle w:val="Compact"/>
              <w:jc w:val="left"/>
            </w:pPr>
            <w:r>
              <w:t xml:space="preserve">Microsoft 2001–02</w:t>
            </w:r>
          </w:p>
        </w:tc>
        <w:tc>
          <w:tcPr/>
          <w:p>
            <w:pPr>
              <w:pStyle w:val="Compact"/>
              <w:jc w:val="left"/>
            </w:pPr>
            <w:r>
              <w:t xml:space="preserve">OEM channel; middleware/API layer</w:t>
            </w:r>
          </w:p>
        </w:tc>
        <w:tc>
          <w:tcPr/>
          <w:p>
            <w:pPr>
              <w:pStyle w:val="Compact"/>
              <w:jc w:val="left"/>
            </w:pPr>
            <w:r>
              <w:t xml:space="preserve">§2 liability; breakup VACATED; 5-yr conduct decree (protocols, APIs, defaults)</w:t>
            </w:r>
          </w:p>
        </w:tc>
        <w:tc>
          <w:tcPr/>
          <w:p>
            <w:pPr>
              <w:pStyle w:val="Compact"/>
              <w:jc w:val="left"/>
            </w:pPr>
            <w:r>
              <w:t xml:space="preserve">closed interfaces, temporarily; no ownership change</w:t>
            </w:r>
          </w:p>
        </w:tc>
        <w:tc>
          <w:tcPr/>
          <w:p>
            <w:pPr>
              <w:pStyle w:val="Compact"/>
              <w:jc w:val="left"/>
            </w:pPr>
            <w:r>
              <w:t xml:space="preserve">Windows whole; the company</w:t>
            </w:r>
          </w:p>
        </w:tc>
        <w:tc>
          <w:tcPr/>
          <w:p>
            <w:pPr>
              <w:pStyle w:val="Compact"/>
              <w:jc w:val="left"/>
            </w:pPr>
            <w:r>
              <w:t xml:space="preserve">[UNVERIFIED at T1; decree form non-structural]</w:t>
            </w:r>
          </w:p>
        </w:tc>
        <w:tc>
          <w:tcPr/>
          <w:p>
            <w:pPr>
              <w:pStyle w:val="Compact"/>
              <w:jc w:val="left"/>
            </w:pPr>
            <w:r>
              <w:t xml:space="preserve">the counter-lag case: structure attempted first, abandoned; conduct replaces it</w:t>
            </w:r>
          </w:p>
        </w:tc>
      </w:tr>
    </w:tbl>
    <w:p>
      <w:pPr>
        <w:pStyle w:val="BodyText"/>
      </w:pPr>
      <w:r>
        <w:rPr>
          <w:bCs/>
          <w:b/>
        </w:rPr>
        <w:t xml:space="preserve">What the verified rows establish (recorded, not resolved):</w:t>
      </w:r>
      <w:r>
        <w:t xml:space="preserve"> </w:t>
      </w:r>
      <w:r>
        <w:t xml:space="preserve">(i)</w:t>
      </w:r>
      <w:r>
        <w:t xml:space="preserve"> </w:t>
      </w:r>
      <w:r>
        <w:t xml:space="preserve">in no verified case does the republic confiscate — every instrument</w:t>
      </w:r>
      <w:r>
        <w:t xml:space="preserve"> </w:t>
      </w:r>
      <w:r>
        <w:t xml:space="preserve">leaves title and severs discretion (the two spin-off decrees,</w:t>
      </w:r>
      <w:r>
        <w:t xml:space="preserve"> </w:t>
      </w:r>
      <w:r>
        <w:t xml:space="preserve">Standard Oil and AT&amp;T, preserve wealth BY DESIGN, in the decree</w:t>
      </w:r>
      <w:r>
        <w:t xml:space="preserve"> </w:t>
      </w:r>
      <w:r>
        <w:t xml:space="preserve">text); (ii) the Standard Oil probe’s lag finding generalises across</w:t>
      </w:r>
      <w:r>
        <w:t xml:space="preserve"> </w:t>
      </w:r>
      <w:r>
        <w:t xml:space="preserve">the verified series in a stronger form: regulation of the switch</w:t>
      </w:r>
      <w:r>
        <w:t xml:space="preserve"> </w:t>
      </w:r>
      <w:r>
        <w:t xml:space="preserve">precedes or accompanies the structural act everywhere except the</w:t>
      </w:r>
      <w:r>
        <w:t xml:space="preserve"> </w:t>
      </w:r>
      <w:r>
        <w:t xml:space="preserve">bracketed packers/RCA rows (conditionally structure-first) — and in</w:t>
      </w:r>
      <w:r>
        <w:t xml:space="preserve"> </w:t>
      </w:r>
      <w:r>
        <w:t xml:space="preserve">three verified cases (Money Trust, Alcoa, Microsoft) the structural</w:t>
      </w:r>
      <w:r>
        <w:t xml:space="preserve"> </w:t>
      </w:r>
      <w:r>
        <w:t xml:space="preserve">act never comes at all, its place taken by governance rules, public</w:t>
      </w:r>
      <w:r>
        <w:t xml:space="preserve"> </w:t>
      </w:r>
      <w:r>
        <w:t xml:space="preserve">capacity, or conduct decrees; (iii) the great opinions themselves</w:t>
      </w:r>
      <w:r>
        <w:t xml:space="preserve"> </w:t>
      </w:r>
      <w:r>
        <w:t xml:space="preserve">almost never sever — Paramount, Alcoa and DuPont all remand,</w:t>
      </w:r>
      <w:r>
        <w:t xml:space="preserve"> </w:t>
      </w:r>
      <w:r>
        <w:t xml:space="preserve">defer or decline, and the severing lives in decrees and later</w:t>
      </w:r>
      <w:r>
        <w:t xml:space="preserve"> </w:t>
      </w:r>
      <w:r>
        <w:t xml:space="preserve">proceedings; the pattern’s cutting edge is the negotiated decree</w:t>
      </w:r>
      <w:r>
        <w:t xml:space="preserve"> </w:t>
      </w:r>
      <w:r>
        <w:t xml:space="preserve">under judicial retention, not the judgment; (iv) the tempo problem</w:t>
      </w:r>
      <w:r>
        <w:t xml:space="preserve"> </w:t>
      </w:r>
      <w:r>
        <w:t xml:space="preserve">is native to the pattern —</w:t>
      </w:r>
      <w:r>
        <w:t xml:space="preserve"> </w:t>
      </w:r>
      <w:r>
        <w:rPr>
          <w:iCs/>
          <w:i/>
        </w:rPr>
        <w:t xml:space="preserve">Microsoft</w:t>
      </w:r>
      <w:r>
        <w:t xml:space="preserve"> </w:t>
      </w:r>
      <w:r>
        <w:t xml:space="preserve">at *49 states the condition</w:t>
      </w:r>
      <w:r>
        <w:t xml:space="preserve"> </w:t>
      </w:r>
      <w:r>
        <w:t xml:space="preserve">under which the pattern’s structural arm fails, and it is the</w:t>
      </w:r>
      <w:r>
        <w:t xml:space="preserve"> </w:t>
      </w:r>
      <w:r>
        <w:t xml:space="preserve">condition the modern stack maximises.</w:t>
      </w:r>
    </w:p>
    <w:p>
      <w:r>
        <w:pict>
          <v:rect style="width:0;height:1.5pt" o:hralign="center" o:hrstd="t" o:hr="t"/>
        </w:pict>
      </w:r>
    </w:p>
    <w:bookmarkEnd w:id="87"/>
    <w:bookmarkStart w:id="88" w:name="X6706264fa0195019c3eebcc93c6382306dff7a7"/>
    <w:p>
      <w:pPr>
        <w:pStyle w:val="Heading2"/>
      </w:pPr>
      <w:r>
        <w:t xml:space="preserve">TABLE 2 — The mirror: the pattern onto the decisive military-technology stack</w:t>
      </w:r>
    </w:p>
    <w:p>
      <w:pPr>
        <w:pStyle w:val="FirstParagraph"/>
      </w:pPr>
      <w:r>
        <w:t xml:space="preserve">The modern column is the book’s own analysis under spine §8(c),</w:t>
      </w:r>
      <w:r>
        <w:t xml:space="preserve"> </w:t>
      </w:r>
      <w:r>
        <w:t xml:space="preserve">stated as prediction-from-pattern, never counsel (CLAUDE.md §9).</w:t>
      </w:r>
      <w:r>
        <w:t xml:space="preserve"> </w:t>
      </w:r>
      <w:r>
        <w:t xml:space="preserve">Disanalogies per CLAUDE.md §6, one per row, stated or the row dies.</w:t>
      </w:r>
      <w:r>
        <w:t xml:space="preserve"> </w:t>
      </w:r>
      <w:r>
        <w:t xml:space="preserve">The First Amendment limit governs the speech-bearing rows and is</w:t>
      </w:r>
      <w:r>
        <w:t xml:space="preserve"> </w:t>
      </w:r>
      <w:r>
        <w:t xml:space="preserve">stated at the foot.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Modern layer</w:t>
            </w:r>
          </w:p>
        </w:tc>
        <w:tc>
          <w:tcPr/>
          <w:p>
            <w:pPr>
              <w:pStyle w:val="Compact"/>
              <w:jc w:val="left"/>
            </w:pPr>
            <w:r>
              <w:t xml:space="preserve">Historical instrument the pattern predicts</w:t>
            </w:r>
          </w:p>
        </w:tc>
        <w:tc>
          <w:tcPr/>
          <w:p>
            <w:pPr>
              <w:pStyle w:val="Compact"/>
              <w:jc w:val="left"/>
            </w:pPr>
            <w:r>
              <w:t xml:space="preserve">Why that one</w:t>
            </w:r>
          </w:p>
        </w:tc>
        <w:tc>
          <w:tcPr/>
          <w:p>
            <w:pPr>
              <w:pStyle w:val="Compact"/>
              <w:jc w:val="left"/>
            </w:pPr>
            <w:r>
              <w:t xml:space="preserve">DISANALOGY</w:t>
            </w:r>
          </w:p>
        </w:tc>
      </w:tr>
      <w:tr>
        <w:tc>
          <w:tcPr/>
          <w:p>
            <w:pPr>
              <w:pStyle w:val="Compact"/>
              <w:jc w:val="left"/>
            </w:pPr>
            <w:r>
              <w:t xml:space="preserve">Compute (cloud infrastructure; accelerator allocation)</w:t>
            </w:r>
          </w:p>
        </w:tc>
        <w:tc>
          <w:tcPr/>
          <w:p>
            <w:pPr>
              <w:pStyle w:val="Compact"/>
              <w:jc w:val="left"/>
            </w:pPr>
            <w:r>
              <w:t xml:space="preserve">ICC/Hepburn: common carriage + nondiscrimination + max-rate power over designated essential carriage; the commodities clause for self-preferencing (the cloud may not favour its own workloads)</w:t>
            </w:r>
          </w:p>
        </w:tc>
        <w:tc>
          <w:tcPr/>
          <w:p>
            <w:pPr>
              <w:pStyle w:val="Compact"/>
              <w:jc w:val="left"/>
            </w:pPr>
            <w:r>
              <w:t xml:space="preserve">the dependency is carriage-shaped: discretion over who computes, at what price, with exit tolls the modern rebate</w:t>
            </w:r>
          </w:p>
        </w:tc>
        <w:tc>
          <w:tcPr/>
          <w:p>
            <w:pPr>
              <w:pStyle w:val="Compact"/>
              <w:jc w:val="left"/>
            </w:pPr>
            <w:r>
              <w:t xml:space="preserve">carriage of oil/freight had a fungible, meterable unit; compute allocation has none yet — the tariff schedule is the unsolved instrument, and</w:t>
            </w:r>
            <w:r>
              <w:t xml:space="preserve"> </w:t>
            </w:r>
            <w:r>
              <w:rPr>
                <w:iCs/>
                <w:i/>
              </w:rPr>
              <w:t xml:space="preserve">Moody</w:t>
            </w:r>
            <w:r>
              <w:t xml:space="preserve">’s non-expressive zone must still be confirmed layer by layer</w:t>
            </w:r>
          </w:p>
        </w:tc>
      </w:tr>
      <w:tr>
        <w:tc>
          <w:tcPr/>
          <w:p>
            <w:pPr>
              <w:pStyle w:val="Compact"/>
              <w:jc w:val="left"/>
            </w:pPr>
            <w:r>
              <w:t xml:space="preserve">Fabs / foundry access</w:t>
            </w:r>
          </w:p>
        </w:tc>
        <w:tc>
          <w:tcPr/>
          <w:p>
            <w:pPr>
              <w:pStyle w:val="Compact"/>
              <w:jc w:val="left"/>
            </w:pPr>
            <w:r>
              <w:t xml:space="preserve">Alcoa: liability-by-structure PLUS the actual Alcoa remedy — public capacity (the state’s war plants) rather than severance of the unique plant</w:t>
            </w:r>
          </w:p>
        </w:tc>
        <w:tc>
          <w:tcPr/>
          <w:p>
            <w:pPr>
              <w:pStyle w:val="Compact"/>
              <w:jc w:val="left"/>
            </w:pPr>
            <w:r>
              <w:t xml:space="preserve">you cannot spin off a physically singular capability; Hand refused to break what could not be duplicated and waited on state-built plant — the CHIPS/Secure-Enclave pattern is the Alcoa remedy re-run</w:t>
            </w:r>
          </w:p>
        </w:tc>
        <w:tc>
          <w:tcPr/>
          <w:p>
            <w:pPr>
              <w:pStyle w:val="Compact"/>
              <w:jc w:val="left"/>
            </w:pPr>
            <w:r>
              <w:t xml:space="preserve">Alcoa’s ingot was a commodity with entrants waiting; leading-edge wafers have a single-digit producer set worldwide and the</w:t>
            </w:r>
            <w:r>
              <w:t xml:space="preserve"> </w:t>
            </w:r>
            <w:r>
              <w:t xml:space="preserve">“</w:t>
            </w:r>
            <w:r>
              <w:t xml:space="preserve">thrust upon</w:t>
            </w:r>
            <w:r>
              <w:t xml:space="preserve">”</w:t>
            </w:r>
            <w:r>
              <w:t xml:space="preserve"> </w:t>
            </w:r>
            <w:r>
              <w:t xml:space="preserve">defence is colourable — the liability half of Alcoa may not even attach</w:t>
            </w:r>
          </w:p>
        </w:tc>
      </w:tr>
      <w:tr>
        <w:tc>
          <w:tcPr/>
          <w:p>
            <w:pPr>
              <w:pStyle w:val="Compact"/>
              <w:jc w:val="left"/>
            </w:pPr>
            <w:r>
              <w:t xml:space="preserve">Launch / constellations</w:t>
            </w:r>
          </w:p>
        </w:tc>
        <w:tc>
          <w:tcPr/>
          <w:p>
            <w:pPr>
              <w:pStyle w:val="Compact"/>
              <w:jc w:val="left"/>
            </w:pPr>
            <w:r>
              <w:t xml:space="preserve">the MFJ’s equal-access template (§II(A): access</w:t>
            </w:r>
            <w:r>
              <w:t xml:space="preserve"> </w:t>
            </w:r>
            <w:r>
              <w:t xml:space="preserve">“</w:t>
            </w:r>
            <w:r>
              <w:t xml:space="preserve">equal in type, quality, and price to that provided to [the operator] and its affiliates</w:t>
            </w:r>
            <w:r>
              <w:t xml:space="preserve">”</w:t>
            </w:r>
            <w:r>
              <w:t xml:space="preserve">) + franchise/continuity conditions in the procurement line</w:t>
            </w:r>
          </w:p>
        </w:tc>
        <w:tc>
          <w:tcPr/>
          <w:p>
            <w:pPr>
              <w:pStyle w:val="Compact"/>
              <w:jc w:val="left"/>
            </w:pPr>
            <w:r>
              <w:t xml:space="preserve">the dependency is the bottleneck-with-affiliates problem: one operator carrying its own traffic and everyone else’s</w:t>
            </w:r>
          </w:p>
        </w:tc>
        <w:tc>
          <w:tcPr/>
          <w:p>
            <w:pPr>
              <w:pStyle w:val="Compact"/>
              <w:jc w:val="left"/>
            </w:pPr>
            <w:r>
              <w:t xml:space="preserve">equal access presumes rival carriers exist to be granted access; where there is one constellation the instrument regulates a monopolist’s conduct without creating the competition that made the MFJ work — closer to 1887 than to 1984</w:t>
            </w:r>
          </w:p>
        </w:tc>
      </w:tr>
      <w:tr>
        <w:tc>
          <w:tcPr/>
          <w:p>
            <w:pPr>
              <w:pStyle w:val="Compact"/>
              <w:jc w:val="left"/>
            </w:pPr>
            <w:r>
              <w:t xml:space="preserve">Munitions / defence industrial base</w:t>
            </w:r>
          </w:p>
        </w:tc>
        <w:tc>
          <w:tcPr/>
          <w:p>
            <w:pPr>
              <w:pStyle w:val="Compact"/>
              <w:jc w:val="left"/>
            </w:pPr>
            <w:r>
              <w:t xml:space="preserve">procurement leverage (the pattern’s standing instrument) + HSR’s gate on consolidation</w:t>
            </w:r>
          </w:p>
        </w:tc>
        <w:tc>
          <w:tcPr/>
          <w:p>
            <w:pPr>
              <w:pStyle w:val="Compact"/>
              <w:jc w:val="left"/>
            </w:pPr>
            <w:r>
              <w:t xml:space="preserve">already a state market; the switch is the vendor’s discretion over priority and the acquirer’s over capacity</w:t>
            </w:r>
          </w:p>
        </w:tc>
        <w:tc>
          <w:tcPr/>
          <w:p>
            <w:pPr>
              <w:pStyle w:val="Compact"/>
              <w:jc w:val="left"/>
            </w:pPr>
            <w:r>
              <w:t xml:space="preserve">the packers/RCA-style exclusions that would police adjacency are exactly the rows still [UNVERIFIED]; and Parrott’s objection lives here (critiques.md)</w:t>
            </w:r>
          </w:p>
        </w:tc>
      </w:tr>
      <w:tr>
        <w:tc>
          <w:tcPr/>
          <w:p>
            <w:pPr>
              <w:pStyle w:val="Compact"/>
              <w:jc w:val="left"/>
            </w:pPr>
            <w:r>
              <w:t xml:space="preserve">Frontier models</w:t>
            </w:r>
          </w:p>
        </w:tc>
        <w:tc>
          <w:tcPr/>
          <w:p>
            <w:pPr>
              <w:pStyle w:val="Compact"/>
              <w:jc w:val="left"/>
            </w:pPr>
            <w:r>
              <w:t xml:space="preserve">Glass–Steagall: the line-of-business firebreak (model developer / dominant cloud / distribution chosen sides within a window) + licence-conditioned operation (the TWEA</w:t>
            </w:r>
            <w:r>
              <w:t xml:space="preserve"> </w:t>
            </w:r>
            <w:r>
              <w:t xml:space="preserve">“</w:t>
            </w:r>
            <w:r>
              <w:t xml:space="preserve">by means of licenses</w:t>
            </w:r>
            <w:r>
              <w:t xml:space="preserve">”</w:t>
            </w:r>
            <w:r>
              <w:t xml:space="preserve"> </w:t>
            </w:r>
            <w:r>
              <w:t xml:space="preserve">lineage, off-switch probe §3) + Microsoft §III.E/D for interfaces</w:t>
            </w:r>
          </w:p>
        </w:tc>
        <w:tc>
          <w:tcPr/>
          <w:p>
            <w:pPr>
              <w:pStyle w:val="Compact"/>
              <w:jc w:val="left"/>
            </w:pPr>
            <w:r>
              <w:t xml:space="preserve">the dependency is a COMBINATION dependency (compute + model + distribution under one roof), which is what firebreaks are for; the licence is spine §8(c)’s named instrument</w:t>
            </w:r>
          </w:p>
        </w:tc>
        <w:tc>
          <w:tcPr/>
          <w:p>
            <w:pPr>
              <w:pStyle w:val="Compact"/>
              <w:jc w:val="left"/>
            </w:pPr>
            <w:r>
              <w:rPr>
                <w:iCs/>
                <w:i/>
              </w:rPr>
              <w:t xml:space="preserve">Microsoft</w:t>
            </w:r>
            <w:r>
              <w:t xml:space="preserve"> </w:t>
            </w:r>
            <w:r>
              <w:t xml:space="preserve">at *49 is the standing warning: the five-year decree chased a market that moved faster; a firebreak drawn on today’s layer boundaries may be obsolete before its compliance window closes — the 1933 statute’s one-year window worked because banking’s layers held still</w:t>
            </w:r>
          </w:p>
        </w:tc>
      </w:tr>
      <w:tr>
        <w:tc>
          <w:tcPr/>
          <w:p>
            <w:pPr>
              <w:pStyle w:val="Compact"/>
              <w:jc w:val="left"/>
            </w:pPr>
            <w:r>
              <w:t xml:space="preserve">Identity / payments</w:t>
            </w:r>
          </w:p>
        </w:tc>
        <w:tc>
          <w:tcPr/>
          <w:p>
            <w:pPr>
              <w:pStyle w:val="Compact"/>
              <w:jc w:val="left"/>
            </w:pPr>
            <w:r>
              <w:t xml:space="preserve">the Money Trust package: a public substitute rail (the Fed’s modern analogue), the interlock/cross-ownership ban across layers, a standing commission</w:t>
            </w:r>
          </w:p>
        </w:tc>
        <w:tc>
          <w:tcPr/>
          <w:p>
            <w:pPr>
              <w:pStyle w:val="Compact"/>
              <w:jc w:val="left"/>
            </w:pPr>
            <w:r>
              <w:t xml:space="preserve">the dependency is a network-of-governance dependency, not a single firm — the 1913–14 answer was built for exactly that shape</w:t>
            </w:r>
          </w:p>
        </w:tc>
        <w:tc>
          <w:tcPr/>
          <w:p>
            <w:pPr>
              <w:pStyle w:val="Compact"/>
              <w:jc w:val="left"/>
            </w:pPr>
            <w:r>
              <w:t xml:space="preserve">the Fed leg of the historical package is the one whose primary is NOT yet in corpus; and a public payment rail touches the state-as-competitor problem the 1913 design deliberately fudged (a banker’s bank, not a people’s bank)</w:t>
            </w:r>
          </w:p>
        </w:tc>
      </w:tr>
      <w:tr>
        <w:tc>
          <w:tcPr/>
          <w:p>
            <w:pPr>
              <w:pStyle w:val="Compact"/>
              <w:jc w:val="left"/>
            </w:pPr>
            <w:r>
              <w:t xml:space="preserve">Speech-bearing layers (feeds, search ranking, social graph, app-store editorial surfaces)</w:t>
            </w:r>
          </w:p>
        </w:tc>
        <w:tc>
          <w:tcPr/>
          <w:p>
            <w:pPr>
              <w:pStyle w:val="Compact"/>
              <w:jc w:val="left"/>
            </w:pPr>
            <w:r>
              <w:t xml:space="preserve">Paramount’s practices toolkit (block-booking = bundled placement; clearances = ranking priority) and Microsoft’s interoperability — BUT bounded by the First Amendment limit below</w:t>
            </w:r>
          </w:p>
        </w:tc>
        <w:tc>
          <w:tcPr/>
          <w:p>
            <w:pPr>
              <w:pStyle w:val="Compact"/>
              <w:jc w:val="left"/>
            </w:pPr>
            <w:r>
              <w:t xml:space="preserve">the practices, not the ownership, are the tractable object — as in 1948</w:t>
            </w:r>
          </w:p>
        </w:tc>
        <w:tc>
          <w:tcPr/>
          <w:p>
            <w:pPr>
              <w:pStyle w:val="Compact"/>
              <w:jc w:val="left"/>
            </w:pPr>
            <w:r>
              <w:rPr>
                <w:bCs/>
                <w:b/>
              </w:rPr>
              <w:t xml:space="preserve">the</w:t>
            </w:r>
            <w:r>
              <w:rPr>
                <w:bCs/>
                <w:b/>
              </w:rPr>
              <w:t xml:space="preserve"> </w:t>
            </w:r>
            <w:r>
              <w:rPr>
                <w:iCs/>
                <w:i/>
                <w:bCs/>
                <w:b/>
              </w:rPr>
              <w:t xml:space="preserve">Moody v. NetChoice</w:t>
            </w:r>
            <w:r>
              <w:rPr>
                <w:bCs/>
                <w:b/>
              </w:rPr>
              <w:t xml:space="preserve"> </w:t>
            </w:r>
            <w:r>
              <w:rPr>
                <w:bCs/>
                <w:b/>
              </w:rPr>
              <w:t xml:space="preserve">limit, stated in full at the foot of this table</w:t>
            </w:r>
          </w:p>
        </w:tc>
      </w:tr>
    </w:tbl>
    <w:p>
      <w:pPr>
        <w:pStyle w:val="BodyText"/>
      </w:pPr>
      <w:r>
        <w:rPr>
          <w:bCs/>
          <w:b/>
        </w:rPr>
        <w:t xml:space="preserve">The First Amendment limit (T1 in corpus: Moody v. NetChoice, 603</w:t>
      </w:r>
      <w:r>
        <w:rPr>
          <w:bCs/>
          <w:b/>
        </w:rPr>
        <w:t xml:space="preserve"> </w:t>
      </w:r>
      <w:r>
        <w:rPr>
          <w:bCs/>
          <w:b/>
        </w:rPr>
        <w:t xml:space="preserve">U.S. ___ (2024), slip op.).</w:t>
      </w:r>
      <w:r>
        <w:t xml:space="preserve"> </w:t>
      </w:r>
      <w:r>
        <w:t xml:space="preserve">The pattern’s instruments reach</w:t>
      </w:r>
      <w:r>
        <w:t xml:space="preserve"> </w:t>
      </w:r>
      <w:r>
        <w:t xml:space="preserve">economic switches; they do not reach doctrine.</w:t>
      </w:r>
      <w:r>
        <w:t xml:space="preserve"> </w:t>
      </w:r>
      <w:r>
        <w:t xml:space="preserve">“</w:t>
      </w:r>
      <w:r>
        <w:t xml:space="preserve">Expressive activity</w:t>
      </w:r>
      <w:r>
        <w:t xml:space="preserve"> </w:t>
      </w:r>
      <w:r>
        <w:t xml:space="preserve">includes presenting a curated compilation of speech originally</w:t>
      </w:r>
      <w:r>
        <w:t xml:space="preserve"> </w:t>
      </w:r>
      <w:r>
        <w:t xml:space="preserve">created by others</w:t>
      </w:r>
      <w:r>
        <w:t xml:space="preserve">”</w:t>
      </w:r>
      <w:r>
        <w:t xml:space="preserve"> </w:t>
      </w:r>
      <w:r>
        <w:t xml:space="preserve">(slip op. 14);</w:t>
      </w:r>
      <w:r>
        <w:t xml:space="preserve"> </w:t>
      </w:r>
      <w:r>
        <w:t xml:space="preserve">“</w:t>
      </w:r>
      <w:r>
        <w:t xml:space="preserve">The government may not, in</w:t>
      </w:r>
      <w:r>
        <w:t xml:space="preserve"> </w:t>
      </w:r>
      <w:r>
        <w:t xml:space="preserve">supposed pursuit of better expressive balance, alter a private</w:t>
      </w:r>
      <w:r>
        <w:t xml:space="preserve"> </w:t>
      </w:r>
      <w:r>
        <w:t xml:space="preserve">speaker’s own editorial choices about the mix of speech it wants to</w:t>
      </w:r>
      <w:r>
        <w:t xml:space="preserve"> </w:t>
      </w:r>
      <w:r>
        <w:t xml:space="preserve">convey</w:t>
      </w:r>
      <w:r>
        <w:t xml:space="preserve">”</w:t>
      </w:r>
      <w:r>
        <w:t xml:space="preserve"> </w:t>
      </w:r>
      <w:r>
        <w:t xml:space="preserve">(19–20);</w:t>
      </w:r>
      <w:r>
        <w:t xml:space="preserve"> </w:t>
      </w:r>
      <w:r>
        <w:t xml:space="preserve">“</w:t>
      </w:r>
      <w:r>
        <w:t xml:space="preserve">On the spectrum of dangers to free expression,</w:t>
      </w:r>
      <w:r>
        <w:t xml:space="preserve"> </w:t>
      </w:r>
      <w:r>
        <w:t xml:space="preserve">there are few greater than allowing the government to change the</w:t>
      </w:r>
      <w:r>
        <w:t xml:space="preserve"> </w:t>
      </w:r>
      <w:r>
        <w:t xml:space="preserve">speech of private actors in order to achieve its own conception of</w:t>
      </w:r>
      <w:r>
        <w:t xml:space="preserve"> </w:t>
      </w:r>
      <w:r>
        <w:t xml:space="preserve">speech nirvana</w:t>
      </w:r>
      <w:r>
        <w:t xml:space="preserve">”</w:t>
      </w:r>
      <w:r>
        <w:t xml:space="preserve"> </w:t>
      </w:r>
      <w:r>
        <w:t xml:space="preserve">(27–28). The boundary the Court itself draws is the</w:t>
      </w:r>
      <w:r>
        <w:t xml:space="preserve"> </w:t>
      </w:r>
      <w:r>
        <w:t xml:space="preserve">one the mirror table must respect:</w:t>
      </w:r>
      <w:r>
        <w:t xml:space="preserve"> </w:t>
      </w:r>
      <w:r>
        <w:t xml:space="preserve">“</w:t>
      </w:r>
      <w:r>
        <w:t xml:space="preserve">Curating a feed and</w:t>
      </w:r>
      <w:r>
        <w:t xml:space="preserve"> </w:t>
      </w:r>
      <w:r>
        <w:t xml:space="preserve">transmitting direct messages, one might think, involve different</w:t>
      </w:r>
      <w:r>
        <w:t xml:space="preserve"> </w:t>
      </w:r>
      <w:r>
        <w:t xml:space="preserve">levels of editorial choice, so that the one creates an expressive</w:t>
      </w:r>
      <w:r>
        <w:t xml:space="preserve"> </w:t>
      </w:r>
      <w:r>
        <w:t xml:space="preserve">product and the other does not</w:t>
      </w:r>
      <w:r>
        <w:t xml:space="preserve">”</w:t>
      </w:r>
      <w:r>
        <w:t xml:space="preserve"> </w:t>
      </w:r>
      <w:r>
        <w:t xml:space="preserve">(11) — the Court’s own list of</w:t>
      </w:r>
      <w:r>
        <w:t xml:space="preserve"> </w:t>
      </w:r>
      <w:r>
        <w:t xml:space="preserve">maybe-non-expressive functions (direct messaging, Gmail filtering,</w:t>
      </w:r>
      <w:r>
        <w:t xml:space="preserve"> </w:t>
      </w:r>
      <w:r>
        <w:t xml:space="preserve">Etsy reviews, Venmo, Uber; 10–11) marks where the economic</w:t>
      </w:r>
      <w:r>
        <w:t xml:space="preserve"> </w:t>
      </w:r>
      <w:r>
        <w:t xml:space="preserve">instruments may still run. Precision for the apparatus: the</w:t>
      </w:r>
      <w:r>
        <w:t xml:space="preserve"> </w:t>
      </w:r>
      <w:r>
        <w:t xml:space="preserve">curation-as-expression discussion is guidance on remand — the</w:t>
      </w:r>
      <w:r>
        <w:t xml:space="preserve"> </w:t>
      </w:r>
      <w:r>
        <w:t xml:space="preserve">judgments were vacated on facial-analysis grounds — and the</w:t>
      </w:r>
      <w:r>
        <w:t xml:space="preserve"> </w:t>
      </w:r>
      <w:r>
        <w:t xml:space="preserve">expressive/non-expressive line is unresolved per function, which is</w:t>
      </w:r>
      <w:r>
        <w:t xml:space="preserve"> </w:t>
      </w:r>
      <w:r>
        <w:t xml:space="preserve">precisely why the mirror confines the pattern’s speech-layer</w:t>
      </w:r>
      <w:r>
        <w:t xml:space="preserve"> </w:t>
      </w:r>
      <w:r>
        <w:t xml:space="preserve">instruments to process, portability, interoperability and</w:t>
      </w:r>
      <w:r>
        <w:t xml:space="preserve"> </w:t>
      </w:r>
      <w:r>
        <w:t xml:space="preserve">non-expressive infrastructure. The Henrician disanalogy conceded at</w:t>
      </w:r>
      <w:r>
        <w:t xml:space="preserve"> </w:t>
      </w:r>
      <w:r>
        <w:t xml:space="preserve">ch12 memo Revisions 3 stands: the American state may absorb the</w:t>
      </w:r>
      <w:r>
        <w:t xml:space="preserve"> </w:t>
      </w:r>
      <w:r>
        <w:t xml:space="preserve">platforms’ functions; it cannot rule their creed.</w:t>
      </w:r>
    </w:p>
    <w:p>
      <w:r>
        <w:pict>
          <v:rect style="width:0;height:1.5pt" o:hralign="center" o:hrstd="t" o:hr="t"/>
        </w:pict>
      </w:r>
    </w:p>
    <w:bookmarkEnd w:id="88"/>
    <w:bookmarkStart w:id="89" w:name="X8fa348560d4c5af639227a1dab08d495af4d5aa"/>
    <w:p>
      <w:pPr>
        <w:pStyle w:val="Heading2"/>
      </w:pPr>
      <w:r>
        <w:t xml:space="preserve">RETRIEVAL LIST consequences (entered on retrieval-master)</w:t>
      </w:r>
    </w:p>
    <w:p>
      <w:pPr>
        <w:numPr>
          <w:ilvl w:val="0"/>
          <w:numId w:val="1014"/>
        </w:numPr>
        <w:pStyle w:val="Compact"/>
      </w:pPr>
      <w:r>
        <w:t xml:space="preserve">Federal Reserve Act, PUHCA, Packers and Stockyards Act, Swift</w:t>
      </w:r>
      <w:r>
        <w:t xml:space="preserve"> </w:t>
      </w:r>
      <w:r>
        <w:t xml:space="preserve">decree (via 276 U.S. 311), RCA decree, IBM 1956 decree and 1982</w:t>
      </w:r>
      <w:r>
        <w:t xml:space="preserve"> </w:t>
      </w:r>
      <w:r>
        <w:t xml:space="preserve">dismissal, AT&amp;T 1956 decree — rows with routes/URLs already</w:t>
      </w:r>
      <w:r>
        <w:t xml:space="preserve"> </w:t>
      </w:r>
      <w:r>
        <w:t xml:space="preserve">entered (American pattern probe section).</w:t>
      </w:r>
    </w:p>
    <w:p>
      <w:pPr>
        <w:numPr>
          <w:ilvl w:val="0"/>
          <w:numId w:val="1014"/>
        </w:numPr>
        <w:pStyle w:val="Compact"/>
      </w:pPr>
      <w:r>
        <w:t xml:space="preserve">NEW from this probe’s findings: the Paramount consent decrees</w:t>
      </w:r>
      <w:r>
        <w:t xml:space="preserve"> </w:t>
      </w:r>
      <w:r>
        <w:t xml:space="preserve">(1948–49); the DuPont–GM remedy decision (366 U.S., 1961 — LoC</w:t>
      </w:r>
      <w:r>
        <w:t xml:space="preserve"> </w:t>
      </w:r>
      <w:r>
        <w:t xml:space="preserve">U.S. Reports route); the Alcoa post-1945 remedy proceedings</w:t>
      </w:r>
      <w:r>
        <w:t xml:space="preserve"> </w:t>
      </w:r>
      <w:r>
        <w:t xml:space="preserve">(citation to identify); a T2 on Insull’s personal fortune (the</w:t>
      </w:r>
      <w:r>
        <w:t xml:space="preserve"> </w:t>
      </w:r>
      <w:r>
        <w:t xml:space="preserve">pattern table’s one open fortune question).</w:t>
      </w:r>
    </w:p>
    <w:p>
      <w:pPr>
        <w:numPr>
          <w:ilvl w:val="0"/>
          <w:numId w:val="1014"/>
        </w:numPr>
        <w:pStyle w:val="Compact"/>
      </w:pPr>
      <w:r>
        <w:t xml:space="preserve">Bringhurst and Childs — rows entered (probe support for the</w:t>
      </w:r>
      <w:r>
        <w:t xml:space="preserve"> </w:t>
      </w:r>
      <w:r>
        <w:t xml:space="preserve">Standard Oil worked example and the proration record).</w:t>
      </w:r>
    </w:p>
    <w:p>
      <w:pPr>
        <w:pStyle w:val="FirstParagraph"/>
      </w:pPr>
      <w:r>
        <w:t xml:space="preserve">STATUS: PENDING HUMAN REVIEW</w:t>
      </w:r>
    </w:p>
    <w:bookmarkEnd w:id="89"/>
    <w:bookmarkStart w:id="90" w:name="Xbc44169b0ae002ded553aa6fdd43ca290498084"/>
    <w:p>
      <w:pPr>
        <w:pStyle w:val="Heading2"/>
      </w:pPr>
      <w:r>
        <w:t xml:space="preserve">B4. ch06/normandy-council-assessment.md — the Normandy council assessed</w:t>
      </w:r>
    </w:p>
    <w:bookmarkEnd w:id="90"/>
    <w:bookmarkEnd w:id="91"/>
    <w:bookmarkStart w:id="99" w:name="X81326f291ebc5287e06a06b8a00f8912596504c"/>
    <w:p>
      <w:pPr>
        <w:pStyle w:val="Heading1"/>
      </w:pPr>
      <w:r>
        <w:t xml:space="preserve">Normandy Council Assessment — the six recommended upgrades, tested against ch06</w:t>
      </w:r>
    </w:p>
    <w:p>
      <w:pPr>
        <w:pStyle w:val="FirstParagraph"/>
      </w:pPr>
      <w:r>
        <w:rPr>
          <w:bCs/>
          <w:b/>
        </w:rPr>
        <w:t xml:space="preserve">Compiled 2026-09-02 on Roderick’s instruction, against</w:t>
      </w:r>
      <w:r>
        <w:rPr>
          <w:bCs/>
          <w:b/>
        </w:rPr>
        <w:t xml:space="preserve"> </w:t>
      </w:r>
      <w:r>
        <w:rPr>
          <w:bCs/>
          <w:b/>
        </w:rPr>
        <w:t xml:space="preserve">research/model-council-normandy.md (reflective document, outside the</w:t>
      </w:r>
      <w:r>
        <w:rPr>
          <w:bCs/>
          <w:b/>
        </w:rPr>
        <w:t xml:space="preserve"> </w:t>
      </w:r>
      <w:r>
        <w:rPr>
          <w:bCs/>
          <w:b/>
        </w:rPr>
        <w:t xml:space="preserve">provenance chain — its recommendations are assessed here; none of its</w:t>
      </w:r>
      <w:r>
        <w:rPr>
          <w:bCs/>
          <w:b/>
        </w:rPr>
        <w:t xml:space="preserve"> </w:t>
      </w:r>
      <w:r>
        <w:rPr>
          <w:bCs/>
          <w:b/>
        </w:rPr>
        <w:t xml:space="preserve">facts enters the chapter except through a source in sources.md).</w:t>
      </w:r>
      <w:r>
        <w:rPr>
          <w:bCs/>
          <w:b/>
        </w:rPr>
        <w:t xml:space="preserve"> </w:t>
      </w:r>
      <w:r>
        <w:rPr>
          <w:bCs/>
          <w:b/>
        </w:rPr>
        <w:t xml:space="preserve">Basis: ch06/draft.md, memo.md, sources.md, artillery-reconquest.md,</w:t>
      </w:r>
      <w:r>
        <w:rPr>
          <w:bCs/>
          <w:b/>
        </w:rPr>
        <w:t xml:space="preserve"> </w:t>
      </w:r>
      <w:r>
        <w:rPr>
          <w:bCs/>
          <w:b/>
        </w:rPr>
        <w:t xml:space="preserve">and the in-repo corpus, read at file level this session; Worcester’s</w:t>
      </w:r>
      <w:r>
        <w:rPr>
          <w:bCs/>
          <w:b/>
        </w:rPr>
        <w:t xml:space="preserve"> </w:t>
      </w:r>
      <w:r>
        <w:rPr>
          <w:iCs/>
          <w:i/>
          <w:bCs/>
          <w:b/>
        </w:rPr>
        <w:t xml:space="preserve">Boke of Noblesse</w:t>
      </w:r>
      <w:r>
        <w:rPr>
          <w:bCs/>
          <w:b/>
        </w:rPr>
        <w:t xml:space="preserve"> </w:t>
      </w:r>
      <w:r>
        <w:rPr>
          <w:bCs/>
          <w:b/>
        </w:rPr>
        <w:t xml:space="preserve">retrieved (Gutenberg #33953, Nichols 1860 text)</w:t>
      </w:r>
      <w:r>
        <w:rPr>
          <w:bCs/>
          <w:b/>
        </w:rPr>
        <w:t xml:space="preserve"> </w:t>
      </w:r>
      <w:r>
        <w:rPr>
          <w:bCs/>
          <w:b/>
        </w:rPr>
        <w:t xml:space="preserve">and its key passages verified in the file. Buff Box standard</w:t>
      </w:r>
      <w:r>
        <w:rPr>
          <w:bCs/>
          <w:b/>
        </w:rPr>
        <w:t xml:space="preserve"> </w:t>
      </w:r>
      <w:r>
        <w:rPr>
          <w:bCs/>
          <w:b/>
        </w:rPr>
        <w:t xml:space="preserve">(CLAUDE.md §§4–5): omission over invention; nothing proposed as</w:t>
      </w:r>
      <w:r>
        <w:rPr>
          <w:bCs/>
          <w:b/>
        </w:rPr>
        <w:t xml:space="preserve"> </w:t>
      </w:r>
      <w:r>
        <w:rPr>
          <w:bCs/>
          <w:b/>
        </w:rPr>
        <w:t xml:space="preserve">draft text; every gated dependency flagged. Recommendations are the</w:t>
      </w:r>
      <w:r>
        <w:rPr>
          <w:bCs/>
          <w:b/>
        </w:rPr>
        <w:t xml:space="preserve"> </w:t>
      </w:r>
      <w:r>
        <w:rPr>
          <w:bCs/>
          <w:b/>
        </w:rPr>
        <w:t xml:space="preserve">engine’s; rulings are Roderick’s.</w:t>
      </w:r>
    </w:p>
    <w:p>
      <w:r>
        <w:pict>
          <v:rect style="width:0;height:1.5pt" o:hralign="center" o:hrstd="t" o:hr="t"/>
        </w:pict>
      </w:r>
    </w:p>
    <w:bookmarkStart w:id="92" w:name="split-campaign-speed-from-siege-speed"/>
    <w:p>
      <w:pPr>
        <w:pStyle w:val="Heading2"/>
      </w:pPr>
      <w:r>
        <w:t xml:space="preserve">1. Split campaign speed from siege speed</w:t>
      </w:r>
    </w:p>
    <w:p>
      <w:pPr>
        <w:pStyle w:val="FirstParagraph"/>
      </w:pPr>
      <w:r>
        <w:rPr>
          <w:bCs/>
          <w:b/>
        </w:rPr>
        <w:t xml:space="preserve">What the draft carries.</w:t>
      </w:r>
      <w:r>
        <w:t xml:space="preserve"> </w:t>
      </w:r>
      <w:r>
        <w:t xml:space="preserve">The split exists evidentially but not as</w:t>
      </w:r>
      <w:r>
        <w:t xml:space="preserve"> </w:t>
      </w:r>
      <w:r>
        <w:t xml:space="preserve">a named device. §IV runs the same-wall compressions (Rouen three</w:t>
      </w:r>
      <w:r>
        <w:t xml:space="preserve"> </w:t>
      </w:r>
      <w:r>
        <w:t xml:space="preserve">weeks vs five months three weeks in 1418–19; Harfleur seventeen days</w:t>
      </w:r>
      <w:r>
        <w:t xml:space="preserve"> </w:t>
      </w:r>
      <w:r>
        <w:t xml:space="preserve">under sixteen bombards vs 1415’s five weeks); §V runs the</w:t>
      </w:r>
      <w:r>
        <w:t xml:space="preserve"> </w:t>
      </w:r>
      <w:r>
        <w:t xml:space="preserve">composition census (</w:t>
      </w:r>
      <w:r>
        <w:t xml:space="preserve">“</w:t>
      </w:r>
      <w:r>
        <w:t xml:space="preserve">the great majority fell without a siege</w:t>
      </w:r>
      <w:r>
        <w:t xml:space="preserve">”</w:t>
      </w:r>
      <w:r>
        <w:t xml:space="preserve">);</w:t>
      </w:r>
      <w:r>
        <w:t xml:space="preserve"> </w:t>
      </w:r>
      <w:r>
        <w:t xml:space="preserve">draft ll. 599–600 states</w:t>
      </w:r>
      <w:r>
        <w:t xml:space="preserve"> </w:t>
      </w:r>
      <w:r>
        <w:t xml:space="preserve">“</w:t>
      </w:r>
      <w:r>
        <w:t xml:space="preserve">the same-wall compressions where fighting</w:t>
      </w:r>
      <w:r>
        <w:t xml:space="preserve"> </w:t>
      </w:r>
      <w:r>
        <w:t xml:space="preserve">happened, the composition census where it did not.</w:t>
      </w:r>
      <w:r>
        <w:t xml:space="preserve">”</w:t>
      </w:r>
      <w:r>
        <w:t xml:space="preserve"> </w:t>
      </w:r>
      <w:r>
        <w:t xml:space="preserve">But the causal</w:t>
      </w:r>
      <w:r>
        <w:t xml:space="preserve"> </w:t>
      </w:r>
      <w:r>
        <w:t xml:space="preserve">attribution differs from the council’s: the draft reads the cascade</w:t>
      </w:r>
      <w:r>
        <w:t xml:space="preserve"> </w:t>
      </w:r>
      <w:r>
        <w:t xml:space="preserve">as the train’s</w:t>
      </w:r>
      <w:r>
        <w:t xml:space="preserve"> </w:t>
      </w:r>
      <w:r>
        <w:rPr>
          <w:iCs/>
          <w:i/>
        </w:rPr>
        <w:t xml:space="preserve">reputation</w:t>
      </w:r>
      <w:r>
        <w:t xml:space="preserve"> </w:t>
      </w:r>
      <w:r>
        <w:t xml:space="preserve">propagating through politics (</w:t>
      </w:r>
      <w:r>
        <w:t xml:space="preserve">“</w:t>
      </w:r>
      <w:r>
        <w:t xml:space="preserve">the</w:t>
      </w:r>
      <w:r>
        <w:t xml:space="preserve"> </w:t>
      </w:r>
      <w:r>
        <w:t xml:space="preserve">politics was the medium through which the ballistics propagated,</w:t>
      </w:r>
      <w:r>
        <w:t xml:space="preserve">”</w:t>
      </w:r>
      <w:r>
        <w:t xml:space="preserve"> </w:t>
      </w:r>
      <w:r>
        <w:t xml:space="preserve">ll. 541–43), where the council reads a politically-fiscally caused</w:t>
      </w:r>
      <w:r>
        <w:t xml:space="preserve"> </w:t>
      </w:r>
      <w:r>
        <w:t xml:space="preserve">collapse to which artillery set the clock.</w:t>
      </w:r>
    </w:p>
    <w:p>
      <w:pPr>
        <w:pStyle w:val="BodyText"/>
      </w:pPr>
      <w:r>
        <w:rPr>
          <w:bCs/>
          <w:b/>
        </w:rPr>
        <w:t xml:space="preserve">What would change.</w:t>
      </w:r>
      <w:r>
        <w:t xml:space="preserve"> </w:t>
      </w:r>
      <w:r>
        <w:t xml:space="preserve">(i) The two quantities stated as two</w:t>
      </w:r>
      <w:r>
        <w:t xml:space="preserve"> </w:t>
      </w:r>
      <w:r>
        <w:t xml:space="preserve">quantities — campaign speed and siege speed — rather than left</w:t>
      </w:r>
      <w:r>
        <w:t xml:space="preserve"> </w:t>
      </w:r>
      <w:r>
        <w:t xml:space="preserve">implicit in the architecture. (ii) The Opus-5 phase split (central</w:t>
      </w:r>
      <w:r>
        <w:t xml:space="preserve"> </w:t>
      </w:r>
      <w:r>
        <w:t xml:space="preserve">Normandy falling July–November 1449 with the guns nearly invisible;</w:t>
      </w:r>
      <w:r>
        <w:t xml:space="preserve"> </w:t>
      </w:r>
      <w:r>
        <w:t xml:space="preserve">bombardment doing demonstrable work only in the winter sieges and</w:t>
      </w:r>
      <w:r>
        <w:t xml:space="preserve"> </w:t>
      </w:r>
      <w:r>
        <w:t xml:space="preserve">the Cotentin endgame) is ABSENT from the draft and is the sharpest</w:t>
      </w:r>
      <w:r>
        <w:t xml:space="preserve"> </w:t>
      </w:r>
      <w:r>
        <w:t xml:space="preserve">challenge on the table: it bears directly on the probe’s sequencing</w:t>
      </w:r>
      <w:r>
        <w:t xml:space="preserve"> </w:t>
      </w:r>
      <w:r>
        <w:t xml:space="preserve">claim that</w:t>
      </w:r>
      <w:r>
        <w:t xml:space="preserve"> </w:t>
      </w:r>
      <w:r>
        <w:t xml:space="preserve">“</w:t>
      </w:r>
      <w:r>
        <w:t xml:space="preserve">the hard demonstrations (Rouen, Harfleur, Formigny)</w:t>
      </w:r>
      <w:r>
        <w:t xml:space="preserve"> </w:t>
      </w:r>
      <w:r>
        <w:t xml:space="preserve">precede the mass compositions of spring–summer 1450</w:t>
      </w:r>
      <w:r>
        <w:t xml:space="preserve">”</w:t>
      </w:r>
      <w:r>
        <w:t xml:space="preserve"> </w:t>
      </w:r>
      <w:r>
        <w:t xml:space="preserve">(artillery-reconquest.md, analytical head). The two claims are</w:t>
      </w:r>
      <w:r>
        <w:t xml:space="preserve"> </w:t>
      </w:r>
      <w:r>
        <w:t xml:space="preserve">compatible only if Phase One (July–November 1449) is conceded as</w:t>
      </w:r>
      <w:r>
        <w:t xml:space="preserve"> </w:t>
      </w:r>
      <w:r>
        <w:t xml:space="preserve">largely non-ballistic — which the draft partly concedes already</w:t>
      </w:r>
      <w:r>
        <w:t xml:space="preserve"> </w:t>
      </w:r>
      <w:r>
        <w:t xml:space="preserve">(</w:t>
      </w:r>
      <w:r>
        <w:t xml:space="preserve">“</w:t>
      </w:r>
      <w:r>
        <w:t xml:space="preserve">much of what fell in 1449–50 fell as towns had always fallen,</w:t>
      </w:r>
      <w:r>
        <w:t xml:space="preserve">”</w:t>
      </w:r>
      <w:r>
        <w:t xml:space="preserve"> </w:t>
      </w:r>
      <w:r>
        <w:t xml:space="preserve">ll. 252–56) without drawing the consequence.</w:t>
      </w:r>
    </w:p>
    <w:p>
      <w:pPr>
        <w:pStyle w:val="BodyText"/>
      </w:pPr>
      <w:r>
        <w:rPr>
          <w:bCs/>
          <w:b/>
        </w:rPr>
        <w:t xml:space="preserve">Source status.</w:t>
      </w:r>
      <w:r>
        <w:t xml:space="preserve"> </w:t>
      </w:r>
      <w:r>
        <w:t xml:space="preserve">All the required evidence is in repo at page</w:t>
      </w:r>
      <w:r>
        <w:t xml:space="preserve"> </w:t>
      </w:r>
      <w:r>
        <w:t xml:space="preserve">level: Rogers 1993, Curry 2010, the Somerset list (T1, Stevenson</w:t>
      </w:r>
      <w:r>
        <w:t xml:space="preserve"> </w:t>
      </w:r>
      <w:r>
        <w:rPr>
          <w:iCs/>
          <w:i/>
        </w:rPr>
        <w:t xml:space="preserve">Letters and Papers</w:t>
      </w:r>
      <w:r>
        <w:t xml:space="preserve"> </w:t>
      </w:r>
      <w:r>
        <w:t xml:space="preserve">II.ii), the probe’s own fortress table.</w:t>
      </w:r>
      <w:r>
        <w:t xml:space="preserve"> </w:t>
      </w:r>
      <w:r>
        <w:rPr>
          <w:bCs/>
          <w:b/>
        </w:rPr>
        <w:t xml:space="preserve">The phase split is testable from the repo without any retrieval:</w:t>
      </w:r>
      <w:r>
        <w:rPr>
          <w:bCs/>
          <w:b/>
        </w:rPr>
        <w:t xml:space="preserve"> </w:t>
      </w:r>
      <w:r>
        <w:rPr>
          <w:bCs/>
          <w:b/>
        </w:rPr>
        <w:t xml:space="preserve">re-cut artillery-reconquest.md’s table by date and mode</w:t>
      </w:r>
      <w:r>
        <w:t xml:space="preserve"> </w:t>
      </w:r>
      <w:r>
        <w:t xml:space="preserve">(falls</w:t>
      </w:r>
      <w:r>
        <w:t xml:space="preserve"> </w:t>
      </w:r>
      <w:r>
        <w:t xml:space="preserve">before ~December 1449 by mode vs falls after), which converts the</w:t>
      </w:r>
      <w:r>
        <w:t xml:space="preserve"> </w:t>
      </w:r>
      <w:r>
        <w:t xml:space="preserve">council’s sharpest claim from assertion into a checkable count.</w:t>
      </w:r>
    </w:p>
    <w:p>
      <w:pPr>
        <w:pStyle w:val="BodyText"/>
      </w:pPr>
      <w:r>
        <w:rPr>
          <w:bCs/>
          <w:b/>
        </w:rPr>
        <w:t xml:space="preserve">Recommendation. ADOPT, in two steps:</w:t>
      </w:r>
      <w:r>
        <w:t xml:space="preserve"> </w:t>
      </w:r>
      <w:r>
        <w:t xml:space="preserve">run the date-cut on the</w:t>
      </w:r>
      <w:r>
        <w:t xml:space="preserve"> </w:t>
      </w:r>
      <w:r>
        <w:t xml:space="preserve">probe table first; if it confirms the phase structure, the split</w:t>
      </w:r>
      <w:r>
        <w:t xml:space="preserve"> </w:t>
      </w:r>
      <w:r>
        <w:t xml:space="preserve">enters the memo as a Revisions entry with the table as evidence and</w:t>
      </w:r>
      <w:r>
        <w:t xml:space="preserve"> </w:t>
      </w:r>
      <w:r>
        <w:t xml:space="preserve">the reputational-surrender mechanism restated per phase (Phase One:</w:t>
      </w:r>
      <w:r>
        <w:t xml:space="preserve"> </w:t>
      </w:r>
      <w:r>
        <w:t xml:space="preserve">political-fiscal collapse, guns as background threat; Phase Two:</w:t>
      </w:r>
      <w:r>
        <w:t xml:space="preserve"> </w:t>
      </w:r>
      <w:r>
        <w:t xml:space="preserve">ballistic compression where fighting happened). If the date-cut does</w:t>
      </w:r>
      <w:r>
        <w:t xml:space="preserve"> </w:t>
      </w:r>
      <w:r>
        <w:t xml:space="preserve">not confirm it, the finding is recorded against the council and the</w:t>
      </w:r>
      <w:r>
        <w:t xml:space="preserve"> </w:t>
      </w:r>
      <w:r>
        <w:t xml:space="preserve">draft stands. Either way the chapter gains; no gated retrieval is</w:t>
      </w:r>
      <w:r>
        <w:t xml:space="preserve"> </w:t>
      </w:r>
      <w:r>
        <w:t xml:space="preserve">required.</w:t>
      </w:r>
    </w:p>
    <w:p>
      <w:r>
        <w:pict>
          <v:rect style="width:0;height:1.5pt" o:hralign="center" o:hrstd="t" o:hr="t"/>
        </w:pict>
      </w:r>
    </w:p>
    <w:bookmarkEnd w:id="92"/>
    <w:bookmarkStart w:id="93" w:name="X47e1f1c0cb3f45e945ea5c753ad1d25178e6b74"/>
    <w:p>
      <w:pPr>
        <w:pStyle w:val="Heading2"/>
      </w:pPr>
      <w:r>
        <w:t xml:space="preserve">2. The</w:t>
      </w:r>
      <w:r>
        <w:t xml:space="preserve"> </w:t>
      </w:r>
      <w:r>
        <w:rPr>
          <w:iCs/>
          <w:i/>
        </w:rPr>
        <w:t xml:space="preserve">délai de secours</w:t>
      </w:r>
      <w:r>
        <w:t xml:space="preserve"> </w:t>
      </w:r>
      <w:r>
        <w:t xml:space="preserve">as the named central device</w:t>
      </w:r>
    </w:p>
    <w:p>
      <w:pPr>
        <w:pStyle w:val="FirstParagraph"/>
      </w:pPr>
      <w:r>
        <w:rPr>
          <w:bCs/>
          <w:b/>
        </w:rPr>
        <w:t xml:space="preserve">What the draft carries.</w:t>
      </w:r>
      <w:r>
        <w:t xml:space="preserve"> </w:t>
      </w:r>
      <w:r>
        <w:t xml:space="preserve">One full instance, correctly textured:</w:t>
      </w:r>
      <w:r>
        <w:t xml:space="preserve"> </w:t>
      </w:r>
      <w:r>
        <w:t xml:space="preserve">Honfleur —</w:t>
      </w:r>
      <w:r>
        <w:t xml:space="preserve"> </w:t>
      </w:r>
      <w:r>
        <w:t xml:space="preserve">“</w:t>
      </w:r>
      <w:r>
        <w:t xml:space="preserve">delivered on 18 February 1450 unless the English</w:t>
      </w:r>
      <w:r>
        <w:t xml:space="preserve"> </w:t>
      </w:r>
      <w:r>
        <w:t xml:space="preserve">relieved it by battle in the open field before that date; hostages</w:t>
      </w:r>
      <w:r>
        <w:t xml:space="preserve"> </w:t>
      </w:r>
      <w:r>
        <w:t xml:space="preserve">were given for performance… the garrison was no longer selling</w:t>
      </w:r>
      <w:r>
        <w:t xml:space="preserve"> </w:t>
      </w:r>
      <w:r>
        <w:t xml:space="preserve">months, it was buying weeks</w:t>
      </w:r>
      <w:r>
        <w:t xml:space="preserve">”</w:t>
      </w:r>
      <w:r>
        <w:t xml:space="preserve"> </w:t>
      </w:r>
      <w:r>
        <w:t xml:space="preserve">(ll. 360–65); enforcement via Talbot’s</w:t>
      </w:r>
      <w:r>
        <w:t xml:space="preserve"> </w:t>
      </w:r>
      <w:r>
        <w:t xml:space="preserve">hostageship (</w:t>
      </w:r>
      <w:r>
        <w:t xml:space="preserve">“</w:t>
      </w:r>
      <w:r>
        <w:t xml:space="preserve">These surrenders were not battlefield improvisations.</w:t>
      </w:r>
      <w:r>
        <w:t xml:space="preserve"> </w:t>
      </w:r>
      <w:r>
        <w:t xml:space="preserve">They were contracts, enforced,</w:t>
      </w:r>
      <w:r>
        <w:t xml:space="preserve">”</w:t>
      </w:r>
      <w:r>
        <w:t xml:space="preserve"> </w:t>
      </w:r>
      <w:r>
        <w:t xml:space="preserve">ll. 371–72); Falaise conditioned on</w:t>
      </w:r>
      <w:r>
        <w:t xml:space="preserve"> </w:t>
      </w:r>
      <w:r>
        <w:t xml:space="preserve">Talbot’s release. The term</w:t>
      </w:r>
      <w:r>
        <w:t xml:space="preserve"> </w:t>
      </w:r>
      <w:r>
        <w:t xml:space="preserve">“</w:t>
      </w:r>
      <w:r>
        <w:t xml:space="preserve">délai de secours</w:t>
      </w:r>
      <w:r>
        <w:t xml:space="preserve">”</w:t>
      </w:r>
      <w:r>
        <w:t xml:space="preserve"> </w:t>
      </w:r>
      <w:r>
        <w:t xml:space="preserve">appears nowhere; the</w:t>
      </w:r>
      <w:r>
        <w:t xml:space="preserve"> </w:t>
      </w:r>
      <w:r>
        <w:t xml:space="preserve">device is not generalised; and the draft records Formigny destroying</w:t>
      </w:r>
      <w:r>
        <w:t xml:space="preserve"> </w:t>
      </w:r>
      <w:r>
        <w:t xml:space="preserve">“</w:t>
      </w:r>
      <w:r>
        <w:t xml:space="preserve">the last English field army</w:t>
      </w:r>
      <w:r>
        <w:t xml:space="preserve">”</w:t>
      </w:r>
      <w:r>
        <w:t xml:space="preserve"> </w:t>
      </w:r>
      <w:r>
        <w:t xml:space="preserve">(ll. 646–47) without connecting that</w:t>
      </w:r>
      <w:r>
        <w:t xml:space="preserve"> </w:t>
      </w:r>
      <w:r>
        <w:t xml:space="preserve">fact to relief clauses expiring en masse.</w:t>
      </w:r>
    </w:p>
    <w:p>
      <w:pPr>
        <w:pStyle w:val="BodyText"/>
      </w:pPr>
      <w:r>
        <w:rPr>
          <w:bCs/>
          <w:b/>
        </w:rPr>
        <w:t xml:space="preserve">What would change.</w:t>
      </w:r>
      <w:r>
        <w:t xml:space="preserve"> </w:t>
      </w:r>
      <w:r>
        <w:t xml:space="preserve">The composition-with-relief-clause becomes</w:t>
      </w:r>
      <w:r>
        <w:t xml:space="preserve"> </w:t>
      </w:r>
      <w:r>
        <w:t xml:space="preserve">the chapter’s named tempo mechanism: the guns priced the threat, the</w:t>
      </w:r>
      <w:r>
        <w:t xml:space="preserve"> </w:t>
      </w:r>
      <w:r>
        <w:t xml:space="preserve">clause encoded the price, Formigny deleted the relief, and the</w:t>
      </w:r>
      <w:r>
        <w:t xml:space="preserve"> </w:t>
      </w:r>
      <w:r>
        <w:t xml:space="preserve">remaining clocks ran out together. This is the council’s single most</w:t>
      </w:r>
      <w:r>
        <w:t xml:space="preserve"> </w:t>
      </w:r>
      <w:r>
        <w:t xml:space="preserve">structural upgrade and it fits the draft’s existing legal-order</w:t>
      </w:r>
      <w:r>
        <w:t xml:space="preserve"> </w:t>
      </w:r>
      <w:r>
        <w:t xml:space="preserve">material (ll. 433–46, 839–49) rather than displacing it.</w:t>
      </w:r>
    </w:p>
    <w:p>
      <w:pPr>
        <w:pStyle w:val="BodyText"/>
      </w:pPr>
      <w:r>
        <w:rPr>
          <w:bCs/>
          <w:b/>
        </w:rPr>
        <w:t xml:space="preserve">Source status.</w:t>
      </w:r>
      <w:r>
        <w:t xml:space="preserve"> </w:t>
      </w:r>
      <w:r>
        <w:t xml:space="preserve">The Honfleur instrument and Talbot’s hostageship</w:t>
      </w:r>
      <w:r>
        <w:t xml:space="preserve"> </w:t>
      </w:r>
      <w:r>
        <w:t xml:space="preserve">are already sourced in repo. The GENERALISATION —</w:t>
      </w:r>
      <w:r>
        <w:t xml:space="preserve"> </w:t>
      </w:r>
      <w:r>
        <w:t xml:space="preserve">“</w:t>
      </w:r>
      <w:r>
        <w:t xml:space="preserve">nearly every</w:t>
      </w:r>
      <w:r>
        <w:t xml:space="preserve"> </w:t>
      </w:r>
      <w:r>
        <w:t xml:space="preserve">place fell by notarised</w:t>
      </w:r>
      <w:r>
        <w:t xml:space="preserve"> </w:t>
      </w:r>
      <w:r>
        <w:rPr>
          <w:iCs/>
          <w:i/>
        </w:rPr>
        <w:t xml:space="preserve">appointement</w:t>
      </w:r>
      <w:r>
        <w:t xml:space="preserve"> </w:t>
      </w:r>
      <w:r>
        <w:t xml:space="preserve">with a relief date</w:t>
      </w:r>
      <w:r>
        <w:t xml:space="preserve">”</w:t>
      </w:r>
      <w:r>
        <w:t xml:space="preserve"> </w:t>
      </w:r>
      <w:r>
        <w:t xml:space="preserve">— is the</w:t>
      </w:r>
      <w:r>
        <w:t xml:space="preserve"> </w:t>
      </w:r>
      <w:r>
        <w:t xml:space="preserve">council’s characterisation and is NOT yet verified at scale: it</w:t>
      </w:r>
      <w:r>
        <w:t xml:space="preserve"> </w:t>
      </w:r>
      <w:r>
        <w:t xml:space="preserve">requires a sweep of the Somerset list and the Stevenson volumes</w:t>
      </w:r>
      <w:r>
        <w:t xml:space="preserve"> </w:t>
      </w:r>
      <w:r>
        <w:t xml:space="preserve">(both in repo; no retrieval needed, but the sweep has not been run)</w:t>
      </w:r>
      <w:r>
        <w:t xml:space="preserve"> </w:t>
      </w:r>
      <w:r>
        <w:t xml:space="preserve">before the draft may say</w:t>
      </w:r>
      <w:r>
        <w:t xml:space="preserve"> </w:t>
      </w:r>
      <w:r>
        <w:t xml:space="preserve">“</w:t>
      </w:r>
      <w:r>
        <w:t xml:space="preserve">sixty legal instruments.</w:t>
      </w:r>
      <w:r>
        <w:t xml:space="preserve">”</w:t>
      </w:r>
      <w:r>
        <w:t xml:space="preserve"> </w:t>
      </w:r>
      <w:r>
        <w:t xml:space="preserve">Curry p. 187</w:t>
      </w:r>
      <w:r>
        <w:t xml:space="preserve"> </w:t>
      </w:r>
      <w:r>
        <w:t xml:space="preserve">(in repo) supports the domino effect and</w:t>
      </w:r>
      <w:r>
        <w:t xml:space="preserve"> </w:t>
      </w:r>
      <w:r>
        <w:t xml:space="preserve">preparations-not-bombardment, not the notarial count.</w:t>
      </w:r>
    </w:p>
    <w:p>
      <w:pPr>
        <w:pStyle w:val="BodyText"/>
      </w:pPr>
      <w:r>
        <w:rPr>
          <w:bCs/>
          <w:b/>
        </w:rPr>
        <w:t xml:space="preserve">Recommendation. ADOPT the naming and the Formigny link;</w:t>
      </w:r>
      <w:r>
        <w:rPr>
          <w:bCs/>
          <w:b/>
        </w:rPr>
        <w:t xml:space="preserve"> </w:t>
      </w:r>
      <w:r>
        <w:rPr>
          <w:bCs/>
          <w:b/>
        </w:rPr>
        <w:t xml:space="preserve">QUARANTINE the count.</w:t>
      </w:r>
      <w:r>
        <w:t xml:space="preserve"> </w:t>
      </w:r>
      <w:r>
        <w:t xml:space="preserve">Memo Revisions entry naming the device on</w:t>
      </w:r>
      <w:r>
        <w:t xml:space="preserve"> </w:t>
      </w:r>
      <w:r>
        <w:t xml:space="preserve">the Honfleur exhibit, with the Formigny→expiry connection tagged</w:t>
      </w:r>
      <w:r>
        <w:t xml:space="preserve"> </w:t>
      </w:r>
      <w:r>
        <w:t xml:space="preserve">[BOOK’S ARGUMENT] unless and until the in-repo sweep documents</w:t>
      </w:r>
      <w:r>
        <w:t xml:space="preserve"> </w:t>
      </w:r>
      <w:r>
        <w:t xml:space="preserve">clause-dated capitulations at scale; the sweep itself is a</w:t>
      </w:r>
      <w:r>
        <w:t xml:space="preserve"> </w:t>
      </w:r>
      <w:r>
        <w:t xml:space="preserve">follow-on job against the Somerset list and Stevenson, no</w:t>
      </w:r>
      <w:r>
        <w:t xml:space="preserve"> </w:t>
      </w:r>
      <w:r>
        <w:t xml:space="preserve">retrieval required.</w:t>
      </w:r>
    </w:p>
    <w:p>
      <w:r>
        <w:pict>
          <v:rect style="width:0;height:1.5pt" o:hralign="center" o:hrstd="t" o:hr="t"/>
        </w:pict>
      </w:r>
    </w:p>
    <w:bookmarkEnd w:id="93"/>
    <w:bookmarkStart w:id="94" w:name="X327ad9f80f433da71e3af936830112015fe00ca"/>
    <w:p>
      <w:pPr>
        <w:pStyle w:val="Heading2"/>
      </w:pPr>
      <w:r>
        <w:t xml:space="preserve">3. Somerset’s dispatch, Worcester’s</w:t>
      </w:r>
      <w:r>
        <w:t xml:space="preserve"> </w:t>
      </w:r>
      <w:r>
        <w:rPr>
          <w:iCs/>
          <w:i/>
        </w:rPr>
        <w:t xml:space="preserve">Boke of Noblesse</w:t>
      </w:r>
      <w:r>
        <w:t xml:space="preserve">, Blondel’s line</w:t>
      </w:r>
    </w:p>
    <w:p>
      <w:pPr>
        <w:pStyle w:val="FirstParagraph"/>
      </w:pPr>
      <w:r>
        <w:rPr>
          <w:bCs/>
          <w:b/>
        </w:rPr>
        <w:t xml:space="preserve">What the draft carries.</w:t>
      </w:r>
      <w:r>
        <w:t xml:space="preserve"> </w:t>
      </w:r>
      <w:r>
        <w:t xml:space="preserve">Somerset’s 1449 dispatch is quoted (ll.</w:t>
      </w:r>
      <w:r>
        <w:t xml:space="preserve"> </w:t>
      </w:r>
      <w:r>
        <w:t xml:space="preserve">584–89, via Curry 2010: 185–87) — deployed as English exhaustion</w:t>
      </w:r>
      <w:r>
        <w:t xml:space="preserve"> </w:t>
      </w:r>
      <w:r>
        <w:t xml:space="preserve">inside the third counter-argument, though the adjoining sentence</w:t>
      </w:r>
      <w:r>
        <w:t xml:space="preserve"> </w:t>
      </w:r>
      <w:r>
        <w:t xml:space="preserve">(</w:t>
      </w:r>
      <w:r>
        <w:t xml:space="preserve">“</w:t>
      </w:r>
      <w:r>
        <w:t xml:space="preserve">the fiscal state that could afford the train faced a fiscal state</w:t>
      </w:r>
      <w:r>
        <w:t xml:space="preserve"> </w:t>
      </w:r>
      <w:r>
        <w:t xml:space="preserve">that could no longer afford walls, powder or relief,</w:t>
      </w:r>
      <w:r>
        <w:t xml:space="preserve">”</w:t>
      </w:r>
      <w:r>
        <w:t xml:space="preserve"> </w:t>
      </w:r>
      <w:r>
        <w:t xml:space="preserve">ll. 592–94)</w:t>
      </w:r>
      <w:r>
        <w:t xml:space="preserve"> </w:t>
      </w:r>
      <w:r>
        <w:t xml:space="preserve">already makes the council’s inversion point in substance. Worcester</w:t>
      </w:r>
      <w:r>
        <w:t xml:space="preserve"> </w:t>
      </w:r>
      <w:r>
        <w:t xml:space="preserve">is wholly absent from draft, memo, sources.md and retrieval-master.</w:t>
      </w:r>
      <w:r>
        <w:t xml:space="preserve"> </w:t>
      </w:r>
      <w:r>
        <w:t xml:space="preserve">Blondel is present via a different sentence (the walls-and-minds</w:t>
      </w:r>
      <w:r>
        <w:t xml:space="preserve"> </w:t>
      </w:r>
      <w:r>
        <w:t xml:space="preserve">line, ll. 342–44, Stevenson 1863: 152); the</w:t>
      </w:r>
      <w:r>
        <w:t xml:space="preserve"> </w:t>
      </w:r>
      <w:r>
        <w:t xml:space="preserve">“</w:t>
      </w:r>
      <w:r>
        <w:t xml:space="preserve">not walls but</w:t>
      </w:r>
      <w:r>
        <w:t xml:space="preserve"> </w:t>
      </w:r>
      <w:r>
        <w:t xml:space="preserve">soldiers</w:t>
      </w:r>
      <w:r>
        <w:t xml:space="preserve">”</w:t>
      </w:r>
      <w:r>
        <w:t xml:space="preserve"> </w:t>
      </w:r>
      <w:r>
        <w:t xml:space="preserve">epigram is absent.</w:t>
      </w:r>
    </w:p>
    <w:p>
      <w:pPr>
        <w:pStyle w:val="BodyText"/>
      </w:pPr>
      <w:r>
        <w:rPr>
          <w:bCs/>
          <w:b/>
        </w:rPr>
        <w:t xml:space="preserve">What would change.</w:t>
      </w:r>
      <w:r>
        <w:t xml:space="preserve"> </w:t>
      </w:r>
      <w:r>
        <w:t xml:space="preserve">The English state’s own post-mortem enters in</w:t>
      </w:r>
      <w:r>
        <w:t xml:space="preserve"> </w:t>
      </w:r>
      <w:r>
        <w:t xml:space="preserve">its two authentic documents: Somerset’s dispatch re-read as a</w:t>
      </w:r>
      <w:r>
        <w:t xml:space="preserve"> </w:t>
      </w:r>
      <w:r>
        <w:t xml:space="preserve">procurement-deficit report, and Worcester as the losing side’s staff</w:t>
      </w:r>
      <w:r>
        <w:t xml:space="preserve"> </w:t>
      </w:r>
      <w:r>
        <w:t xml:space="preserve">analysis independently reinventing the finance-first diagnosis.</w:t>
      </w:r>
    </w:p>
    <w:p>
      <w:pPr>
        <w:pStyle w:val="BodyText"/>
      </w:pPr>
      <w:r>
        <w:rPr>
          <w:bCs/>
          <w:b/>
        </w:rPr>
        <w:t xml:space="preserve">Source status — the strongest of the six.</w:t>
      </w:r>
      <w:r>
        <w:t xml:space="preserve"> </w:t>
      </w:r>
      <w:r>
        <w:t xml:space="preserve">Worcester is NOW IN</w:t>
      </w:r>
      <w:r>
        <w:t xml:space="preserve"> </w:t>
      </w:r>
      <w:r>
        <w:t xml:space="preserve">REPO (</w:t>
      </w:r>
      <w:r>
        <w:rPr>
          <w:rStyle w:val="VerbatimChar"/>
        </w:rPr>
        <w:t xml:space="preserve">corpus/retrieved/Worcester-Boke-of-Noblesse-Gutenberg.txt</w:t>
      </w:r>
      <w:r>
        <w:t xml:space="preserve">,</w:t>
      </w:r>
      <w:r>
        <w:t xml:space="preserve"> </w:t>
      </w:r>
      <w:r>
        <w:t xml:space="preserve">Gutenberg #33953, Nichols 1860 pagination preserved as</w:t>
      </w:r>
      <w:r>
        <w:t xml:space="preserve"> </w:t>
      </w:r>
      <w:r>
        <w:rPr>
          <w:rStyle w:val="VerbatimChar"/>
        </w:rPr>
        <w:t xml:space="preserve">{n}</w:t>
      </w:r>
      <w:r>
        <w:t xml:space="preserve"> </w:t>
      </w:r>
      <w:r>
        <w:t xml:space="preserve">markers), with the load-bearing passages verified this session:</w:t>
      </w:r>
      <w:r>
        <w:t xml:space="preserve"> </w:t>
      </w:r>
      <w:r>
        <w:t xml:space="preserve">- Nichols p. 74 (file ll. 5000–04): the second great hurt —</w:t>
      </w:r>
      <w:r>
        <w:t xml:space="preserve"> </w:t>
      </w:r>
      <w:r>
        <w:t xml:space="preserve">rebellion</w:t>
      </w:r>
      <w:r>
        <w:t xml:space="preserve"> </w:t>
      </w:r>
      <w:r>
        <w:t xml:space="preserve">“</w:t>
      </w:r>
      <w:r>
        <w:t xml:space="preserve">thoroughe theire wanhope, havyng no trust of hastie</w:t>
      </w:r>
      <w:r>
        <w:t xml:space="preserve"> </w:t>
      </w:r>
      <w:r>
        <w:t xml:space="preserve">socoure and relief of an armee to come in tyme covenable</w:t>
      </w:r>
      <w:r>
        <w:t xml:space="preserve">”</w:t>
      </w:r>
      <w:r>
        <w:t xml:space="preserve">; and</w:t>
      </w:r>
      <w:r>
        <w:t xml:space="preserve"> </w:t>
      </w:r>
      <w:r>
        <w:t xml:space="preserve">the third —</w:t>
      </w:r>
      <w:r>
        <w:t xml:space="preserve"> </w:t>
      </w:r>
      <w:r>
        <w:t xml:space="preserve">“</w:t>
      </w:r>
      <w:r>
        <w:t xml:space="preserve">famyn of vitaile and penurie of money, and lak of</w:t>
      </w:r>
      <w:r>
        <w:t xml:space="preserve"> </w:t>
      </w:r>
      <w:r>
        <w:t xml:space="preserve">provision of artillerie and stuffe of ordenaunce</w:t>
      </w:r>
      <w:r>
        <w:t xml:space="preserve">”</w:t>
      </w:r>
      <w:r>
        <w:t xml:space="preserve"> </w:t>
      </w:r>
      <w:r>
        <w:t xml:space="preserve">— Worcester</w:t>
      </w:r>
      <w:r>
        <w:t xml:space="preserve"> </w:t>
      </w:r>
      <w:r>
        <w:t xml:space="preserve">naming money-penury AND an English artillery-provision deficit,</w:t>
      </w:r>
      <w:r>
        <w:t xml:space="preserve"> </w:t>
      </w:r>
      <w:r>
        <w:t xml:space="preserve">converging with Somerset’s dispatch from the English side.</w:t>
      </w:r>
      <w:r>
        <w:t xml:space="preserve"> </w:t>
      </w:r>
      <w:r>
        <w:t xml:space="preserve">- Nichols pp. 29–30 (file ll. 3297–3305):</w:t>
      </w:r>
      <w:r>
        <w:t xml:space="preserve"> </w:t>
      </w:r>
      <w:r>
        <w:t xml:space="preserve">“</w:t>
      </w:r>
      <w:r>
        <w:t xml:space="preserve">in defaute of exercising</w:t>
      </w:r>
      <w:r>
        <w:t xml:space="preserve"> </w:t>
      </w:r>
      <w:r>
        <w:t xml:space="preserve">of armes… thoroughe the said coloure of trewes, and for lak of</w:t>
      </w:r>
      <w:r>
        <w:t xml:space="preserve"> </w:t>
      </w:r>
      <w:r>
        <w:t xml:space="preserve">good provisions bothe of artillery and ordenaunce.</w:t>
      </w:r>
      <w:r>
        <w:t xml:space="preserve">”</w:t>
      </w:r>
      <w:r>
        <w:t xml:space="preserve"> </w:t>
      </w:r>
      <w:r>
        <w:t xml:space="preserve">-</w:t>
      </w:r>
      <w:r>
        <w:t xml:space="preserve"> </w:t>
      </w:r>
      <w:r>
        <w:rPr>
          <w:bCs/>
          <w:b/>
        </w:rPr>
        <w:t xml:space="preserve">CAUTION on the council’s Latin rubric.</w:t>
      </w:r>
      <w:r>
        <w:t xml:space="preserve"> </w:t>
      </w:r>
      <w:r>
        <w:t xml:space="preserve">“</w:t>
      </w:r>
      <w:r>
        <w:t xml:space="preserve">Defectus pecuniae ad</w:t>
      </w:r>
      <w:r>
        <w:t xml:space="preserve"> </w:t>
      </w:r>
      <w:r>
        <w:t xml:space="preserve">solvendum soldarios fuit causa una prodicionis ducatus</w:t>
      </w:r>
      <w:r>
        <w:t xml:space="preserve"> </w:t>
      </w:r>
      <w:r>
        <w:t xml:space="preserve">Normanniae</w:t>
      </w:r>
      <w:r>
        <w:t xml:space="preserve">”</w:t>
      </w:r>
      <w:r>
        <w:t xml:space="preserve"> </w:t>
      </w:r>
      <w:r>
        <w:t xml:space="preserve">(file ll. 3442–43, Nichols pp. 33–34) glosses</w:t>
      </w:r>
      <w:r>
        <w:t xml:space="preserve"> </w:t>
      </w:r>
      <w:r>
        <w:t xml:space="preserve">Worcester’s KING JOHN / 1203 exemplum, not 1449–50 directly;</w:t>
      </w:r>
      <w:r>
        <w:t xml:space="preserve"> </w:t>
      </w:r>
      <w:r>
        <w:t xml:space="preserve">Worcester’s own bridge (</w:t>
      </w:r>
      <w:r>
        <w:t xml:space="preserve">“</w:t>
      </w:r>
      <w:r>
        <w:t xml:space="preserve">a like mysfortune… fille unto us</w:t>
      </w:r>
      <w:r>
        <w:t xml:space="preserve">”</w:t>
      </w:r>
      <w:r>
        <w:t xml:space="preserve">) does</w:t>
      </w:r>
      <w:r>
        <w:t xml:space="preserve"> </w:t>
      </w:r>
      <w:r>
        <w:t xml:space="preserve">the contemporary work. The finance-first attribution should rest</w:t>
      </w:r>
      <w:r>
        <w:t xml:space="preserve"> </w:t>
      </w:r>
      <w:r>
        <w:t xml:space="preserve">on the p. 74 passage, not the rubric.</w:t>
      </w:r>
      <w:r>
        <w:t xml:space="preserve"> </w:t>
      </w:r>
      <w:r>
        <w:t xml:space="preserve">- Blondel’s epigram is verified findable in the in-repo</w:t>
      </w:r>
      <w:r>
        <w:t xml:space="preserve"> </w:t>
      </w:r>
      <w:r>
        <w:rPr>
          <w:rStyle w:val="VerbatimChar"/>
        </w:rPr>
        <w:t xml:space="preserve">narrativesofexpu00stev.pdf</w:t>
      </w:r>
      <w:r>
        <w:t xml:space="preserve"> </w:t>
      </w:r>
      <w:r>
        <w:t xml:space="preserve">text layer (</w:t>
      </w:r>
      <w:r>
        <w:t xml:space="preserve">“</w:t>
      </w:r>
      <w:r>
        <w:t xml:space="preserve">Non enim moenia…, sed</w:t>
      </w:r>
      <w:r>
        <w:t xml:space="preserve"> </w:t>
      </w:r>
      <w:r>
        <w:t xml:space="preserve">militum virtus bello instructa urbes et castra tutatur,</w:t>
      </w:r>
      <w:r>
        <w:t xml:space="preserve">”</w:t>
      </w:r>
      <w:r>
        <w:t xml:space="preserve"> </w:t>
      </w:r>
      <w:r>
        <w:rPr>
          <w:iCs/>
          <w:i/>
        </w:rPr>
        <w:t xml:space="preserve">De</w:t>
      </w:r>
      <w:r>
        <w:rPr>
          <w:iCs/>
          <w:i/>
        </w:rPr>
        <w:t xml:space="preserve"> </w:t>
      </w:r>
      <w:r>
        <w:rPr>
          <w:iCs/>
          <w:i/>
        </w:rPr>
        <w:t xml:space="preserve">Reductione</w:t>
      </w:r>
      <w:r>
        <w:t xml:space="preserve"> </w:t>
      </w:r>
      <w:r>
        <w:t xml:space="preserve">~pp. 17–18) —</w:t>
      </w:r>
      <w:r>
        <w:t xml:space="preserve"> </w:t>
      </w:r>
      <w:r>
        <w:rPr>
          <w:bCs/>
          <w:b/>
        </w:rPr>
        <w:t xml:space="preserve">but its context is Brittany’s</w:t>
      </w:r>
      <w:r>
        <w:rPr>
          <w:bCs/>
          <w:b/>
        </w:rPr>
        <w:t xml:space="preserve"> </w:t>
      </w:r>
      <w:r>
        <w:rPr>
          <w:bCs/>
          <w:b/>
        </w:rPr>
        <w:t xml:space="preserve">truce-era demilitarisation, not Normandy’s walls</w:t>
      </w:r>
      <w:r>
        <w:t xml:space="preserve">; usable only</w:t>
      </w:r>
      <w:r>
        <w:t xml:space="preserve"> </w:t>
      </w:r>
      <w:r>
        <w:t xml:space="preserve">with that context stated.</w:t>
      </w:r>
    </w:p>
    <w:p>
      <w:pPr>
        <w:pStyle w:val="BodyText"/>
      </w:pPr>
      <w:r>
        <w:rPr>
          <w:bCs/>
          <w:b/>
        </w:rPr>
        <w:t xml:space="preserve">Recommendation. ADOPT.</w:t>
      </w:r>
      <w:r>
        <w:t xml:space="preserve"> </w:t>
      </w:r>
      <w:r>
        <w:t xml:space="preserve">The cheapest, best-evidenced upgrade of</w:t>
      </w:r>
      <w:r>
        <w:t xml:space="preserve"> </w:t>
      </w:r>
      <w:r>
        <w:t xml:space="preserve">the six: both texts are in repo at page level today. Memo Revisions</w:t>
      </w:r>
      <w:r>
        <w:t xml:space="preserve"> </w:t>
      </w:r>
      <w:r>
        <w:t xml:space="preserve">entry pairing Somerset (procurement deficit) with Worcester p. 74</w:t>
      </w:r>
      <w:r>
        <w:t xml:space="preserve"> </w:t>
      </w:r>
      <w:r>
        <w:t xml:space="preserve">(money-penury plus artillery-provision deficit) as the English</w:t>
      </w:r>
      <w:r>
        <w:t xml:space="preserve"> </w:t>
      </w:r>
      <w:r>
        <w:t xml:space="preserve">finance-first post-mortem; the epigram admitted only with its</w:t>
      </w:r>
      <w:r>
        <w:t xml:space="preserve"> </w:t>
      </w:r>
      <w:r>
        <w:t xml:space="preserve">Breton context; the 1203-rubric caution carried.</w:t>
      </w:r>
      <w:r>
        <w:t xml:space="preserve"> </w:t>
      </w:r>
      <w:r>
        <w:rPr>
          <w:bCs/>
          <w:b/>
        </w:rPr>
        <w:t xml:space="preserve">Housekeeping</w:t>
      </w:r>
      <w:r>
        <w:rPr>
          <w:bCs/>
          <w:b/>
        </w:rPr>
        <w:t xml:space="preserve"> </w:t>
      </w:r>
      <w:r>
        <w:rPr>
          <w:bCs/>
          <w:b/>
        </w:rPr>
        <w:t xml:space="preserve">flag for Roderick:</w:t>
      </w:r>
      <w:r>
        <w:t xml:space="preserve"> </w:t>
      </w:r>
      <w:r>
        <w:t xml:space="preserve">the draft cites</w:t>
      </w:r>
      <w:r>
        <w:t xml:space="preserve"> </w:t>
      </w:r>
      <w:r>
        <w:t xml:space="preserve">“</w:t>
      </w:r>
      <w:r>
        <w:t xml:space="preserve">Stevenson 1863</w:t>
      </w:r>
      <w:r>
        <w:t xml:space="preserve">”</w:t>
      </w:r>
      <w:r>
        <w:t xml:space="preserve"> </w:t>
      </w:r>
      <w:r>
        <w:t xml:space="preserve">(~15 times)</w:t>
      </w:r>
      <w:r>
        <w:t xml:space="preserve"> </w:t>
      </w:r>
      <w:r>
        <w:t xml:space="preserve">but ch06/sources.md has NO entry for Stevenson’s</w:t>
      </w:r>
      <w:r>
        <w:t xml:space="preserve"> </w:t>
      </w:r>
      <w:r>
        <w:rPr>
          <w:iCs/>
          <w:i/>
        </w:rPr>
        <w:t xml:space="preserve">Narratives of the</w:t>
      </w:r>
      <w:r>
        <w:rPr>
          <w:iCs/>
          <w:i/>
        </w:rPr>
        <w:t xml:space="preserve"> </w:t>
      </w:r>
      <w:r>
        <w:rPr>
          <w:iCs/>
          <w:i/>
        </w:rPr>
        <w:t xml:space="preserve">Expulsion</w:t>
      </w:r>
      <w:r>
        <w:t xml:space="preserve"> </w:t>
      </w:r>
      <w:r>
        <w:t xml:space="preserve">— only</w:t>
      </w:r>
      <w:r>
        <w:t xml:space="preserve"> </w:t>
      </w:r>
      <w:r>
        <w:rPr>
          <w:iCs/>
          <w:i/>
        </w:rPr>
        <w:t xml:space="preserve">Letters and Papers</w:t>
      </w:r>
      <w:r>
        <w:t xml:space="preserve"> </w:t>
      </w:r>
      <w:r>
        <w:t xml:space="preserve">and a stale</w:t>
      </w:r>
      <w:r>
        <w:t xml:space="preserve"> </w:t>
      </w:r>
      <w:r>
        <w:t xml:space="preserve">“</w:t>
      </w:r>
      <w:r>
        <w:t xml:space="preserve">not yet</w:t>
      </w:r>
      <w:r>
        <w:t xml:space="preserve"> </w:t>
      </w:r>
      <w:r>
        <w:t xml:space="preserve">consulted</w:t>
      </w:r>
      <w:r>
        <w:t xml:space="preserve">”</w:t>
      </w:r>
      <w:r>
        <w:t xml:space="preserve"> </w:t>
      </w:r>
      <w:r>
        <w:t xml:space="preserve">Berry pointer. The sources.md entry should be regularised</w:t>
      </w:r>
      <w:r>
        <w:t xml:space="preserve"> </w:t>
      </w:r>
      <w:r>
        <w:t xml:space="preserve">when the memo entry is made.</w:t>
      </w:r>
    </w:p>
    <w:p>
      <w:r>
        <w:pict>
          <v:rect style="width:0;height:1.5pt" o:hralign="center" o:hrstd="t" o:hr="t"/>
        </w:pict>
      </w:r>
    </w:p>
    <w:bookmarkEnd w:id="94"/>
    <w:bookmarkStart w:id="95" w:name="X12a53cacc7888a6ac461734c78f34e1e932193d"/>
    <w:p>
      <w:pPr>
        <w:pStyle w:val="Heading2"/>
      </w:pPr>
      <w:r>
        <w:t xml:space="preserve">4. Castillon with Howard’s dissent and Basin’s temerity reading</w:t>
      </w:r>
    </w:p>
    <w:p>
      <w:pPr>
        <w:pStyle w:val="FirstParagraph"/>
      </w:pPr>
      <w:r>
        <w:rPr>
          <w:bCs/>
          <w:b/>
        </w:rPr>
        <w:t xml:space="preserve">What the draft carries.</w:t>
      </w:r>
      <w:r>
        <w:t xml:space="preserve"> </w:t>
      </w:r>
      <w:r>
        <w:t xml:space="preserve">Castillon stands as the unqualified</w:t>
      </w:r>
      <w:r>
        <w:t xml:space="preserve"> </w:t>
      </w:r>
      <w:r>
        <w:t xml:space="preserve">clean case (</w:t>
      </w:r>
      <w:r>
        <w:t xml:space="preserve">“</w:t>
      </w:r>
      <w:r>
        <w:t xml:space="preserve">the major key, and it will bear the weight,</w:t>
      </w:r>
      <w:r>
        <w:t xml:space="preserve">”</w:t>
      </w:r>
      <w:r>
        <w:t xml:space="preserve"> </w:t>
      </w:r>
      <w:r>
        <w:t xml:space="preserve">l. 662;</w:t>
      </w:r>
      <w:r>
        <w:t xml:space="preserve"> </w:t>
      </w:r>
      <w:r>
        <w:t xml:space="preserve">memo §5:</w:t>
      </w:r>
      <w:r>
        <w:t xml:space="preserve"> </w:t>
      </w:r>
      <w:r>
        <w:t xml:space="preserve">“</w:t>
      </w:r>
      <w:r>
        <w:t xml:space="preserve">Castillon is the clean case Formigny is not</w:t>
      </w:r>
      <w:r>
        <w:t xml:space="preserve">”</w:t>
      </w:r>
      <w:r>
        <w:t xml:space="preserve">). Basin’s</w:t>
      </w:r>
      <w:r>
        <w:t xml:space="preserve"> </w:t>
      </w:r>
      <w:r>
        <w:t xml:space="preserve">impetuosity reading appears only as pre-refuted via Pollard (</w:t>
      </w:r>
      <w:r>
        <w:t xml:space="preserve">“</w:t>
      </w:r>
      <w:r>
        <w:t xml:space="preserve">the</w:t>
      </w:r>
      <w:r>
        <w:t xml:space="preserve"> </w:t>
      </w:r>
      <w:r>
        <w:t xml:space="preserve">blanket charge of impetuosity, Basin’s and the older tradition’s,</w:t>
      </w:r>
      <w:r>
        <w:t xml:space="preserve"> </w:t>
      </w:r>
      <w:r>
        <w:t xml:space="preserve">founders on a career of battles prudently refused,</w:t>
      </w:r>
      <w:r>
        <w:t xml:space="preserve">”</w:t>
      </w:r>
      <w:r>
        <w:t xml:space="preserve"> </w:t>
      </w:r>
      <w:r>
        <w:t xml:space="preserve">ll. 764–66);</w:t>
      </w:r>
      <w:r>
        <w:t xml:space="preserve"> </w:t>
      </w:r>
      <w:r>
        <w:t xml:space="preserve">the divine-vengeance half is absent. Michael Howard’s dissent</w:t>
      </w:r>
      <w:r>
        <w:t xml:space="preserve"> </w:t>
      </w:r>
      <w:r>
        <w:t xml:space="preserve">(</w:t>
      </w:r>
      <w:r>
        <w:t xml:space="preserve">“</w:t>
      </w:r>
      <w:r>
        <w:t xml:space="preserve">Castillon was in no sense a victory for field artillery</w:t>
      </w:r>
      <w:r>
        <w:t xml:space="preserve">”</w:t>
      </w:r>
      <w:r>
        <w:t xml:space="preserve">) appears</w:t>
      </w:r>
      <w:r>
        <w:t xml:space="preserve"> </w:t>
      </w:r>
      <w:r>
        <w:t xml:space="preserve">nowhere in the repo — not in any ch06 file, not on any retrieval</w:t>
      </w:r>
      <w:r>
        <w:t xml:space="preserve"> </w:t>
      </w:r>
      <w:r>
        <w:t xml:space="preserve">list.</w:t>
      </w:r>
    </w:p>
    <w:p>
      <w:pPr>
        <w:pStyle w:val="BodyText"/>
      </w:pPr>
      <w:r>
        <w:rPr>
          <w:bCs/>
          <w:b/>
        </w:rPr>
        <w:t xml:space="preserve">What would change.</w:t>
      </w:r>
      <w:r>
        <w:t xml:space="preserve"> </w:t>
      </w:r>
      <w:r>
        <w:t xml:space="preserve">The chapter’s cleanest exhibit is presented</w:t>
      </w:r>
      <w:r>
        <w:t xml:space="preserve"> </w:t>
      </w:r>
      <w:r>
        <w:t xml:space="preserve">as what it is — contested in both the contemporary record (Basin’s</w:t>
      </w:r>
      <w:r>
        <w:t xml:space="preserve"> </w:t>
      </w:r>
      <w:r>
        <w:t xml:space="preserve">temerity-and-vengeance) and the modern literature (Howard) — and</w:t>
      </w:r>
      <w:r>
        <w:t xml:space="preserve"> </w:t>
      </w:r>
      <w:r>
        <w:t xml:space="preserve">argued through rather than assumed. Given the book’s</w:t>
      </w:r>
      <w:r>
        <w:t xml:space="preserve"> </w:t>
      </w:r>
      <w:r>
        <w:t xml:space="preserve">sceptics-concede signature, staging the dissent and answering it is</w:t>
      </w:r>
      <w:r>
        <w:t xml:space="preserve"> </w:t>
      </w:r>
      <w:r>
        <w:t xml:space="preserve">in-register; ignoring it is the one posture the apparatus cannot</w:t>
      </w:r>
      <w:r>
        <w:t xml:space="preserve"> </w:t>
      </w:r>
      <w:r>
        <w:t xml:space="preserve">afford.</w:t>
      </w:r>
    </w:p>
    <w:p>
      <w:pPr>
        <w:pStyle w:val="BodyText"/>
      </w:pPr>
      <w:r>
        <w:rPr>
          <w:bCs/>
          <w:b/>
        </w:rPr>
        <w:t xml:space="preserve">Source status.</w:t>
      </w:r>
      <w:r>
        <w:t xml:space="preserve"> </w:t>
      </w:r>
      <w:r>
        <w:t xml:space="preserve">NOT retrievable from memory: Howard’s sentence</w:t>
      </w:r>
      <w:r>
        <w:t xml:space="preserve"> </w:t>
      </w:r>
      <w:r>
        <w:t xml:space="preserve">must be pinned to the edition (</w:t>
      </w:r>
      <w:r>
        <w:rPr>
          <w:iCs/>
          <w:i/>
        </w:rPr>
        <w:t xml:space="preserve">War in European History</w:t>
      </w:r>
      <w:r>
        <w:t xml:space="preserve">, OUP 1976;</w:t>
      </w:r>
      <w:r>
        <w:t xml:space="preserve"> </w:t>
      </w:r>
      <w:r>
        <w:t xml:space="preserve">page unknown until the book is in hand) — added to retrieval-master</w:t>
      </w:r>
      <w:r>
        <w:t xml:space="preserve"> </w:t>
      </w:r>
      <w:r>
        <w:t xml:space="preserve">this session. Basin at first hand remains a wanted row</w:t>
      </w:r>
      <w:r>
        <w:t xml:space="preserve"> </w:t>
      </w:r>
      <w:r>
        <w:t xml:space="preserve">(retrieval-master 2026-08-04: Samaran ed. gated; open Quicherat</w:t>
      </w:r>
      <w:r>
        <w:t xml:space="preserve"> </w:t>
      </w:r>
      <w:r>
        <w:t xml:space="preserve">scans noted); in-repo Basin is fragments via Contamine’s apparatus</w:t>
      </w:r>
      <w:r>
        <w:t xml:space="preserve"> </w:t>
      </w:r>
      <w:r>
        <w:t xml:space="preserve">and via Pollard, whose ~p. 5 verbatim (</w:t>
      </w:r>
      <w:r>
        <w:t xml:space="preserve">“</w:t>
      </w:r>
      <w:r>
        <w:t xml:space="preserve">thinking that his name</w:t>
      </w:r>
      <w:r>
        <w:t xml:space="preserve"> </w:t>
      </w:r>
      <w:r>
        <w:t xml:space="preserve">alone would cause the enemy to take flight</w:t>
      </w:r>
      <w:r>
        <w:t xml:space="preserve">”</w:t>
      </w:r>
      <w:r>
        <w:t xml:space="preserve">) is already in memo</w:t>
      </w:r>
      <w:r>
        <w:t xml:space="preserve"> </w:t>
      </w:r>
      <w:r>
        <w:t xml:space="preserve">Revisions 14.</w:t>
      </w:r>
    </w:p>
    <w:p>
      <w:pPr>
        <w:pStyle w:val="BodyText"/>
      </w:pPr>
      <w:r>
        <w:rPr>
          <w:bCs/>
          <w:b/>
        </w:rPr>
        <w:t xml:space="preserve">Recommendation. ADOPT IN PRINCIPLE; EXECUTE AFTER RETRIEVAL.</w:t>
      </w:r>
      <w:r>
        <w:t xml:space="preserve"> </w:t>
      </w:r>
      <w:r>
        <w:t xml:space="preserve">The</w:t>
      </w:r>
      <w:r>
        <w:t xml:space="preserve"> </w:t>
      </w:r>
      <w:r>
        <w:t xml:space="preserve">dissent may not be staged from the council’s summary (that would</w:t>
      </w:r>
      <w:r>
        <w:t xml:space="preserve"> </w:t>
      </w:r>
      <w:r>
        <w:t xml:space="preserve">cite Howard from memory — CLAUDE.md §4 forbids it). Until Howard’s</w:t>
      </w:r>
      <w:r>
        <w:t xml:space="preserve"> </w:t>
      </w:r>
      <w:r>
        <w:t xml:space="preserve">page is pinned and Basin’s passage is read in an edition, the memo</w:t>
      </w:r>
      <w:r>
        <w:t xml:space="preserve"> </w:t>
      </w:r>
      <w:r>
        <w:t xml:space="preserve">may carry only what is already sourced: Basin-via-Pollard (in repo)</w:t>
      </w:r>
      <w:r>
        <w:t xml:space="preserve"> </w:t>
      </w:r>
      <w:r>
        <w:t xml:space="preserve">plus a [UNVERIFIED — RETRIEVAL: Howard 1976] placeholder naming the</w:t>
      </w:r>
      <w:r>
        <w:t xml:space="preserve"> </w:t>
      </w:r>
      <w:r>
        <w:t xml:space="preserve">dependent claim.</w:t>
      </w:r>
    </w:p>
    <w:p>
      <w:r>
        <w:pict>
          <v:rect style="width:0;height:1.5pt" o:hralign="center" o:hrstd="t" o:hr="t"/>
        </w:pict>
      </w:r>
    </w:p>
    <w:bookmarkEnd w:id="95"/>
    <w:bookmarkStart w:id="96" w:name="X614035154feef64dcd62a1643ba19651050e068"/>
    <w:p>
      <w:pPr>
        <w:pStyle w:val="Heading2"/>
      </w:pPr>
      <w:r>
        <w:t xml:space="preserve">5. The Gascony 1451–53 reversal as controlled experiment</w:t>
      </w:r>
    </w:p>
    <w:p>
      <w:pPr>
        <w:pStyle w:val="FirstParagraph"/>
      </w:pPr>
      <w:r>
        <w:rPr>
          <w:bCs/>
          <w:b/>
        </w:rPr>
        <w:t xml:space="preserve">What the draft carries.</w:t>
      </w:r>
      <w:r>
        <w:t xml:space="preserve"> </w:t>
      </w:r>
      <w:r>
        <w:t xml:space="preserve">Fully — the strongest match of the six.</w:t>
      </w:r>
      <w:r>
        <w:t xml:space="preserve"> </w:t>
      </w:r>
      <w:r>
        <w:t xml:space="preserve">The 1451 loyalty test (Guyenne falling rapidly despite pro-English</w:t>
      </w:r>
      <w:r>
        <w:t xml:space="preserve"> </w:t>
      </w:r>
      <w:r>
        <w:t xml:space="preserve">sympathy; Fronsac by composition; Blaye in five days; the</w:t>
      </w:r>
      <w:r>
        <w:t xml:space="preserve"> </w:t>
      </w:r>
      <w:r>
        <w:t xml:space="preserve">pension-buying texture via Vale); the 1452 counter-experiment</w:t>
      </w:r>
      <w:r>
        <w:t xml:space="preserve"> </w:t>
      </w:r>
      <w:r>
        <w:t xml:space="preserve">(</w:t>
      </w:r>
      <w:r>
        <w:t xml:space="preserve">“</w:t>
      </w:r>
      <w:r>
        <w:t xml:space="preserve">Talbot appeared before Bordeaux with no siege train at all, the</w:t>
      </w:r>
      <w:r>
        <w:t xml:space="preserve"> </w:t>
      </w:r>
      <w:r>
        <w:t xml:space="preserve">city rose… What politics alone could not do — as 1453 would</w:t>
      </w:r>
      <w:r>
        <w:t xml:space="preserve"> </w:t>
      </w:r>
      <w:r>
        <w:t xml:space="preserve">demonstrate — was hold walls against the train. The two Bordeaux</w:t>
      </w:r>
      <w:r>
        <w:t xml:space="preserve"> </w:t>
      </w:r>
      <w:r>
        <w:t xml:space="preserve">reversals, twenty months apart, are as close to a controlled</w:t>
      </w:r>
      <w:r>
        <w:t xml:space="preserve"> </w:t>
      </w:r>
      <w:r>
        <w:t xml:space="preserve">experiment as the fifteenth century offers,</w:t>
      </w:r>
      <w:r>
        <w:t xml:space="preserve">”</w:t>
      </w:r>
      <w:r>
        <w:t xml:space="preserve"> </w:t>
      </w:r>
      <w:r>
        <w:t xml:space="preserve">ll. 570–80); the</w:t>
      </w:r>
      <w:r>
        <w:t xml:space="preserve"> </w:t>
      </w:r>
      <w:r>
        <w:t xml:space="preserve">paired constitutional settlements at ll. 839–49.</w:t>
      </w:r>
    </w:p>
    <w:p>
      <w:pPr>
        <w:pStyle w:val="BodyText"/>
      </w:pPr>
      <w:r>
        <w:rPr>
          <w:bCs/>
          <w:b/>
        </w:rPr>
        <w:t xml:space="preserve">What would change.</w:t>
      </w:r>
      <w:r>
        <w:t xml:space="preserve"> </w:t>
      </w:r>
      <w:r>
        <w:t xml:space="preserve">Nothing structural. The council’s framing</w:t>
      </w:r>
      <w:r>
        <w:t xml:space="preserve"> </w:t>
      </w:r>
      <w:r>
        <w:t xml:space="preserve">(</w:t>
      </w:r>
      <w:r>
        <w:t xml:space="preserve">“</w:t>
      </w:r>
      <w:r>
        <w:t xml:space="preserve">guns produce tempo, not allegiance</w:t>
      </w:r>
      <w:r>
        <w:t xml:space="preserve">”</w:t>
      </w:r>
      <w:r>
        <w:t xml:space="preserve">) is already the draft’s.</w:t>
      </w:r>
    </w:p>
    <w:p>
      <w:pPr>
        <w:pStyle w:val="BodyText"/>
      </w:pPr>
      <w:r>
        <w:rPr>
          <w:bCs/>
          <w:b/>
        </w:rPr>
        <w:t xml:space="preserve">A finding AGAINST the council’s embellishment.</w:t>
      </w:r>
      <w:r>
        <w:t xml:space="preserve"> </w:t>
      </w:r>
      <w:r>
        <w:t xml:space="preserve">The council</w:t>
      </w:r>
      <w:r>
        <w:t xml:space="preserve"> </w:t>
      </w:r>
      <w:r>
        <w:t xml:space="preserve">attributes the October 1452 rising to</w:t>
      </w:r>
      <w:r>
        <w:t xml:space="preserve"> </w:t>
      </w:r>
      <w:r>
        <w:t xml:space="preserve">“</w:t>
      </w:r>
      <w:r>
        <w:t xml:space="preserve">a broken tax exemption.</w:t>
      </w:r>
      <w:r>
        <w:t xml:space="preserve">”</w:t>
      </w:r>
      <w:r>
        <w:t xml:space="preserve"> </w:t>
      </w:r>
      <w:r>
        <w:t xml:space="preserve">Vale 1969 — T2, IN REPO, read this session — explicitly contests</w:t>
      </w:r>
      <w:r>
        <w:t xml:space="preserve"> </w:t>
      </w:r>
      <w:r>
        <w:t xml:space="preserve">the tax-breach story at its source:</w:t>
      </w:r>
      <w:r>
        <w:t xml:space="preserve"> </w:t>
      </w:r>
      <w:r>
        <w:t xml:space="preserve">“</w:t>
      </w:r>
      <w:r>
        <w:t xml:space="preserve">There is no evidence, apart</w:t>
      </w:r>
      <w:r>
        <w:t xml:space="preserve"> </w:t>
      </w:r>
      <w:r>
        <w:t xml:space="preserve">from Thomas Basin’s account, that Guyenne was subjected to taxation</w:t>
      </w:r>
      <w:r>
        <w:t xml:space="preserve"> </w:t>
      </w:r>
      <w:r>
        <w:t xml:space="preserve">which might constitute a breach of the treaty of 12 June 1451 by</w:t>
      </w:r>
      <w:r>
        <w:t xml:space="preserve"> </w:t>
      </w:r>
      <w:r>
        <w:t xml:space="preserve">the king</w:t>
      </w:r>
      <w:r>
        <w:t xml:space="preserve">”</w:t>
      </w:r>
      <w:r>
        <w:t xml:space="preserve"> </w:t>
      </w:r>
      <w:r>
        <w:t xml:space="preserve">(TRHS 1969, print pp. 131–32); and on the preliminaries,</w:t>
      </w:r>
      <w:r>
        <w:t xml:space="preserve"> </w:t>
      </w:r>
      <w:r>
        <w:t xml:space="preserve">“</w:t>
      </w:r>
      <w:r>
        <w:t xml:space="preserve">Thomas Basin is hardly the most reliable of authorities</w:t>
      </w:r>
      <w:r>
        <w:t xml:space="preserve">”</w:t>
      </w:r>
      <w:r>
        <w:t xml:space="preserve"> </w:t>
      </w:r>
      <w:r>
        <w:t xml:space="preserve">(p. 126),</w:t>
      </w:r>
      <w:r>
        <w:t xml:space="preserve"> </w:t>
      </w:r>
      <w:r>
        <w:t xml:space="preserve">with the Bordeaux-embassy tradition called</w:t>
      </w:r>
      <w:r>
        <w:t xml:space="preserve"> </w:t>
      </w:r>
      <w:r>
        <w:t xml:space="preserve">“</w:t>
      </w:r>
      <w:r>
        <w:t xml:space="preserve">much embroidery on</w:t>
      </w:r>
      <w:r>
        <w:t xml:space="preserve"> </w:t>
      </w:r>
      <w:r>
        <w:t xml:space="preserve">Basin’s theme.</w:t>
      </w:r>
      <w:r>
        <w:t xml:space="preserve">”</w:t>
      </w:r>
      <w:r>
        <w:t xml:space="preserve"> </w:t>
      </w:r>
      <w:r>
        <w:t xml:space="preserve">Vale documents MORE evidence of forcible taxation</w:t>
      </w:r>
      <w:r>
        <w:t xml:space="preserve"> </w:t>
      </w:r>
      <w:r>
        <w:t xml:space="preserve">under Talbot’s own 1452–53 administration than under the French.</w:t>
      </w:r>
      <w:r>
        <w:t xml:space="preserve"> </w:t>
      </w:r>
      <w:r>
        <w:t xml:space="preserve">The draft’s existing wording (</w:t>
      </w:r>
      <w:r>
        <w:t xml:space="preserve">“</w:t>
      </w:r>
      <w:r>
        <w:t xml:space="preserve">the city rose for its old</w:t>
      </w:r>
      <w:r>
        <w:t xml:space="preserve"> </w:t>
      </w:r>
      <w:r>
        <w:t xml:space="preserve">allegiance</w:t>
      </w:r>
      <w:r>
        <w:t xml:space="preserve">”</w:t>
      </w:r>
      <w:r>
        <w:t xml:space="preserve">) is therefore SAFER than the council’s. Record the</w:t>
      </w:r>
      <w:r>
        <w:t xml:space="preserve"> </w:t>
      </w:r>
      <w:r>
        <w:t xml:space="preserve">disagreement (Basin and the chronicle tradition vs Vale) per</w:t>
      </w:r>
      <w:r>
        <w:t xml:space="preserve"> </w:t>
      </w:r>
      <w:r>
        <w:t xml:space="preserve">CLAUDE.md §5; do not import the tax trigger.</w:t>
      </w:r>
    </w:p>
    <w:p>
      <w:pPr>
        <w:pStyle w:val="BodyText"/>
      </w:pPr>
      <w:r>
        <w:rPr>
          <w:bCs/>
          <w:b/>
        </w:rPr>
        <w:t xml:space="preserve">Recommendation. NO CHANGE to the draft’s structure; do not adopt</w:t>
      </w:r>
      <w:r>
        <w:rPr>
          <w:bCs/>
          <w:b/>
        </w:rPr>
        <w:t xml:space="preserve"> </w:t>
      </w:r>
      <w:r>
        <w:rPr>
          <w:bCs/>
          <w:b/>
        </w:rPr>
        <w:t xml:space="preserve">the tax-exemption trigger.</w:t>
      </w:r>
      <w:r>
        <w:t xml:space="preserve"> </w:t>
      </w:r>
      <w:r>
        <w:t xml:space="preserve">If Roderick wants the fiscal-grievance</w:t>
      </w:r>
      <w:r>
        <w:t xml:space="preserve"> </w:t>
      </w:r>
      <w:r>
        <w:t xml:space="preserve">texture, it must be staged as the contested point it is, Vale’s</w:t>
      </w:r>
      <w:r>
        <w:t xml:space="preserve"> </w:t>
      </w:r>
      <w:r>
        <w:t xml:space="preserve">dissent stated — a memo Revisions entry can carry the</w:t>
      </w:r>
      <w:r>
        <w:t xml:space="preserve"> </w:t>
      </w:r>
      <w:r>
        <w:t xml:space="preserve">historiographical note; nothing more.</w:t>
      </w:r>
    </w:p>
    <w:p>
      <w:r>
        <w:pict>
          <v:rect style="width:0;height:1.5pt" o:hralign="center" o:hrstd="t" o:hr="t"/>
        </w:pict>
      </w:r>
    </w:p>
    <w:bookmarkEnd w:id="96"/>
    <w:bookmarkStart w:id="97" w:name="Xa8d1d70b6ff9693b2bb46b16eef37805c99230a"/>
    <w:p>
      <w:pPr>
        <w:pStyle w:val="Heading2"/>
      </w:pPr>
      <w:r>
        <w:t xml:space="preserve">6. Source-independence of the</w:t>
      </w:r>
      <w:r>
        <w:t xml:space="preserve"> </w:t>
      </w:r>
      <w:r>
        <w:rPr>
          <w:iCs/>
          <w:i/>
        </w:rPr>
        <w:t xml:space="preserve">Recouvrement</w:t>
      </w:r>
      <w:r>
        <w:t xml:space="preserve"> </w:t>
      </w:r>
      <w:r>
        <w:t xml:space="preserve">tradition</w:t>
      </w:r>
    </w:p>
    <w:p>
      <w:pPr>
        <w:pStyle w:val="FirstParagraph"/>
      </w:pPr>
      <w:r>
        <w:rPr>
          <w:bCs/>
          <w:b/>
        </w:rPr>
        <w:t xml:space="preserve">What the draft carries.</w:t>
      </w:r>
      <w:r>
        <w:t xml:space="preserve"> </w:t>
      </w:r>
      <w:r>
        <w:t xml:space="preserve">Nothing. Berry Herald, Blondel, Chartier</w:t>
      </w:r>
      <w:r>
        <w:t xml:space="preserve"> </w:t>
      </w:r>
      <w:r>
        <w:t xml:space="preserve">and Escouchy are treated as separate corroborating witnesses (e.g.</w:t>
      </w:r>
      <w:r>
        <w:t xml:space="preserve"> </w:t>
      </w:r>
      <w:r>
        <w:t xml:space="preserve">the Rouen chronicle column lists all four side by side). Existing</w:t>
      </w:r>
      <w:r>
        <w:t xml:space="preserve"> </w:t>
      </w:r>
      <w:r>
        <w:t xml:space="preserve">cautions are individual (Somerset-list partisanship; Leseur’s</w:t>
      </w:r>
      <w:r>
        <w:t xml:space="preserve"> </w:t>
      </w:r>
      <w:r>
        <w:t xml:space="preserve">exaggeration; Berry’s white-cross prodigy flagged) — not the</w:t>
      </w:r>
      <w:r>
        <w:t xml:space="preserve"> </w:t>
      </w:r>
      <w:r>
        <w:t xml:space="preserve">interdependence point: that the</w:t>
      </w:r>
      <w:r>
        <w:t xml:space="preserve"> </w:t>
      </w:r>
      <w:r>
        <w:rPr>
          <w:iCs/>
          <w:i/>
        </w:rPr>
        <w:t xml:space="preserve">Recouvrement</w:t>
      </w:r>
      <w:r>
        <w:t xml:space="preserve">, Chartier, Berry</w:t>
      </w:r>
      <w:r>
        <w:t xml:space="preserve"> </w:t>
      </w:r>
      <w:r>
        <w:t xml:space="preserve">Herald and parts of Escouchy constitute one victory tradition, so</w:t>
      </w:r>
      <w:r>
        <w:t xml:space="preserve"> </w:t>
      </w:r>
      <w:r>
        <w:t xml:space="preserve">the French artillery testimony counts for less than its volume.</w:t>
      </w:r>
    </w:p>
    <w:p>
      <w:pPr>
        <w:pStyle w:val="BodyText"/>
      </w:pPr>
      <w:r>
        <w:rPr>
          <w:bCs/>
          <w:b/>
        </w:rPr>
        <w:t xml:space="preserve">What would change.</w:t>
      </w:r>
      <w:r>
        <w:t xml:space="preserve"> </w:t>
      </w:r>
      <w:r>
        <w:t xml:space="preserve">A methodological discipline, not a draft</w:t>
      </w:r>
      <w:r>
        <w:t xml:space="preserve"> </w:t>
      </w:r>
      <w:r>
        <w:t xml:space="preserve">passage: wherever the draft stacks the French chroniclers as</w:t>
      </w:r>
      <w:r>
        <w:t xml:space="preserve"> </w:t>
      </w:r>
      <w:r>
        <w:t xml:space="preserve">independent corroboration of artillery’s role, the stack must be</w:t>
      </w:r>
      <w:r>
        <w:t xml:space="preserve"> </w:t>
      </w:r>
      <w:r>
        <w:t xml:space="preserve">discounted to one tradition plus genuinely independent witnesses</w:t>
      </w:r>
      <w:r>
        <w:t xml:space="preserve"> </w:t>
      </w:r>
      <w:r>
        <w:t xml:space="preserve">(the Somerset list; the English chronicles; Blondel where he</w:t>
      </w:r>
      <w:r>
        <w:t xml:space="preserve"> </w:t>
      </w:r>
      <w:r>
        <w:t xml:space="preserve">diverges). This strengthens the book’s apparatus (it is exactly the</w:t>
      </w:r>
      <w:r>
        <w:t xml:space="preserve"> </w:t>
      </w:r>
      <w:r>
        <w:t xml:space="preserve">kind of caution critiques.md exists to hold) and slightly weakens</w:t>
      </w:r>
      <w:r>
        <w:t xml:space="preserve"> </w:t>
      </w:r>
      <w:r>
        <w:t xml:space="preserve">the artillery-forward testimony — which the ratchet reading (spine</w:t>
      </w:r>
      <w:r>
        <w:t xml:space="preserve"> </w:t>
      </w:r>
      <w:r>
        <w:t xml:space="preserve">§8(a)) can absorb, since the book’s mechanism no longer rides on</w:t>
      </w:r>
      <w:r>
        <w:t xml:space="preserve"> </w:t>
      </w:r>
      <w:r>
        <w:t xml:space="preserve">chronicler enthusiasm.</w:t>
      </w:r>
    </w:p>
    <w:p>
      <w:pPr>
        <w:pStyle w:val="BodyText"/>
      </w:pPr>
      <w:r>
        <w:rPr>
          <w:bCs/>
          <w:b/>
        </w:rPr>
        <w:t xml:space="preserve">Source status.</w:t>
      </w:r>
      <w:r>
        <w:t xml:space="preserve"> </w:t>
      </w:r>
      <w:r>
        <w:t xml:space="preserve">Michaud-Fréjaville is listed nowhere in the repo</w:t>
      </w:r>
      <w:r>
        <w:t xml:space="preserve"> </w:t>
      </w:r>
      <w:r>
        <w:t xml:space="preserve">and the attribution of the interdependence finding to her is the</w:t>
      </w:r>
      <w:r>
        <w:t xml:space="preserve"> </w:t>
      </w:r>
      <w:r>
        <w:t xml:space="preserve">council’s — NOT verifiable from anything in repo. The claim needs</w:t>
      </w:r>
      <w:r>
        <w:t xml:space="preserve"> </w:t>
      </w:r>
      <w:r>
        <w:t xml:space="preserve">its actual scholarly carrier identified and retrieved (route to</w:t>
      </w:r>
      <w:r>
        <w:t xml:space="preserve"> </w:t>
      </w:r>
      <w:r>
        <w:t xml:space="preserve">verify: her</w:t>
      </w:r>
      <w:r>
        <w:t xml:space="preserve"> </w:t>
      </w:r>
      <w:r>
        <w:rPr>
          <w:iCs/>
          <w:i/>
        </w:rPr>
        <w:t xml:space="preserve">Recouvrement</w:t>
      </w:r>
      <w:r>
        <w:t xml:space="preserve"> </w:t>
      </w:r>
      <w:r>
        <w:t xml:space="preserve">scholarship, likely via Persée/</w:t>
      </w:r>
      <w:r>
        <w:t xml:space="preserve"> </w:t>
      </w:r>
      <w:r>
        <w:t xml:space="preserve">OpenEdition; entered on retrieval-master this session).</w:t>
      </w:r>
      <w:r>
        <w:t xml:space="preserve"> </w:t>
      </w:r>
      <w:r>
        <w:t xml:space="preserve">Contamine’s</w:t>
      </w:r>
      <w:r>
        <w:t xml:space="preserve"> </w:t>
      </w:r>
      <w:r>
        <w:t xml:space="preserve">“</w:t>
      </w:r>
      <w:r>
        <w:t xml:space="preserve">Un regard sur le Recouvrement de Normendie</w:t>
      </w:r>
      <w:r>
        <w:t xml:space="preserve">”</w:t>
      </w:r>
      <w:r>
        <w:t xml:space="preserve"> </w:t>
      </w:r>
      <w:r>
        <w:t xml:space="preserve">is the</w:t>
      </w:r>
      <w:r>
        <w:t xml:space="preserve"> </w:t>
      </w:r>
      <w:r>
        <w:t xml:space="preserve">adjacent piece the council also names; route likewise to verify.</w:t>
      </w:r>
    </w:p>
    <w:p>
      <w:pPr>
        <w:pStyle w:val="BodyText"/>
      </w:pPr>
      <w:r>
        <w:rPr>
          <w:bCs/>
          <w:b/>
        </w:rPr>
        <w:t xml:space="preserve">Recommendation. ADOPT the caution now, AT THE APPARATUS LEVEL</w:t>
      </w:r>
      <w:r>
        <w:rPr>
          <w:bCs/>
          <w:b/>
        </w:rPr>
        <w:t xml:space="preserve"> </w:t>
      </w:r>
      <w:r>
        <w:rPr>
          <w:bCs/>
          <w:b/>
        </w:rPr>
        <w:t xml:space="preserve">ONLY</w:t>
      </w:r>
      <w:r>
        <w:t xml:space="preserve"> </w:t>
      </w:r>
      <w:r>
        <w:t xml:space="preserve">(a critiques.md/memo methodological note that the French</w:t>
      </w:r>
      <w:r>
        <w:t xml:space="preserve"> </w:t>
      </w:r>
      <w:r>
        <w:t xml:space="preserve">testimony is one tradition — this much is verifiable from the</w:t>
      </w:r>
      <w:r>
        <w:t xml:space="preserve"> </w:t>
      </w:r>
      <w:r>
        <w:t xml:space="preserve">texts’ own filiation once stated by a retrieved authority); the</w:t>
      </w:r>
      <w:r>
        <w:t xml:space="preserve"> </w:t>
      </w:r>
      <w:r>
        <w:t xml:space="preserve">named attribution waits for the article. No draft change until</w:t>
      </w:r>
      <w:r>
        <w:t xml:space="preserve"> </w:t>
      </w:r>
      <w:r>
        <w:t xml:space="preserve">then.</w:t>
      </w:r>
    </w:p>
    <w:p>
      <w:r>
        <w:pict>
          <v:rect style="width:0;height:1.5pt" o:hralign="center" o:hrstd="t" o:hr="t"/>
        </w:pict>
      </w:r>
    </w:p>
    <w:bookmarkEnd w:id="97"/>
    <w:bookmarkStart w:id="98" w:name="summary-table"/>
    <w:p>
      <w:pPr>
        <w:pStyle w:val="Heading2"/>
      </w:pPr>
      <w:r>
        <w:t xml:space="preserve">Summary table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Council upgrade</w:t>
            </w:r>
          </w:p>
        </w:tc>
        <w:tc>
          <w:tcPr/>
          <w:p>
            <w:pPr>
              <w:pStyle w:val="Compact"/>
              <w:jc w:val="left"/>
            </w:pPr>
            <w:r>
              <w:t xml:space="preserve">Draft today</w:t>
            </w:r>
          </w:p>
        </w:tc>
        <w:tc>
          <w:tcPr/>
          <w:p>
            <w:pPr>
              <w:pStyle w:val="Compact"/>
              <w:jc w:val="left"/>
            </w:pPr>
            <w:r>
              <w:t xml:space="preserve">Recommendation</w:t>
            </w:r>
          </w:p>
        </w:tc>
        <w:tc>
          <w:tcPr/>
          <w:p>
            <w:pPr>
              <w:pStyle w:val="Compact"/>
              <w:jc w:val="left"/>
            </w:pPr>
            <w:r>
              <w:t xml:space="preserve">Gated?</w:t>
            </w:r>
          </w:p>
        </w:tc>
      </w:tr>
      <w:tr>
        <w:tc>
          <w:tcPr/>
          <w:p>
            <w:pPr>
              <w:pStyle w:val="Compact"/>
              <w:jc w:val="left"/>
            </w:pPr>
            <w:r>
              <w:t xml:space="preserve">1</w:t>
            </w:r>
          </w:p>
        </w:tc>
        <w:tc>
          <w:tcPr/>
          <w:p>
            <w:pPr>
              <w:pStyle w:val="Compact"/>
              <w:jc w:val="left"/>
            </w:pPr>
            <w:r>
              <w:t xml:space="preserve">Campaign vs siege speed</w:t>
            </w:r>
          </w:p>
        </w:tc>
        <w:tc>
          <w:tcPr/>
          <w:p>
            <w:pPr>
              <w:pStyle w:val="Compact"/>
              <w:jc w:val="left"/>
            </w:pPr>
            <w:r>
              <w:t xml:space="preserve">Split implicit; phase split absent</w:t>
            </w:r>
          </w:p>
        </w:tc>
        <w:tc>
          <w:tcPr/>
          <w:p>
            <w:pPr>
              <w:pStyle w:val="Compact"/>
              <w:jc w:val="left"/>
            </w:pPr>
            <w:r>
              <w:t xml:space="preserve">ADOPT after in-repo date-cut test</w:t>
            </w:r>
          </w:p>
        </w:tc>
        <w:tc>
          <w:tcPr/>
          <w:p>
            <w:pPr>
              <w:pStyle w:val="Compact"/>
              <w:jc w:val="left"/>
            </w:pPr>
            <w:r>
              <w:t xml:space="preserve">No</w:t>
            </w:r>
          </w:p>
        </w:tc>
      </w:tr>
      <w:tr>
        <w:tc>
          <w:tcPr/>
          <w:p>
            <w:pPr>
              <w:pStyle w:val="Compact"/>
              <w:jc w:val="left"/>
            </w:pPr>
            <w:r>
              <w:t xml:space="preserve">2</w:t>
            </w:r>
          </w:p>
        </w:tc>
        <w:tc>
          <w:tcPr/>
          <w:p>
            <w:pPr>
              <w:pStyle w:val="Compact"/>
              <w:jc w:val="left"/>
            </w:pPr>
            <w:r>
              <w:t xml:space="preserve">Délai de secours named</w:t>
            </w:r>
          </w:p>
        </w:tc>
        <w:tc>
          <w:tcPr/>
          <w:p>
            <w:pPr>
              <w:pStyle w:val="Compact"/>
              <w:jc w:val="left"/>
            </w:pPr>
            <w:r>
              <w:t xml:space="preserve">One instance (Honfleur)</w:t>
            </w:r>
          </w:p>
        </w:tc>
        <w:tc>
          <w:tcPr/>
          <w:p>
            <w:pPr>
              <w:pStyle w:val="Compact"/>
              <w:jc w:val="left"/>
            </w:pPr>
            <w:r>
              <w:t xml:space="preserve">ADOPT naming + Formigny link; quarantine the</w:t>
            </w:r>
            <w:r>
              <w:t xml:space="preserve"> </w:t>
            </w:r>
            <w:r>
              <w:t xml:space="preserve">“</w:t>
            </w:r>
            <w:r>
              <w:t xml:space="preserve">sixty instruments</w:t>
            </w:r>
            <w:r>
              <w:t xml:space="preserve">”</w:t>
            </w:r>
            <w:r>
              <w:t xml:space="preserve"> </w:t>
            </w:r>
            <w:r>
              <w:t xml:space="preserve">count pending in-repo sweep</w:t>
            </w:r>
          </w:p>
        </w:tc>
        <w:tc>
          <w:tcPr/>
          <w:p>
            <w:pPr>
              <w:pStyle w:val="Compact"/>
              <w:jc w:val="left"/>
            </w:pPr>
            <w:r>
              <w:t xml:space="preserve">No</w:t>
            </w:r>
          </w:p>
        </w:tc>
      </w:tr>
      <w:tr>
        <w:tc>
          <w:tcPr/>
          <w:p>
            <w:pPr>
              <w:pStyle w:val="Compact"/>
              <w:jc w:val="left"/>
            </w:pPr>
            <w:r>
              <w:t xml:space="preserve">3</w:t>
            </w:r>
          </w:p>
        </w:tc>
        <w:tc>
          <w:tcPr/>
          <w:p>
            <w:pPr>
              <w:pStyle w:val="Compact"/>
              <w:jc w:val="left"/>
            </w:pPr>
            <w:r>
              <w:t xml:space="preserve">Somerset + Worcester + Blondel line</w:t>
            </w:r>
          </w:p>
        </w:tc>
        <w:tc>
          <w:tcPr/>
          <w:p>
            <w:pPr>
              <w:pStyle w:val="Compact"/>
              <w:jc w:val="left"/>
            </w:pPr>
            <w:r>
              <w:t xml:space="preserve">Somerset yes; Worcester absent; epigram absent</w:t>
            </w:r>
          </w:p>
        </w:tc>
        <w:tc>
          <w:tcPr/>
          <w:p>
            <w:pPr>
              <w:pStyle w:val="Compact"/>
              <w:jc w:val="left"/>
            </w:pPr>
            <w:r>
              <w:t xml:space="preserve">ADOPT — Worcester now in repo, verified; rubric caution; epigram with Breton context</w:t>
            </w:r>
          </w:p>
        </w:tc>
        <w:tc>
          <w:tcPr/>
          <w:p>
            <w:pPr>
              <w:pStyle w:val="Compact"/>
              <w:jc w:val="left"/>
            </w:pPr>
            <w:r>
              <w:t xml:space="preserve">No</w:t>
            </w:r>
          </w:p>
        </w:tc>
      </w:tr>
      <w:tr>
        <w:tc>
          <w:tcPr/>
          <w:p>
            <w:pPr>
              <w:pStyle w:val="Compact"/>
              <w:jc w:val="left"/>
            </w:pPr>
            <w:r>
              <w:t xml:space="preserve">4</w:t>
            </w:r>
          </w:p>
        </w:tc>
        <w:tc>
          <w:tcPr/>
          <w:p>
            <w:pPr>
              <w:pStyle w:val="Compact"/>
              <w:jc w:val="left"/>
            </w:pPr>
            <w:r>
              <w:t xml:space="preserve">Castillon contested (Howard, Basin)</w:t>
            </w:r>
          </w:p>
        </w:tc>
        <w:tc>
          <w:tcPr/>
          <w:p>
            <w:pPr>
              <w:pStyle w:val="Compact"/>
              <w:jc w:val="left"/>
            </w:pPr>
            <w:r>
              <w:t xml:space="preserve">Clean case; Basin pre-refuted via Pollard</w:t>
            </w:r>
          </w:p>
        </w:tc>
        <w:tc>
          <w:tcPr/>
          <w:p>
            <w:pPr>
              <w:pStyle w:val="Compact"/>
              <w:jc w:val="left"/>
            </w:pPr>
            <w:r>
              <w:t xml:space="preserve">ADOPT in principle; execute after Howard/Basin retrieval</w:t>
            </w:r>
          </w:p>
        </w:tc>
        <w:tc>
          <w:tcPr/>
          <w:p>
            <w:pPr>
              <w:pStyle w:val="Compact"/>
              <w:jc w:val="left"/>
            </w:pPr>
            <w:r>
              <w:t xml:space="preserve">Yes</w:t>
            </w:r>
          </w:p>
        </w:tc>
      </w:tr>
      <w:tr>
        <w:tc>
          <w:tcPr/>
          <w:p>
            <w:pPr>
              <w:pStyle w:val="Compact"/>
              <w:jc w:val="left"/>
            </w:pPr>
            <w:r>
              <w:t xml:space="preserve">5</w:t>
            </w:r>
          </w:p>
        </w:tc>
        <w:tc>
          <w:tcPr/>
          <w:p>
            <w:pPr>
              <w:pStyle w:val="Compact"/>
              <w:jc w:val="left"/>
            </w:pPr>
            <w:r>
              <w:t xml:space="preserve">Gascony controlled experiment</w:t>
            </w:r>
          </w:p>
        </w:tc>
        <w:tc>
          <w:tcPr/>
          <w:p>
            <w:pPr>
              <w:pStyle w:val="Compact"/>
              <w:jc w:val="left"/>
            </w:pPr>
            <w:r>
              <w:t xml:space="preserve">Fully carried</w:t>
            </w:r>
          </w:p>
        </w:tc>
        <w:tc>
          <w:tcPr/>
          <w:p>
            <w:pPr>
              <w:pStyle w:val="Compact"/>
              <w:jc w:val="left"/>
            </w:pPr>
            <w:r>
              <w:t xml:space="preserve">NO CHANGE; reject tax-trigger embellishment (Vale 1969 contests it, in repo)</w:t>
            </w:r>
          </w:p>
        </w:tc>
        <w:tc>
          <w:tcPr/>
          <w:p>
            <w:pPr>
              <w:pStyle w:val="Compact"/>
              <w:jc w:val="left"/>
            </w:pPr>
            <w:r>
              <w:t xml:space="preserve">No</w:t>
            </w:r>
          </w:p>
        </w:tc>
      </w:tr>
      <w:tr>
        <w:tc>
          <w:tcPr/>
          <w:p>
            <w:pPr>
              <w:pStyle w:val="Compact"/>
              <w:jc w:val="left"/>
            </w:pPr>
            <w:r>
              <w:t xml:space="preserve">6</w:t>
            </w:r>
          </w:p>
        </w:tc>
        <w:tc>
          <w:tcPr/>
          <w:p>
            <w:pPr>
              <w:pStyle w:val="Compact"/>
              <w:jc w:val="left"/>
            </w:pPr>
            <w:r>
              <w:t xml:space="preserve">Recouvrement interdependence</w:t>
            </w:r>
          </w:p>
        </w:tc>
        <w:tc>
          <w:tcPr/>
          <w:p>
            <w:pPr>
              <w:pStyle w:val="Compact"/>
              <w:jc w:val="left"/>
            </w:pPr>
            <w:r>
              <w:t xml:space="preserve">Absent</w:t>
            </w:r>
          </w:p>
        </w:tc>
        <w:tc>
          <w:tcPr/>
          <w:p>
            <w:pPr>
              <w:pStyle w:val="Compact"/>
              <w:jc w:val="left"/>
            </w:pPr>
            <w:r>
              <w:t xml:space="preserve">ADOPT as apparatus-level caution; attribution awaits Michaud-Fréjaville retrieval</w:t>
            </w:r>
          </w:p>
        </w:tc>
        <w:tc>
          <w:tcPr/>
          <w:p>
            <w:pPr>
              <w:pStyle w:val="Compact"/>
              <w:jc w:val="left"/>
            </w:pPr>
            <w:r>
              <w:t xml:space="preserve">Yes</w:t>
            </w:r>
          </w:p>
        </w:tc>
      </w:tr>
    </w:tbl>
    <w:p>
      <w:pPr>
        <w:pStyle w:val="BodyText"/>
      </w:pPr>
      <w:r>
        <w:t xml:space="preserve">Nothing above is draft text; every adoption runs through a memo or</w:t>
      </w:r>
      <w:r>
        <w:t xml:space="preserve"> </w:t>
      </w:r>
      <w:r>
        <w:t xml:space="preserve">critiques Revisions entry, PENDING HUMAN REVIEW, in the normal way.</w:t>
      </w:r>
    </w:p>
    <w:bookmarkEnd w:id="98"/>
    <w:bookmarkEnd w:id="99"/>
    <w:bookmarkStart w:id="112" w:name="X61ae081248b0721206a379586e1e8b20fcc67d1"/>
    <w:p>
      <w:pPr>
        <w:pStyle w:val="Heading1"/>
      </w:pPr>
      <w:r>
        <w:t xml:space="preserve">Part C — Memo and critique Revisions entries marked PENDING HUMAN REVIEW</w:t>
      </w:r>
    </w:p>
    <w:bookmarkStart w:id="100" w:name="ch05memo.md"/>
    <w:p>
      <w:pPr>
        <w:pStyle w:val="Heading2"/>
      </w:pPr>
      <w:r>
        <w:t xml:space="preserve">ch05/memo.md</w:t>
      </w:r>
    </w:p>
    <w:p>
      <w:pPr>
        <w:numPr>
          <w:ilvl w:val="0"/>
          <w:numId w:val="1015"/>
        </w:numPr>
        <w:pStyle w:val="Compact"/>
      </w:pPr>
      <w:r>
        <w:rPr>
          <w:bCs/>
          <w:b/>
        </w:rPr>
        <w:t xml:space="preserve">(2026-09-02 — Fortescue credit owed. PENDING HUMAN REVIEW.)</w:t>
      </w:r>
      <w:r>
        <w:t xml:space="preserve"> </w:t>
      </w:r>
      <w:r>
        <w:t xml:space="preserve">The</w:t>
      </w:r>
      <w:r>
        <w:t xml:space="preserve"> </w:t>
      </w:r>
      <w:r>
        <w:t xml:space="preserve">phrase</w:t>
      </w:r>
      <w:r>
        <w:t xml:space="preserve"> </w:t>
      </w:r>
      <w:r>
        <w:t xml:space="preserve">“</w:t>
      </w:r>
      <w:r>
        <w:t xml:space="preserve">over-mighty subject</w:t>
      </w:r>
      <w:r>
        <w:t xml:space="preserve">”</w:t>
      </w:r>
      <w:r>
        <w:t xml:space="preserve"> </w:t>
      </w:r>
      <w:r>
        <w:t xml:space="preserve">predates McFarlane’s inversion: Sir</w:t>
      </w:r>
      <w:r>
        <w:t xml:space="preserve"> </w:t>
      </w:r>
      <w:r>
        <w:t xml:space="preserve">John Fortescue,</w:t>
      </w:r>
      <w:r>
        <w:t xml:space="preserve"> </w:t>
      </w:r>
      <w:r>
        <w:rPr>
          <w:iCs/>
          <w:i/>
        </w:rPr>
        <w:t xml:space="preserve">The Governance of England</w:t>
      </w:r>
      <w:r>
        <w:t xml:space="preserve"> </w:t>
      </w:r>
      <w:r>
        <w:t xml:space="preserve">(c. 1471–75), on the</w:t>
      </w:r>
      <w:r>
        <w:t xml:space="preserve"> </w:t>
      </w:r>
      <w:r>
        <w:t xml:space="preserve">danger to a king from</w:t>
      </w:r>
      <w:r>
        <w:t xml:space="preserve"> </w:t>
      </w:r>
      <w:r>
        <w:t xml:space="preserve">“</w:t>
      </w:r>
      <w:r>
        <w:t xml:space="preserve">ovur mighty subgiettes.</w:t>
      </w:r>
      <w:r>
        <w:t xml:space="preserve">”</w:t>
      </w:r>
      <w:r>
        <w:t xml:space="preserve"> </w:t>
      </w:r>
      <w:r>
        <w:t xml:space="preserve">The chapter credits</w:t>
      </w:r>
      <w:r>
        <w:t xml:space="preserve"> </w:t>
      </w:r>
      <w:r>
        <w:t xml:space="preserve">McFarlane for the undermighty-king dictum (Revisions, 2026-08-01);</w:t>
      </w:r>
      <w:r>
        <w:t xml:space="preserve"> </w:t>
      </w:r>
      <w:r>
        <w:t xml:space="preserve">it should credit Fortescue for the term he inverted. Fortescue</w:t>
      </w:r>
      <w:r>
        <w:t xml:space="preserve"> </w:t>
      </w:r>
      <w:r>
        <w:t xml:space="preserve">(Plummer ed., 1885, archive.org) on the retrieval list; no draft</w:t>
      </w:r>
      <w:r>
        <w:t xml:space="preserve"> </w:t>
      </w:r>
      <w:r>
        <w:t xml:space="preserve">text proposed. Filed by Claude/Cowork on Roderick’s instruction.</w:t>
      </w:r>
    </w:p>
    <w:p>
      <w:r>
        <w:pict>
          <v:rect style="width:0;height:1.5pt" o:hralign="center" o:hrstd="t" o:hr="t"/>
        </w:pict>
      </w:r>
    </w:p>
    <w:bookmarkEnd w:id="100"/>
    <w:bookmarkStart w:id="101" w:name="ch06memo.md"/>
    <w:p>
      <w:pPr>
        <w:pStyle w:val="Heading2"/>
      </w:pPr>
      <w:r>
        <w:t xml:space="preserve">ch06/memo.md</w:t>
      </w:r>
    </w:p>
    <w:p>
      <w:pPr>
        <w:numPr>
          <w:ilvl w:val="0"/>
          <w:numId w:val="1016"/>
        </w:numPr>
        <w:pStyle w:val="Compact"/>
      </w:pPr>
      <w:r>
        <w:rPr>
          <w:bCs/>
          <w:b/>
        </w:rPr>
        <w:t xml:space="preserve">(2026-09-02 — The Economist essay at T3: the Talbot/Belloc</w:t>
      </w:r>
      <w:r>
        <w:rPr>
          <w:bCs/>
          <w:b/>
        </w:rPr>
        <w:t xml:space="preserve"> </w:t>
      </w:r>
      <w:r>
        <w:rPr>
          <w:bCs/>
          <w:b/>
        </w:rPr>
        <w:t xml:space="preserve">two-error symmetry for §VI. PENDING HUMAN REVIEW.)</w:t>
      </w:r>
      <w:r>
        <w:t xml:space="preserve"> </w:t>
      </w:r>
      <w:r>
        <w:t xml:space="preserve">Executed</w:t>
      </w:r>
      <w:r>
        <w:t xml:space="preserve"> </w:t>
      </w:r>
      <w:r>
        <w:t xml:space="preserve">against spine §8 and the 2026-09-02 session instruction; no draft</w:t>
      </w:r>
      <w:r>
        <w:t xml:space="preserve"> </w:t>
      </w:r>
      <w:r>
        <w:t xml:space="preserve">text proposed.</w:t>
      </w:r>
    </w:p>
    <w:p>
      <w:pPr>
        <w:numPr>
          <w:ilvl w:val="1"/>
          <w:numId w:val="1017"/>
        </w:numPr>
        <w:pStyle w:val="Compact"/>
      </w:pPr>
      <w:r>
        <w:rPr>
          <w:bCs/>
          <w:b/>
        </w:rPr>
        <w:t xml:space="preserve">The device.</w:t>
      </w:r>
      <w:r>
        <w:t xml:space="preserve"> </w:t>
      </w:r>
      <w:r>
        <w:t xml:space="preserve">Draft §VI carries the seize-the-train reading of</w:t>
      </w:r>
      <w:r>
        <w:t xml:space="preserve"> </w:t>
      </w:r>
      <w:r>
        <w:t xml:space="preserve">Talbot’s death — the error of</w:t>
      </w:r>
      <w:r>
        <w:t xml:space="preserve"> </w:t>
      </w:r>
      <w:r>
        <w:rPr>
          <w:iCs/>
          <w:i/>
        </w:rPr>
        <w:t xml:space="preserve">underestimating</w:t>
      </w:r>
      <w:r>
        <w:t xml:space="preserve"> </w:t>
      </w:r>
      <w:r>
        <w:t xml:space="preserve">the apparatus</w:t>
      </w:r>
      <w:r>
        <w:t xml:space="preserve"> </w:t>
      </w:r>
      <w:r>
        <w:t xml:space="preserve">behind the guns. The essay (sources.md 2026-09-02 entry)</w:t>
      </w:r>
      <w:r>
        <w:t xml:space="preserve"> </w:t>
      </w:r>
      <w:r>
        <w:t xml:space="preserve">supplies the mirror error: the</w:t>
      </w:r>
      <w:r>
        <w:t xml:space="preserve"> </w:t>
      </w:r>
      <w:r>
        <w:t xml:space="preserve">“</w:t>
      </w:r>
      <w:r>
        <w:t xml:space="preserve">Belloc syndrome</w:t>
      </w:r>
      <w:r>
        <w:t xml:space="preserve">”</w:t>
      </w:r>
      <w:r>
        <w:t xml:space="preserve"> </w:t>
      </w:r>
      <w:r>
        <w:t xml:space="preserve">(Gady’s</w:t>
      </w:r>
      <w:r>
        <w:t xml:space="preserve"> </w:t>
      </w:r>
      <w:r>
        <w:t xml:space="preserve">coinage in the essay) —</w:t>
      </w:r>
      <w:r>
        <w:t xml:space="preserve"> </w:t>
      </w:r>
      <w:r>
        <w:t xml:space="preserve">“</w:t>
      </w:r>
      <w:r>
        <w:t xml:space="preserve">the belief that a one-sided</w:t>
      </w:r>
      <w:r>
        <w:t xml:space="preserve"> </w:t>
      </w:r>
      <w:r>
        <w:t xml:space="preserve">application of brute force in its most modern and efficient</w:t>
      </w:r>
      <w:r>
        <w:t xml:space="preserve"> </w:t>
      </w:r>
      <w:r>
        <w:t xml:space="preserve">form will always prove decisive</w:t>
      </w:r>
      <w:r>
        <w:t xml:space="preserve">”</w:t>
      </w:r>
      <w:r>
        <w:t xml:space="preserve"> </w:t>
      </w:r>
      <w:r>
        <w:t xml:space="preserve">— anchored in the Maxim-gun</w:t>
      </w:r>
      <w:r>
        <w:t xml:space="preserve"> </w:t>
      </w:r>
      <w:r>
        <w:t xml:space="preserve">couplet from Belloc’s</w:t>
      </w:r>
      <w:r>
        <w:t xml:space="preserve"> </w:t>
      </w:r>
      <w:r>
        <w:t xml:space="preserve">“</w:t>
      </w:r>
      <w:r>
        <w:t xml:space="preserve">The Modern Traveller</w:t>
      </w:r>
      <w:r>
        <w:t xml:space="preserve">”</w:t>
      </w:r>
      <w:r>
        <w:t xml:space="preserve"> </w:t>
      </w:r>
      <w:r>
        <w:t xml:space="preserve">(1898) and William</w:t>
      </w:r>
      <w:r>
        <w:t xml:space="preserve"> </w:t>
      </w:r>
      <w:r>
        <w:t xml:space="preserve">Blood,</w:t>
      </w:r>
      <w:r>
        <w:t xml:space="preserve"> </w:t>
      </w:r>
      <w:r>
        <w:t xml:space="preserve">“</w:t>
      </w:r>
      <w:r>
        <w:t xml:space="preserve">abandoned by those his gunnery protected</w:t>
      </w:r>
      <w:r>
        <w:t xml:space="preserve">”</w:t>
      </w:r>
      <w:r>
        <w:t xml:space="preserve">; and the</w:t>
      </w:r>
      <w:r>
        <w:t xml:space="preserve"> </w:t>
      </w:r>
      <w:r>
        <w:t xml:space="preserve">knock-out-blow genealogy: Bush 2003 (Taliban</w:t>
      </w:r>
      <w:r>
        <w:t xml:space="preserve"> </w:t>
      </w:r>
      <w:r>
        <w:t xml:space="preserve">“</w:t>
      </w:r>
      <w:r>
        <w:t xml:space="preserve">effectively out</w:t>
      </w:r>
      <w:r>
        <w:t xml:space="preserve"> </w:t>
      </w:r>
      <w:r>
        <w:t xml:space="preserve">of business</w:t>
      </w:r>
      <w:r>
        <w:t xml:space="preserve">”</w:t>
      </w:r>
      <w:r>
        <w:t xml:space="preserve">), Nicholson 2017 (</w:t>
      </w:r>
      <w:r>
        <w:t xml:space="preserve">“</w:t>
      </w:r>
      <w:r>
        <w:t xml:space="preserve">Taliban cannot win on the</w:t>
      </w:r>
      <w:r>
        <w:t xml:space="preserve"> </w:t>
      </w:r>
      <w:r>
        <w:t xml:space="preserve">battlefield</w:t>
      </w:r>
      <w:r>
        <w:t xml:space="preserve">”</w:t>
      </w:r>
      <w:r>
        <w:t xml:space="preserve"> </w:t>
      </w:r>
      <w:r>
        <w:t xml:space="preserve">—</w:t>
      </w:r>
      <w:r>
        <w:t xml:space="preserve"> </w:t>
      </w:r>
      <w:r>
        <w:t xml:space="preserve">“</w:t>
      </w:r>
      <w:r>
        <w:t xml:space="preserve">(Reader, they won.)</w:t>
      </w:r>
      <w:r>
        <w:t xml:space="preserve">”</w:t>
      </w:r>
      <w:r>
        <w:t xml:space="preserve">), a 5,000-targets-a-day</w:t>
      </w:r>
      <w:r>
        <w:t xml:space="preserve"> </w:t>
      </w:r>
      <w:r>
        <w:t xml:space="preserve">pipeline projected for a war whose aims were never defined.</w:t>
      </w:r>
      <w:r>
        <w:t xml:space="preserve"> </w:t>
      </w:r>
      <w:r>
        <w:t xml:space="preserve">Talbot underestimated the system behind the weapon; the</w:t>
      </w:r>
      <w:r>
        <w:t xml:space="preserve"> </w:t>
      </w:r>
      <w:r>
        <w:t xml:space="preserve">knock-out-blow prophets overestimate the weapon and miss the</w:t>
      </w:r>
      <w:r>
        <w:t xml:space="preserve"> </w:t>
      </w:r>
      <w:r>
        <w:t xml:space="preserve">system. Both mistake the weapon for the system — the same error</w:t>
      </w:r>
      <w:r>
        <w:t xml:space="preserve"> </w:t>
      </w:r>
      <w:r>
        <w:t xml:space="preserve">with the sign reversed, five hundred years apart.</w:t>
      </w:r>
      <w:r>
        <w:t xml:space="preserve"> </w:t>
      </w:r>
      <w:r>
        <w:rPr>
          <w:bCs/>
          <w:b/>
        </w:rPr>
        <w:t xml:space="preserve">[BOOK’S</w:t>
      </w:r>
      <w:r>
        <w:rPr>
          <w:bCs/>
          <w:b/>
        </w:rPr>
        <w:t xml:space="preserve"> </w:t>
      </w:r>
      <w:r>
        <w:rPr>
          <w:bCs/>
          <w:b/>
        </w:rPr>
        <w:t xml:space="preserve">ARGUMENT]</w:t>
      </w:r>
      <w:r>
        <w:t xml:space="preserve"> </w:t>
      </w:r>
      <w:r>
        <w:t xml:space="preserve">for the symmetry; the essay is colour and</w:t>
      </w:r>
      <w:r>
        <w:t xml:space="preserve"> </w:t>
      </w:r>
      <w:r>
        <w:t xml:space="preserve">genealogy-pointer only.</w:t>
      </w:r>
    </w:p>
    <w:p>
      <w:pPr>
        <w:numPr>
          <w:ilvl w:val="1"/>
          <w:numId w:val="1017"/>
        </w:numPr>
        <w:pStyle w:val="Compact"/>
      </w:pPr>
      <w:r>
        <w:rPr>
          <w:bCs/>
          <w:b/>
        </w:rPr>
        <w:t xml:space="preserve">Sourcing discipline.</w:t>
      </w:r>
      <w:r>
        <w:t xml:space="preserve"> </w:t>
      </w:r>
      <w:r>
        <w:t xml:space="preserve">The genealogy’s T2 anchor is Freedman,</w:t>
      </w:r>
      <w:r>
        <w:t xml:space="preserve"> </w:t>
      </w:r>
      <w:r>
        <w:rPr>
          <w:iCs/>
          <w:i/>
        </w:rPr>
        <w:t xml:space="preserve">The Future of War</w:t>
      </w:r>
      <w:r>
        <w:t xml:space="preserve"> </w:t>
      </w:r>
      <w:r>
        <w:t xml:space="preserve">(2017) — now on this chapter’s RETRIEVAL</w:t>
      </w:r>
      <w:r>
        <w:t xml:space="preserve"> </w:t>
      </w:r>
      <w:r>
        <w:t xml:space="preserve">LIST and retrieval-master. Until it is in repo, every</w:t>
      </w:r>
      <w:r>
        <w:t xml:space="preserve"> </w:t>
      </w:r>
      <w:r>
        <w:t xml:space="preserve">knock-out-blow genealogy claim is</w:t>
      </w:r>
      <w:r>
        <w:t xml:space="preserve"> </w:t>
      </w:r>
      <w:r>
        <w:rPr>
          <w:bCs/>
          <w:b/>
        </w:rPr>
        <w:t xml:space="preserve">[UNVERIFIED — RETRIEVAL:</w:t>
      </w:r>
      <w:r>
        <w:rPr>
          <w:bCs/>
          <w:b/>
        </w:rPr>
        <w:t xml:space="preserve"> </w:t>
      </w:r>
      <w:r>
        <w:rPr>
          <w:bCs/>
          <w:b/>
        </w:rPr>
        <w:t xml:space="preserve">Freedman 2017]</w:t>
      </w:r>
      <w:r>
        <w:t xml:space="preserve">; the essay’s attribution is a T3 pointer, not</w:t>
      </w:r>
      <w:r>
        <w:t xml:space="preserve"> </w:t>
      </w:r>
      <w:r>
        <w:t xml:space="preserve">a source. The Belloc couplet itself is public-domain primary</w:t>
      </w:r>
      <w:r>
        <w:t xml:space="preserve"> </w:t>
      </w:r>
      <w:r>
        <w:t xml:space="preserve">(T1 when quoted from the 1898 text; pin the edition before any</w:t>
      </w:r>
      <w:r>
        <w:t xml:space="preserve"> </w:t>
      </w:r>
      <w:r>
        <w:t xml:space="preserve">draft use).</w:t>
      </w:r>
    </w:p>
    <w:p>
      <w:pPr>
        <w:numPr>
          <w:ilvl w:val="1"/>
          <w:numId w:val="1017"/>
        </w:numPr>
        <w:pStyle w:val="Compact"/>
      </w:pPr>
      <w:r>
        <w:rPr>
          <w:bCs/>
          <w:b/>
        </w:rPr>
        <w:t xml:space="preserve">Placement note.</w:t>
      </w:r>
      <w:r>
        <w:t xml:space="preserve"> </w:t>
      </w:r>
      <w:r>
        <w:t xml:space="preserve">§VI only, as a section device beside the</w:t>
      </w:r>
      <w:r>
        <w:t xml:space="preserve"> </w:t>
      </w:r>
      <w:r>
        <w:t xml:space="preserve">existing Castillon material; interacts with Revisions 14’s</w:t>
      </w:r>
      <w:r>
        <w:t xml:space="preserve"> </w:t>
      </w:r>
      <w:r>
        <w:t xml:space="preserve">Basin-via-Pollard temerity passage (the contemporary</w:t>
      </w:r>
      <w:r>
        <w:t xml:space="preserve"> </w:t>
      </w:r>
      <w:r>
        <w:t xml:space="preserve">moral-failure reading as a third mislocation of the cause). The</w:t>
      </w:r>
      <w:r>
        <w:t xml:space="preserve"> </w:t>
      </w:r>
      <w:r>
        <w:t xml:space="preserve">analogy joint remains [BRIDGE] — Roderick’s to set.</w:t>
      </w:r>
    </w:p>
    <w:p>
      <w:r>
        <w:pict>
          <v:rect style="width:0;height:1.5pt" o:hralign="center" o:hrstd="t" o:hr="t"/>
        </w:pict>
      </w:r>
    </w:p>
    <w:bookmarkEnd w:id="101"/>
    <w:bookmarkStart w:id="102" w:name="ch06critiques.md"/>
    <w:p>
      <w:pPr>
        <w:pStyle w:val="Heading2"/>
      </w:pPr>
      <w:r>
        <w:t xml:space="preserve">ch06/critiques.md</w:t>
      </w:r>
    </w:p>
    <w:bookmarkEnd w:id="102"/>
    <w:bookmarkStart w:id="103" w:name="Xe4683419aa24de43ac6b281750027f959a3d66b"/>
    <w:p>
      <w:pPr>
        <w:pStyle w:val="Heading2"/>
      </w:pPr>
      <w:r>
        <w:t xml:space="preserve">Additions (2026-08-06, on Roderick’s triage instruction) — PENDING HUMAN REVIEW</w:t>
      </w:r>
    </w:p>
    <w:p>
      <w:r>
        <w:pict>
          <v:rect style="width:0;height:1.5pt" o:hralign="center" o:hrstd="t" o:hr="t"/>
        </w:pict>
      </w:r>
    </w:p>
    <w:bookmarkEnd w:id="103"/>
    <w:bookmarkStart w:id="104" w:name="ch10memo.md"/>
    <w:p>
      <w:pPr>
        <w:pStyle w:val="Heading2"/>
      </w:pPr>
      <w:r>
        <w:t xml:space="preserve">ch10/memo.md</w:t>
      </w:r>
    </w:p>
    <w:p>
      <w:pPr>
        <w:numPr>
          <w:ilvl w:val="0"/>
          <w:numId w:val="1018"/>
        </w:numPr>
        <w:pStyle w:val="Compact"/>
      </w:pPr>
      <w:r>
        <w:rPr>
          <w:bCs/>
          <w:b/>
        </w:rPr>
        <w:t xml:space="preserve">(2026-09-02 — The Economist essay integrated at T3; the</w:t>
      </w:r>
      <w:r>
        <w:rPr>
          <w:bCs/>
          <w:b/>
        </w:rPr>
        <w:t xml:space="preserve"> </w:t>
      </w:r>
      <w:r>
        <w:rPr>
          <w:bCs/>
          <w:b/>
        </w:rPr>
        <w:t xml:space="preserve">diffusion objection gains its modern face and its fifteenth-century</w:t>
      </w:r>
      <w:r>
        <w:rPr>
          <w:bCs/>
          <w:b/>
        </w:rPr>
        <w:t xml:space="preserve"> </w:t>
      </w:r>
      <w:r>
        <w:rPr>
          <w:bCs/>
          <w:b/>
        </w:rPr>
        <w:t xml:space="preserve">parallel. PENDING HUMAN REVIEW.)</w:t>
      </w:r>
      <w:r>
        <w:t xml:space="preserve"> </w:t>
      </w:r>
      <w:r>
        <w:t xml:space="preserve">Executed against spine §8 and</w:t>
      </w:r>
      <w:r>
        <w:t xml:space="preserve"> </w:t>
      </w:r>
      <w:r>
        <w:t xml:space="preserve">the 2026-09-02 session instruction; no draft text proposed.</w:t>
      </w:r>
    </w:p>
    <w:p>
      <w:pPr>
        <w:numPr>
          <w:ilvl w:val="1"/>
          <w:numId w:val="1019"/>
        </w:numPr>
        <w:pStyle w:val="Compact"/>
      </w:pPr>
      <w:r>
        <w:rPr>
          <w:bCs/>
          <w:b/>
        </w:rPr>
        <w:t xml:space="preserve">The modern claim, from the essay (T3, sources.md 2026-09-02</w:t>
      </w:r>
      <w:r>
        <w:rPr>
          <w:bCs/>
          <w:b/>
        </w:rPr>
        <w:t xml:space="preserve"> </w:t>
      </w:r>
      <w:r>
        <w:rPr>
          <w:bCs/>
          <w:b/>
        </w:rPr>
        <w:t xml:space="preserve">entry).</w:t>
      </w:r>
      <w:r>
        <w:t xml:space="preserve"> </w:t>
      </w:r>
      <w:r>
        <w:t xml:space="preserve">The essay’s own caution is the operative sentence:</w:t>
      </w:r>
      <w:r>
        <w:t xml:space="preserve"> </w:t>
      </w:r>
      <w:r>
        <w:t xml:space="preserve">“</w:t>
      </w:r>
      <w:r>
        <w:t xml:space="preserve">To</w:t>
      </w:r>
      <w:r>
        <w:t xml:space="preserve"> </w:t>
      </w:r>
      <w:r>
        <w:t xml:space="preserve">attribute to weapons the advantages that accrue to the systems</w:t>
      </w:r>
      <w:r>
        <w:t xml:space="preserve"> </w:t>
      </w:r>
      <w:r>
        <w:t xml:space="preserve">which use them best has misled military minds in the past. It</w:t>
      </w:r>
      <w:r>
        <w:t xml:space="preserve"> </w:t>
      </w:r>
      <w:r>
        <w:t xml:space="preserve">could do so again.</w:t>
      </w:r>
      <w:r>
        <w:t xml:space="preserve">”</w:t>
      </w:r>
      <w:r>
        <w:t xml:space="preserve"> </w:t>
      </w:r>
      <w:r>
        <w:t xml:space="preserve">Its reporting locates decisive capacity not</w:t>
      </w:r>
      <w:r>
        <w:t xml:space="preserve"> </w:t>
      </w:r>
      <w:r>
        <w:t xml:space="preserve">in the $3,000 FPV (consumer-electronics supply chains; Hizbullah</w:t>
      </w:r>
      <w:r>
        <w:t xml:space="preserve"> </w:t>
      </w:r>
      <w:r>
        <w:t xml:space="preserve">adoption;</w:t>
      </w:r>
      <w:r>
        <w:t xml:space="preserve"> </w:t>
      </w:r>
      <w:r>
        <w:t xml:space="preserve">“</w:t>
      </w:r>
      <w:r>
        <w:t xml:space="preserve">new generations of technology can rise and fall</w:t>
      </w:r>
      <w:r>
        <w:t xml:space="preserve"> </w:t>
      </w:r>
      <w:r>
        <w:t xml:space="preserve">without the lines moving more than a few metres</w:t>
      </w:r>
      <w:r>
        <w:t xml:space="preserve">”</w:t>
      </w:r>
      <w:r>
        <w:t xml:space="preserve">) but in the</w:t>
      </w:r>
      <w:r>
        <w:t xml:space="preserve"> </w:t>
      </w:r>
      <w:r>
        <w:t xml:space="preserve">connective tissue:</w:t>
      </w:r>
      <w:r>
        <w:t xml:space="preserve"> </w:t>
      </w:r>
      <w:r>
        <w:t xml:space="preserve">“</w:t>
      </w:r>
      <w:r>
        <w:t xml:space="preserve">more and better sensors; precision</w:t>
      </w:r>
      <w:r>
        <w:t xml:space="preserve"> </w:t>
      </w:r>
      <w:r>
        <w:t xml:space="preserve">firepower; and networks that convey actionable data from the</w:t>
      </w:r>
      <w:r>
        <w:t xml:space="preserve"> </w:t>
      </w:r>
      <w:r>
        <w:t xml:space="preserve">first to the targeting systems of the second</w:t>
      </w:r>
      <w:r>
        <w:t xml:space="preserve">”</w:t>
      </w:r>
      <w:r>
        <w:t xml:space="preserve"> </w:t>
      </w:r>
      <w:r>
        <w:t xml:space="preserve">— satellite</w:t>
      </w:r>
      <w:r>
        <w:t xml:space="preserve"> </w:t>
      </w:r>
      <w:r>
        <w:t xml:space="preserve">oversight, Maven-class targeting (400 targets/day in Epic Fury;</w:t>
      </w:r>
      <w:r>
        <w:t xml:space="preserve"> </w:t>
      </w:r>
      <w:r>
        <w:t xml:space="preserve">5,000/day projected with frontier-model integration, via Manson</w:t>
      </w:r>
      <w:r>
        <w:t xml:space="preserve"> </w:t>
      </w:r>
      <w:r>
        <w:t xml:space="preserve">— T3 carrier), encryptors procured because data outran networks,</w:t>
      </w:r>
      <w:r>
        <w:t xml:space="preserve"> </w:t>
      </w:r>
      <w:r>
        <w:t xml:space="preserve">sensor-to-shooter time down 33%. All figures [RE-CHECK AT</w:t>
      </w:r>
      <w:r>
        <w:t xml:space="preserve"> </w:t>
      </w:r>
      <w:r>
        <w:t xml:space="preserve">PRESS]; none may carry structural weight at T3.</w:t>
      </w:r>
    </w:p>
    <w:p>
      <w:pPr>
        <w:numPr>
          <w:ilvl w:val="1"/>
          <w:numId w:val="1019"/>
        </w:numPr>
        <w:pStyle w:val="Compact"/>
      </w:pPr>
      <w:r>
        <w:rPr>
          <w:bCs/>
          <w:b/>
        </w:rPr>
        <w:t xml:space="preserve">Where it lands in this memo.</w:t>
      </w:r>
      <w:r>
        <w:t xml:space="preserve"> </w:t>
      </w:r>
      <w:r>
        <w:t xml:space="preserve">§7’s four-layer close gains its</w:t>
      </w:r>
      <w:r>
        <w:t xml:space="preserve"> </w:t>
      </w:r>
      <w:r>
        <w:t xml:space="preserve">analytical statement: capital intensity has migrated from the</w:t>
      </w:r>
      <w:r>
        <w:t xml:space="preserve"> </w:t>
      </w:r>
      <w:r>
        <w:t xml:space="preserve">projectile to the sensing-and-deciding apparatus. Diffusion at</w:t>
      </w:r>
      <w:r>
        <w:t xml:space="preserve"> </w:t>
      </w:r>
      <w:r>
        <w:t xml:space="preserve">the tactical layer and consolidation at the systemic layer are</w:t>
      </w:r>
      <w:r>
        <w:t xml:space="preserve"> </w:t>
      </w:r>
      <w:r>
        <w:t xml:space="preserve">simultaneous, not contradictory — the diffusion objection</w:t>
      </w:r>
      <w:r>
        <w:t xml:space="preserve"> </w:t>
      </w:r>
      <w:r>
        <w:t xml:space="preserve">(cheap drones invert the mechanism) is answered by layer</w:t>
      </w:r>
      <w:r>
        <w:t xml:space="preserve"> </w:t>
      </w:r>
      <w:r>
        <w:t xml:space="preserve">separation, which is also the modern face of spine §8(a)’s</w:t>
      </w:r>
      <w:r>
        <w:t xml:space="preserve"> </w:t>
      </w:r>
      <w:r>
        <w:t xml:space="preserve">ratchet.</w:t>
      </w:r>
      <w:r>
        <w:t xml:space="preserve"> </w:t>
      </w:r>
      <w:r>
        <w:rPr>
          <w:bCs/>
          <w:b/>
        </w:rPr>
        <w:t xml:space="preserve">[BOOK’S ARGUMENT]</w:t>
      </w:r>
      <w:r>
        <w:t xml:space="preserve"> </w:t>
      </w:r>
      <w:r>
        <w:t xml:space="preserve">for the synthesis; the essay</w:t>
      </w:r>
      <w:r>
        <w:t xml:space="preserve"> </w:t>
      </w:r>
      <w:r>
        <w:t xml:space="preserve">supplies colour and dated reporting only.</w:t>
      </w:r>
    </w:p>
    <w:p>
      <w:pPr>
        <w:numPr>
          <w:ilvl w:val="1"/>
          <w:numId w:val="1019"/>
        </w:numPr>
        <w:pStyle w:val="Compact"/>
      </w:pPr>
      <w:r>
        <w:rPr>
          <w:bCs/>
          <w:b/>
        </w:rPr>
        <w:t xml:space="preserve">The fifteenth-century parallel, located in repo.</w:t>
      </w:r>
      <w:r>
        <w:t xml:space="preserve"> </w:t>
      </w:r>
      <w:r>
        <w:t xml:space="preserve">Cheap</w:t>
      </w:r>
      <w:r>
        <w:t xml:space="preserve"> </w:t>
      </w:r>
      <w:r>
        <w:t xml:space="preserve">portable firearms diffused widely</w:t>
      </w:r>
      <w:r>
        <w:t xml:space="preserve"> </w:t>
      </w:r>
      <w:r>
        <w:rPr>
          <w:iCs/>
          <w:i/>
        </w:rPr>
        <w:t xml:space="preserve">under</w:t>
      </w:r>
      <w:r>
        <w:t xml:space="preserve"> </w:t>
      </w:r>
      <w:r>
        <w:t xml:space="preserve">the sovereign</w:t>
      </w:r>
      <w:r>
        <w:t xml:space="preserve"> </w:t>
      </w:r>
      <w:r>
        <w:t xml:space="preserve">siege-train monopoly, and contemporaries priced both layers</w:t>
      </w:r>
      <w:r>
        <w:t xml:space="preserve"> </w:t>
      </w:r>
      <w:r>
        <w:t xml:space="preserve">correctly: (i) Contamine 1972, T1 — after the 1466–67 Capdorat</w:t>
      </w:r>
      <w:r>
        <w:t xml:space="preserve"> </w:t>
      </w:r>
      <w:r>
        <w:t xml:space="preserve">reform the francs-archers admitted couleuvriniers (</w:t>
      </w:r>
      <w:r>
        <w:t xml:space="preserve">“</w:t>
      </w:r>
      <w:r>
        <w:t xml:space="preserve">Timidement,</w:t>
      </w:r>
      <w:r>
        <w:t xml:space="preserve"> </w:t>
      </w:r>
      <w:r>
        <w:t xml:space="preserve">les armes à feu portatives s’introduisaient dans les bandes</w:t>
      </w:r>
      <w:r>
        <w:t xml:space="preserve"> </w:t>
      </w:r>
      <w:r>
        <w:t xml:space="preserve">d’infanterie</w:t>
      </w:r>
      <w:r>
        <w:t xml:space="preserve">”</w:t>
      </w:r>
      <w:r>
        <w:t xml:space="preserve">; Lyon 2 of 30; Troyes 1476, 2 of 42) [OCR t.1 ll.</w:t>
      </w:r>
      <w:r>
        <w:t xml:space="preserve"> </w:t>
      </w:r>
      <w:r>
        <w:t xml:space="preserve">18655–64; print-page pin to confirm at integration]; (ii) the</w:t>
      </w:r>
      <w:r>
        <w:t xml:space="preserve"> </w:t>
      </w:r>
      <w:r>
        <w:t xml:space="preserve">Franco-Swiss treaty of 26 October 1474: the Cantons’ 6,000 men</w:t>
      </w:r>
      <w:r>
        <w:t xml:space="preserve"> </w:t>
      </w:r>
      <w:r>
        <w:t xml:space="preserve">to come one third with pikes, one third with</w:t>
      </w:r>
      <w:r>
        <w:t xml:space="preserve"> </w:t>
      </w:r>
      <w:r>
        <w:rPr>
          <w:bCs/>
          <w:b/>
        </w:rPr>
        <w:t xml:space="preserve">couleuvrines à</w:t>
      </w:r>
      <w:r>
        <w:rPr>
          <w:bCs/>
          <w:b/>
        </w:rPr>
        <w:t xml:space="preserve"> </w:t>
      </w:r>
      <w:r>
        <w:rPr>
          <w:bCs/>
          <w:b/>
        </w:rPr>
        <w:t xml:space="preserve">main</w:t>
      </w:r>
      <w:r>
        <w:t xml:space="preserve">, one third with crossbows (Bolla to Milan, 3 February</w:t>
      </w:r>
    </w:p>
    <w:p>
      <w:pPr>
        <w:numPr>
          <w:ilvl w:val="2"/>
          <w:numId w:val="1020"/>
        </w:numPr>
        <w:pStyle w:val="Compact"/>
      </w:pPr>
      <w:r>
        <w:t xml:space="preserve">[OCR t.1 ll. 18725–35; print-page pin to confirm] —</w:t>
      </w:r>
      <w:r>
        <w:t xml:space="preserve"> </w:t>
      </w:r>
      <w:r>
        <w:t xml:space="preserve">hand-firearms broadly diffused among the very infantry that</w:t>
      </w:r>
      <w:r>
        <w:t xml:space="preserve"> </w:t>
      </w:r>
      <w:r>
        <w:t xml:space="preserve">beat Burgundy; (iii) DeVries 1998 p. 138 (in repo): Charles the</w:t>
      </w:r>
      <w:r>
        <w:t xml:space="preserve"> </w:t>
      </w:r>
      <w:r>
        <w:t xml:space="preserve">Bold’s culverins and</w:t>
      </w:r>
      <w:r>
        <w:t xml:space="preserve"> </w:t>
      </w:r>
      <w:r>
        <w:t xml:space="preserve">“</w:t>
      </w:r>
      <w:r>
        <w:t xml:space="preserve">haquebusses</w:t>
      </w:r>
      <w:r>
        <w:t xml:space="preserve">”</w:t>
      </w:r>
      <w:r>
        <w:t xml:space="preserve"> </w:t>
      </w:r>
      <w:r>
        <w:t xml:space="preserve">“</w:t>
      </w:r>
      <w:r>
        <w:t xml:space="preserve">without number.</w:t>
      </w:r>
      <w:r>
        <w:t xml:space="preserve">”</w:t>
      </w:r>
      <w:r>
        <w:t xml:space="preserve"> </w:t>
      </w:r>
      <w:r>
        <w:t xml:space="preserve">None of</w:t>
      </w:r>
      <w:r>
        <w:t xml:space="preserve"> </w:t>
      </w:r>
      <w:r>
        <w:t xml:space="preserve">this touched the siege train’s fiscal threshold (§3’s 1442</w:t>
      </w:r>
      <w:r>
        <w:t xml:space="preserve"> </w:t>
      </w:r>
      <w:r>
        <w:t xml:space="preserve">line).</w:t>
      </w:r>
      <w:r>
        <w:t xml:space="preserve"> </w:t>
      </w:r>
      <w:r>
        <w:rPr>
          <w:bCs/>
          <w:b/>
        </w:rPr>
        <w:t xml:space="preserve">The Hussite hand-gun precedent is NOT in repo —</w:t>
      </w:r>
      <w:r>
        <w:rPr>
          <w:bCs/>
          <w:b/>
        </w:rPr>
        <w:t xml:space="preserve"> </w:t>
      </w:r>
      <w:r>
        <w:rPr>
          <w:bCs/>
          <w:b/>
        </w:rPr>
        <w:t xml:space="preserve">[UNVERIFIED — RETRIEVAL] before any Hussite sentence.</w:t>
      </w:r>
    </w:p>
    <w:p>
      <w:pPr>
        <w:numPr>
          <w:ilvl w:val="1"/>
          <w:numId w:val="1019"/>
        </w:numPr>
        <w:pStyle w:val="Compact"/>
      </w:pPr>
      <w:r>
        <w:rPr>
          <w:bCs/>
          <w:b/>
        </w:rPr>
        <w:t xml:space="preserve">Causal-sequence note.</w:t>
      </w:r>
      <w:r>
        <w:t xml:space="preserve"> </w:t>
      </w:r>
      <w:r>
        <w:t xml:space="preserve">Nothing here alters §§1–3; the entry</w:t>
      </w:r>
      <w:r>
        <w:t xml:space="preserve"> </w:t>
      </w:r>
      <w:r>
        <w:t xml:space="preserve">supplies §7’s modern half of the layer argument only.</w:t>
      </w:r>
    </w:p>
    <w:p>
      <w:r>
        <w:pict>
          <v:rect style="width:0;height:1.5pt" o:hralign="center" o:hrstd="t" o:hr="t"/>
        </w:pict>
      </w:r>
    </w:p>
    <w:p>
      <w:pPr>
        <w:numPr>
          <w:ilvl w:val="0"/>
          <w:numId w:val="1021"/>
        </w:numPr>
        <w:pStyle w:val="Compact"/>
      </w:pPr>
      <w:r>
        <w:rPr>
          <w:bCs/>
          <w:b/>
        </w:rPr>
        <w:t xml:space="preserve">(2026-09-02 — Epic Fury entered beside Burgundy 1477 as the</w:t>
      </w:r>
      <w:r>
        <w:rPr>
          <w:bCs/>
          <w:b/>
        </w:rPr>
        <w:t xml:space="preserve"> </w:t>
      </w:r>
      <w:r>
        <w:rPr>
          <w:bCs/>
          <w:b/>
        </w:rPr>
        <w:t xml:space="preserve">contemporary Depreter case. PENDING HUMAN REVIEW.)</w:t>
      </w:r>
      <w:r>
        <w:t xml:space="preserve"> </w:t>
      </w:r>
      <w:r>
        <w:t xml:space="preserve">Executed</w:t>
      </w:r>
      <w:r>
        <w:t xml:space="preserve"> </w:t>
      </w:r>
      <w:r>
        <w:t xml:space="preserve">against spine §8; no draft text proposed.</w:t>
      </w:r>
    </w:p>
    <w:p>
      <w:pPr>
        <w:numPr>
          <w:ilvl w:val="1"/>
          <w:numId w:val="1022"/>
        </w:numPr>
        <w:pStyle w:val="Compact"/>
      </w:pPr>
      <w:r>
        <w:rPr>
          <w:bCs/>
          <w:b/>
        </w:rPr>
        <w:t xml:space="preserve">The claim.</w:t>
      </w:r>
      <w:r>
        <w:t xml:space="preserve"> </w:t>
      </w:r>
      <w:r>
        <w:t xml:space="preserve">§5a’s deeper lesson (apparatus without the</w:t>
      </w:r>
      <w:r>
        <w:t xml:space="preserve"> </w:t>
      </w:r>
      <w:r>
        <w:t xml:space="preserve">institution-compelling coupling produces no consolidation) has</w:t>
      </w:r>
      <w:r>
        <w:t xml:space="preserve"> </w:t>
      </w:r>
      <w:r>
        <w:t xml:space="preserve">a Depreter-form contemporary control: the most exquisite strike</w:t>
      </w:r>
      <w:r>
        <w:t xml:space="preserve"> </w:t>
      </w:r>
      <w:r>
        <w:t xml:space="preserve">apparatus in history, run at full transparency against Iran,</w:t>
      </w:r>
      <w:r>
        <w:t xml:space="preserve"> </w:t>
      </w:r>
      <w:r>
        <w:t xml:space="preserve">produced strategic stalemate where the political centre could</w:t>
      </w:r>
      <w:r>
        <w:t xml:space="preserve"> </w:t>
      </w:r>
      <w:r>
        <w:t xml:space="preserve">not specify what the apparatus was for. The essay:</w:t>
      </w:r>
      <w:r>
        <w:t xml:space="preserve"> </w:t>
      </w:r>
      <w:r>
        <w:t xml:space="preserve">“</w:t>
      </w:r>
      <w:r>
        <w:t xml:space="preserve">to the</w:t>
      </w:r>
      <w:r>
        <w:t xml:space="preserve"> </w:t>
      </w:r>
      <w:r>
        <w:t xml:space="preserve">extent that they were ever defined, President Donald Trump’s</w:t>
      </w:r>
      <w:r>
        <w:t xml:space="preserve"> </w:t>
      </w:r>
      <w:r>
        <w:t xml:space="preserve">objectives in that war have not been met</w:t>
      </w:r>
      <w:r>
        <w:t xml:space="preserve">”</w:t>
      </w:r>
      <w:r>
        <w:t xml:space="preserve">; Iran retains</w:t>
      </w:r>
      <w:r>
        <w:t xml:space="preserve"> </w:t>
      </w:r>
      <w:r>
        <w:t xml:space="preserve">“</w:t>
      </w:r>
      <w:r>
        <w:t xml:space="preserve">75% of</w:t>
      </w:r>
      <w:r>
        <w:t xml:space="preserve"> </w:t>
      </w:r>
      <w:r>
        <w:t xml:space="preserve">its pre-war missile launchers and 70% of its cruise and</w:t>
      </w:r>
      <w:r>
        <w:t xml:space="preserve"> </w:t>
      </w:r>
      <w:r>
        <w:t xml:space="preserve">ballistic missiles</w:t>
      </w:r>
      <w:r>
        <w:t xml:space="preserve">”</w:t>
      </w:r>
      <w:r>
        <w:t xml:space="preserve"> </w:t>
      </w:r>
      <w:r>
        <w:t xml:space="preserve">after 13,000 targets struck. Apparatus is</w:t>
      </w:r>
      <w:r>
        <w:t xml:space="preserve"> </w:t>
      </w:r>
      <w:r>
        <w:t xml:space="preserve">necessary, never sufficient — the anti-determinism inoculation</w:t>
      </w:r>
      <w:r>
        <w:t xml:space="preserve"> </w:t>
      </w:r>
      <w:r>
        <w:t xml:space="preserve">of §5a, in the present tense.</w:t>
      </w:r>
    </w:p>
    <w:p>
      <w:pPr>
        <w:numPr>
          <w:ilvl w:val="1"/>
          <w:numId w:val="1022"/>
        </w:numPr>
        <w:pStyle w:val="Compact"/>
      </w:pPr>
      <w:r>
        <w:rPr>
          <w:bCs/>
          <w:b/>
        </w:rPr>
        <w:t xml:space="preserve">Sourcing discipline.</w:t>
      </w:r>
      <w:r>
        <w:t xml:space="preserve"> </w:t>
      </w:r>
      <w:r>
        <w:t xml:space="preserve">CRS R48887 (in repo,</w:t>
      </w:r>
      <w:r>
        <w:t xml:space="preserve"> </w:t>
      </w:r>
      <w:r>
        <w:rPr>
          <w:rStyle w:val="VerbatimChar"/>
        </w:rPr>
        <w:t xml:space="preserve">R48887.1.pdf</w:t>
      </w:r>
      <w:r>
        <w:t xml:space="preserve">,</w:t>
      </w:r>
      <w:r>
        <w:t xml:space="preserve"> </w:t>
      </w:r>
      <w:r>
        <w:t xml:space="preserve">26 March 2026) is the primary for: onset (28 February 2026),</w:t>
      </w:r>
      <w:r>
        <w:t xml:space="preserve"> </w:t>
      </w:r>
      <w:r>
        <w:t xml:space="preserve">the stated objectives (destroying the ballistic-missile arsenal</w:t>
      </w:r>
      <w:r>
        <w:t xml:space="preserve"> </w:t>
      </w:r>
      <w:r>
        <w:t xml:space="preserve">and programme, the navy, terror-group support, nuclear</w:t>
      </w:r>
      <w:r>
        <w:t xml:space="preserve"> </w:t>
      </w:r>
      <w:r>
        <w:t xml:space="preserve">acquisition), the Hormuz interdiction, and the</w:t>
      </w:r>
      <w:r>
        <w:t xml:space="preserve"> </w:t>
      </w:r>
      <w:r>
        <w:t xml:space="preserve">objectives-unmet frame (</w:t>
      </w:r>
      <w:r>
        <w:t xml:space="preserve">“</w:t>
      </w:r>
      <w:r>
        <w:t xml:space="preserve">it remains unclear whether… key</w:t>
      </w:r>
      <w:r>
        <w:t xml:space="preserve"> </w:t>
      </w:r>
      <w:r>
        <w:t xml:space="preserve">threats… have been eliminated</w:t>
      </w:r>
      <w:r>
        <w:t xml:space="preserve">”</w:t>
      </w:r>
      <w:r>
        <w:t xml:space="preserve">). The Economist’s BDA figures</w:t>
      </w:r>
      <w:r>
        <w:t xml:space="preserve"> </w:t>
      </w:r>
      <w:r>
        <w:t xml:space="preserve">(13,000; 75%; 70%; 400/day) POST-DATE R48887 and are</w:t>
      </w:r>
      <w:r>
        <w:t xml:space="preserve"> </w:t>
      </w:r>
      <w:r>
        <w:rPr>
          <w:bCs/>
          <w:b/>
        </w:rPr>
        <w:t xml:space="preserve">not</w:t>
      </w:r>
      <w:r>
        <w:t xml:space="preserve"> </w:t>
      </w:r>
      <w:r>
        <w:t xml:space="preserve">tieable to it — each is</w:t>
      </w:r>
      <w:r>
        <w:t xml:space="preserve"> </w:t>
      </w:r>
      <w:r>
        <w:rPr>
          <w:bCs/>
          <w:b/>
        </w:rPr>
        <w:t xml:space="preserve">[RE-CHECK AT PRESS]</w:t>
      </w:r>
      <w:r>
        <w:t xml:space="preserve"> </w:t>
      </w:r>
      <w:r>
        <w:t xml:space="preserve">against a later</w:t>
      </w:r>
      <w:r>
        <w:t xml:space="preserve"> </w:t>
      </w:r>
      <w:r>
        <w:t xml:space="preserve">CRS update or equivalent primary. No figure enters a draft on</w:t>
      </w:r>
      <w:r>
        <w:t xml:space="preserve"> </w:t>
      </w:r>
      <w:r>
        <w:t xml:space="preserve">the essay’s authority alone.</w:t>
      </w:r>
    </w:p>
    <w:p>
      <w:pPr>
        <w:numPr>
          <w:ilvl w:val="1"/>
          <w:numId w:val="1022"/>
        </w:numPr>
        <w:pStyle w:val="Compact"/>
      </w:pPr>
      <w:r>
        <w:rPr>
          <w:bCs/>
          <w:b/>
        </w:rPr>
        <w:t xml:space="preserve">Disanalogy, per CLAUDE.md §6.</w:t>
      </w:r>
      <w:r>
        <w:t xml:space="preserve"> </w:t>
      </w:r>
      <w:r>
        <w:t xml:space="preserve">Burgundy 1477 ended in the</w:t>
      </w:r>
      <w:r>
        <w:t xml:space="preserve"> </w:t>
      </w:r>
      <w:r>
        <w:t xml:space="preserve">extinction of the polity; Epic Fury ends in stalemate, not</w:t>
      </w:r>
      <w:r>
        <w:t xml:space="preserve"> </w:t>
      </w:r>
      <w:r>
        <w:t xml:space="preserve">Nancy. The case demonstrates non-sufficiency of apparatus, not</w:t>
      </w:r>
      <w:r>
        <w:t xml:space="preserve"> </w:t>
      </w:r>
      <w:r>
        <w:t xml:space="preserve">state death — and Iran is not Lorraine: the coupling that</w:t>
      </w:r>
      <w:r>
        <w:t xml:space="preserve"> </w:t>
      </w:r>
      <w:r>
        <w:t xml:space="preserve">failed is between apparatus and war aims, not between apparatus</w:t>
      </w:r>
      <w:r>
        <w:t xml:space="preserve"> </w:t>
      </w:r>
      <w:r>
        <w:t xml:space="preserve">and fisc. State the limits or the parallel overclaims.</w:t>
      </w:r>
    </w:p>
    <w:p>
      <w:r>
        <w:pict>
          <v:rect style="width:0;height:1.5pt" o:hralign="center" o:hrstd="t" o:hr="t"/>
        </w:pict>
      </w:r>
    </w:p>
    <w:p>
      <w:pPr>
        <w:numPr>
          <w:ilvl w:val="0"/>
          <w:numId w:val="1023"/>
        </w:numPr>
        <w:pStyle w:val="Compact"/>
      </w:pPr>
      <w:r>
        <w:rPr>
          <w:bCs/>
          <w:b/>
        </w:rPr>
        <w:t xml:space="preserve">(2026-09-02 — the fiscal-settlement probe executed</w:t>
      </w:r>
      <w:r>
        <w:rPr>
          <w:bCs/>
          <w:b/>
        </w:rPr>
        <w:t xml:space="preserve"> </w:t>
      </w:r>
      <w:r>
        <w:rPr>
          <w:bCs/>
          <w:b/>
        </w:rPr>
        <w:t xml:space="preserve">(ch10/fiscal-settlement.md), per spine §8(a)’s RESEARCH ORDER.</w:t>
      </w:r>
      <w:r>
        <w:rPr>
          <w:bCs/>
          <w:b/>
        </w:rPr>
        <w:t xml:space="preserve"> </w:t>
      </w:r>
      <w:r>
        <w:rPr>
          <w:bCs/>
          <w:b/>
        </w:rPr>
        <w:t xml:space="preserve">PENDING HUMAN REVIEW.)</w:t>
      </w:r>
      <w:r>
        <w:t xml:space="preserve"> </w:t>
      </w:r>
      <w:r>
        <w:t xml:space="preserve">Contamine Tomes 1–2 extracted in full on</w:t>
      </w:r>
      <w:r>
        <w:t xml:space="preserve"> </w:t>
      </w:r>
      <w:r>
        <w:t xml:space="preserve">the settlement; the probe carries the verbatim record and the</w:t>
      </w:r>
      <w:r>
        <w:t xml:space="preserve"> </w:t>
      </w:r>
      <w:r>
        <w:t xml:space="preserve">dated fiscal-vs-artillery chronology. What it establishes, and</w:t>
      </w:r>
      <w:r>
        <w:t xml:space="preserve"> </w:t>
      </w:r>
      <w:r>
        <w:t xml:space="preserve">where it bears on this memo’s causal sequence:</w:t>
      </w:r>
    </w:p>
    <w:p>
      <w:pPr>
        <w:numPr>
          <w:ilvl w:val="1"/>
          <w:numId w:val="1024"/>
        </w:numPr>
        <w:pStyle w:val="Compact"/>
      </w:pPr>
      <w:r>
        <w:rPr>
          <w:bCs/>
          <w:b/>
        </w:rPr>
        <w:t xml:space="preserve">§2’s 1439 sentence loses half its footing.</w:t>
      </w:r>
      <w:r>
        <w:t xml:space="preserve"> </w:t>
      </w:r>
      <w:r>
        <w:t xml:space="preserve">The memo states</w:t>
      </w:r>
      <w:r>
        <w:t xml:space="preserve"> </w:t>
      </w:r>
      <w:r>
        <w:t xml:space="preserve">the Orléans ordonnance granted that</w:t>
      </w:r>
      <w:r>
        <w:t xml:space="preserve"> </w:t>
      </w:r>
      <w:r>
        <w:t xml:space="preserve">“</w:t>
      </w:r>
      <w:r>
        <w:t xml:space="preserve">the king alone raises</w:t>
      </w:r>
      <w:r>
        <w:t xml:space="preserve"> </w:t>
      </w:r>
      <w:r>
        <w:t xml:space="preserve">troops, names captains, and levies the taille for their pay</w:t>
      </w:r>
      <w:r>
        <w:t xml:space="preserve">”</w:t>
      </w:r>
      <w:r>
        <w:t xml:space="preserve"> </w:t>
      </w:r>
      <w:r>
        <w:t xml:space="preserve">[T3]. Contamine supports the troop monopoly and captain</w:t>
      </w:r>
      <w:r>
        <w:t xml:space="preserve"> </w:t>
      </w:r>
      <w:r>
        <w:t xml:space="preserve">licensing at T2 (verbatim, with the Ord. t. XIII pp. 306–13</w:t>
      </w:r>
      <w:r>
        <w:t xml:space="preserve"> </w:t>
      </w:r>
      <w:r>
        <w:t xml:space="preserve">citation) but is ENTIRELY SILENT on a 1439 taille grant — no</w:t>
      </w:r>
      <w:r>
        <w:t xml:space="preserve"> </w:t>
      </w:r>
      <w:r>
        <w:t xml:space="preserve">grant language, no index entry for taille/aides/gabelle</w:t>
      </w:r>
      <w:r>
        <w:t xml:space="preserve"> </w:t>
      </w:r>
      <w:r>
        <w:t xml:space="preserve">anywhere in the monograph. The taille half of the sentence</w:t>
      </w:r>
      <w:r>
        <w:t xml:space="preserve"> </w:t>
      </w:r>
      <w:r>
        <w:t xml:space="preserve">remains T3 until the ordonnance text (Gallica, human pull —</w:t>
      </w:r>
      <w:r>
        <w:t xml:space="preserve"> </w:t>
      </w:r>
      <w:r>
        <w:t xml:space="preserve">retrieval-master) and/or Wolfe/Henneman/Major are in repo.</w:t>
      </w:r>
      <w:r>
        <w:t xml:space="preserve"> </w:t>
      </w:r>
      <w:r>
        <w:t xml:space="preserve">Draft consequence when renovation comes:</w:t>
      </w:r>
      <w:r>
        <w:t xml:space="preserve"> </w:t>
      </w:r>
      <w:r>
        <w:t xml:space="preserve">“</w:t>
      </w:r>
      <w:r>
        <w:t xml:space="preserve">the taille of 1439</w:t>
      </w:r>
      <w:r>
        <w:t xml:space="preserve">”</w:t>
      </w:r>
      <w:r>
        <w:t xml:space="preserve"> </w:t>
      </w:r>
      <w:r>
        <w:t xml:space="preserve">is period shorthand for a 1439–c. 1451 process, not a datable</w:t>
      </w:r>
      <w:r>
        <w:t xml:space="preserve"> </w:t>
      </w:r>
      <w:r>
        <w:t xml:space="preserve">act.</w:t>
      </w:r>
    </w:p>
    <w:p>
      <w:pPr>
        <w:numPr>
          <w:ilvl w:val="1"/>
          <w:numId w:val="1024"/>
        </w:numPr>
        <w:pStyle w:val="Compact"/>
      </w:pPr>
      <w:r>
        <w:rPr>
          <w:bCs/>
          <w:b/>
        </w:rPr>
        <w:t xml:space="preserve">§2’s gradualism is upgraded from T3 to T2.</w:t>
      </w:r>
      <w:r>
        <w:t xml:space="preserve"> </w:t>
      </w:r>
      <w:r>
        <w:t xml:space="preserve">The 25 April</w:t>
      </w:r>
      <w:r>
        <w:t xml:space="preserve"> </w:t>
      </w:r>
      <w:r>
        <w:t xml:space="preserve">1446</w:t>
      </w:r>
      <w:r>
        <w:t xml:space="preserve"> </w:t>
      </w:r>
      <w:r>
        <w:t xml:space="preserve">“</w:t>
      </w:r>
      <w:r>
        <w:t xml:space="preserve">jusqu’à la conclusion de la paix</w:t>
      </w:r>
      <w:r>
        <w:t xml:space="preserve">”</w:t>
      </w:r>
      <w:r>
        <w:t xml:space="preserve"> </w:t>
      </w:r>
      <w:r>
        <w:t xml:space="preserve">act, the</w:t>
      </w:r>
      <w:r>
        <w:t xml:space="preserve"> </w:t>
      </w:r>
      <w:r>
        <w:t xml:space="preserve">“</w:t>
      </w:r>
      <w:r>
        <w:t xml:space="preserve">toute provisoire… quasi définitif</w:t>
      </w:r>
      <w:r>
        <w:t xml:space="preserve">”</w:t>
      </w:r>
      <w:r>
        <w:t xml:space="preserve"> </w:t>
      </w:r>
      <w:r>
        <w:t xml:space="preserve">judgment, and Contamine’s</w:t>
      </w:r>
      <w:r>
        <w:t xml:space="preserve"> </w:t>
      </w:r>
      <w:r>
        <w:t xml:space="preserve">general law (</w:t>
      </w:r>
      <w:r>
        <w:t xml:space="preserve">“</w:t>
      </w:r>
      <w:r>
        <w:t xml:space="preserve">l’extraordinaire se mue alors en ordinaire</w:t>
      </w:r>
      <w:r>
        <w:t xml:space="preserve">”</w:t>
      </w:r>
      <w:r>
        <w:t xml:space="preserve">) are</w:t>
      </w:r>
      <w:r>
        <w:t xml:space="preserve"> </w:t>
      </w:r>
      <w:r>
        <w:t xml:space="preserve">now verbatim in the probe — the memo’s gradualist reading (per</w:t>
      </w:r>
      <w:r>
        <w:t xml:space="preserve"> </w:t>
      </w:r>
      <w:r>
        <w:t xml:space="preserve">§0.3) is Contamine’s own.</w:t>
      </w:r>
    </w:p>
    <w:p>
      <w:pPr>
        <w:numPr>
          <w:ilvl w:val="1"/>
          <w:numId w:val="1024"/>
        </w:numPr>
        <w:pStyle w:val="Compact"/>
      </w:pPr>
      <w:r>
        <w:rPr>
          <w:bCs/>
          <w:b/>
        </w:rPr>
        <w:t xml:space="preserve">Causal-sequence refinement for §6 (and the spine §8(a)</w:t>
      </w:r>
      <w:r>
        <w:rPr>
          <w:bCs/>
          <w:b/>
        </w:rPr>
        <w:t xml:space="preserve"> </w:t>
      </w:r>
      <w:r>
        <w:rPr>
          <w:bCs/>
          <w:b/>
        </w:rPr>
        <w:t xml:space="preserve">hinge).</w:t>
      </w:r>
      <w:r>
        <w:t xml:space="preserve"> </w:t>
      </w:r>
      <w:r>
        <w:t xml:space="preserve">The 2:1 artillery budget (1442, print p. 666,</w:t>
      </w:r>
      <w:r>
        <w:t xml:space="preserve"> </w:t>
      </w:r>
      <w:r>
        <w:t xml:space="preserve">confirmed) predates the working fisc: before 1444 there was</w:t>
      </w:r>
      <w:r>
        <w:t xml:space="preserve"> </w:t>
      </w:r>
      <w:r>
        <w:t xml:space="preserve">“</w:t>
      </w:r>
      <w:r>
        <w:t xml:space="preserve">ni budget, ni prévisions,</w:t>
      </w:r>
      <w:r>
        <w:t xml:space="preserve">”</w:t>
      </w:r>
      <w:r>
        <w:t xml:space="preserve"> </w:t>
      </w:r>
      <w:r>
        <w:t xml:space="preserve">and the permanent army’s financial</w:t>
      </w:r>
      <w:r>
        <w:t xml:space="preserve"> </w:t>
      </w:r>
      <w:r>
        <w:t xml:space="preserve">infrastructure is efficient only</w:t>
      </w:r>
      <w:r>
        <w:t xml:space="preserve"> </w:t>
      </w:r>
      <w:r>
        <w:t xml:space="preserve">“</w:t>
      </w:r>
      <w:r>
        <w:t xml:space="preserve">à partir de 1445.</w:t>
      </w:r>
      <w:r>
        <w:t xml:space="preserve">”</w:t>
      </w:r>
      <w:r>
        <w:t xml:space="preserve"> </w:t>
      </w:r>
      <w:r>
        <w:t xml:space="preserve">Royal</w:t>
      </w:r>
      <w:r>
        <w:t xml:space="preserve"> </w:t>
      </w:r>
      <w:r>
        <w:t xml:space="preserve">artillery superiority was achieved under improvised finance</w:t>
      </w:r>
      <w:r>
        <w:t xml:space="preserve"> </w:t>
      </w:r>
      <w:r>
        <w:t xml:space="preserve">and then institutionalised by it — co-evolution, with the</w:t>
      </w:r>
      <w:r>
        <w:t xml:space="preserve"> </w:t>
      </w:r>
      <w:r>
        <w:t xml:space="preserve">guns’ ascendancy (Bureau 1437–42) sitting between the monopoly</w:t>
      </w:r>
      <w:r>
        <w:t xml:space="preserve"> </w:t>
      </w:r>
      <w:r>
        <w:t xml:space="preserve">claim (1439) and the fisc (1445). Additionally the</w:t>
      </w:r>
      <w:r>
        <w:t xml:space="preserve"> </w:t>
      </w:r>
      <w:r>
        <w:t xml:space="preserve">irreversibility Contamine documents (</w:t>
      </w:r>
      <w:r>
        <w:t xml:space="preserve">“</w:t>
      </w:r>
      <w:r>
        <w:t xml:space="preserve">quasi définitif</w:t>
      </w:r>
      <w:r>
        <w:t xml:space="preserve">”</w:t>
      </w:r>
      <w:r>
        <w:t xml:space="preserve">) is</w:t>
      </w:r>
      <w:r>
        <w:t xml:space="preserve"> </w:t>
      </w:r>
      <w:r>
        <w:t xml:space="preserve">dated 1445–46, BEFORE the 1449–53 proof: what 1449–53</w:t>
      </w:r>
      <w:r>
        <w:t xml:space="preserve"> </w:t>
      </w:r>
      <w:r>
        <w:t xml:space="preserve">ratcheted was the acquiescence (no Estates General until</w:t>
      </w:r>
      <w:r>
        <w:t xml:space="preserve"> </w:t>
      </w:r>
      <w:r>
        <w:t xml:space="preserve">1484), not the crown’s intent. Flagged in the probe §8 for</w:t>
      </w:r>
      <w:r>
        <w:t xml:space="preserve"> </w:t>
      </w:r>
      <w:r>
        <w:t xml:space="preserve">Roderick’s ruling on the ratchet’s precise object; not</w:t>
      </w:r>
      <w:r>
        <w:t xml:space="preserve"> </w:t>
      </w:r>
      <w:r>
        <w:t xml:space="preserve">resolved here.</w:t>
      </w:r>
    </w:p>
    <w:p>
      <w:pPr>
        <w:numPr>
          <w:ilvl w:val="1"/>
          <w:numId w:val="1024"/>
        </w:numPr>
        <w:pStyle w:val="Compact"/>
      </w:pPr>
      <w:r>
        <w:rPr>
          <w:bCs/>
          <w:b/>
        </w:rPr>
        <w:t xml:space="preserve">§3 correction flagged: the Gaspard date.</w:t>
      </w:r>
      <w:r>
        <w:t xml:space="preserve"> </w:t>
      </w:r>
      <w:r>
        <w:t xml:space="preserve">The memo has</w:t>
      </w:r>
      <w:r>
        <w:t xml:space="preserve"> </w:t>
      </w:r>
      <w:r>
        <w:t xml:space="preserve">Gaspard</w:t>
      </w:r>
      <w:r>
        <w:t xml:space="preserve"> </w:t>
      </w:r>
      <w:r>
        <w:t xml:space="preserve">“</w:t>
      </w:r>
      <w:r>
        <w:t xml:space="preserve">grand-master of the king’s artillery from 27 December</w:t>
      </w:r>
      <w:r>
        <w:t xml:space="preserve"> </w:t>
      </w:r>
      <w:r>
        <w:t xml:space="preserve">1444 — succeeding Pierre Bessonneau.</w:t>
      </w:r>
      <w:r>
        <w:t xml:space="preserve">”</w:t>
      </w:r>
      <w:r>
        <w:t xml:space="preserve"> </w:t>
      </w:r>
      <w:r>
        <w:t xml:space="preserve">Contamine instead:</w:t>
      </w:r>
      <w:r>
        <w:t xml:space="preserve"> </w:t>
      </w:r>
      <w:r>
        <w:t xml:space="preserve">the brothers</w:t>
      </w:r>
      <w:r>
        <w:t xml:space="preserve"> </w:t>
      </w:r>
      <w:r>
        <w:t xml:space="preserve">“</w:t>
      </w:r>
      <w:r>
        <w:t xml:space="preserve">pratiquement supplanté</w:t>
      </w:r>
      <w:r>
        <w:t xml:space="preserve">”</w:t>
      </w:r>
      <w:r>
        <w:t xml:space="preserve"> </w:t>
      </w:r>
      <w:r>
        <w:t xml:space="preserve">Bessonneau</w:t>
      </w:r>
      <w:r>
        <w:t xml:space="preserve"> </w:t>
      </w:r>
      <w:r>
        <w:t xml:space="preserve">“</w:t>
      </w:r>
      <w:r>
        <w:t xml:space="preserve">dès 1437</w:t>
      </w:r>
      <w:r>
        <w:t xml:space="preserve">”</w:t>
      </w:r>
      <w:r>
        <w:t xml:space="preserve">;</w:t>
      </w:r>
      <w:r>
        <w:t xml:space="preserve"> </w:t>
      </w:r>
      <w:r>
        <w:t xml:space="preserve">Jean’s artillery account opens August 1439; Bessonneau’s last</w:t>
      </w:r>
      <w:r>
        <w:t xml:space="preserve"> </w:t>
      </w:r>
      <w:r>
        <w:t xml:space="preserve">account closes 20 February 1440; Gaspard’s first account opens</w:t>
      </w:r>
      <w:r>
        <w:t xml:space="preserve"> </w:t>
      </w:r>
      <w:r>
        <w:t xml:space="preserve">14 January 1441 (Annexe VIII, print pp. 639–40; succession</w:t>
      </w:r>
      <w:r>
        <w:t xml:space="preserve"> </w:t>
      </w:r>
      <w:r>
        <w:t xml:space="preserve">passage index-confirmed print p. 238). The 27 Dec 1444 date is</w:t>
      </w:r>
      <w:r>
        <w:t xml:space="preserve"> </w:t>
      </w:r>
      <w:r>
        <w:t xml:space="preserve">NOT in Contamine — its carrier must be identified or the date</w:t>
      </w:r>
      <w:r>
        <w:t xml:space="preserve"> </w:t>
      </w:r>
      <w:r>
        <w:t xml:space="preserve">dropped at renovation.</w:t>
      </w:r>
    </w:p>
    <w:p>
      <w:pPr>
        <w:numPr>
          <w:ilvl w:val="1"/>
          <w:numId w:val="1024"/>
        </w:numPr>
        <w:pStyle w:val="Compact"/>
      </w:pPr>
      <w:r>
        <w:rPr>
          <w:bCs/>
          <w:b/>
        </w:rPr>
        <w:t xml:space="preserve">Pin corrections.</w:t>
      </w:r>
      <w:r>
        <w:t xml:space="preserve"> </w:t>
      </w:r>
      <w:r>
        <w:t xml:space="preserve">(i) Revisions 14’s Praguerie</w:t>
      </w:r>
      <w:r>
        <w:t xml:space="preserve"> </w:t>
      </w:r>
      <w:r>
        <w:t xml:space="preserve">“</w:t>
      </w:r>
      <w:r>
        <w:t xml:space="preserve">capitaines convenables et suffisans</w:t>
      </w:r>
      <w:r>
        <w:t xml:space="preserve">”</w:t>
      </w:r>
      <w:r>
        <w:t xml:space="preserve"> </w:t>
      </w:r>
      <w:r>
        <w:t xml:space="preserve">passage sits in ch. XIV</w:t>
      </w:r>
      <w:r>
        <w:t xml:space="preserve"> </w:t>
      </w:r>
      <w:r>
        <w:t xml:space="preserve">(print pp. 399–450, ~402–03; Bourré note index-confirmed p.</w:t>
      </w:r>
      <w:r>
        <w:t xml:space="preserve"> </w:t>
      </w:r>
      <w:r>
        <w:t xml:space="preserve">405), not</w:t>
      </w:r>
      <w:r>
        <w:t xml:space="preserve"> </w:t>
      </w:r>
      <w:r>
        <w:t xml:space="preserve">“</w:t>
      </w:r>
      <w:r>
        <w:t xml:space="preserve">~pp. 267–68</w:t>
      </w:r>
      <w:r>
        <w:t xml:space="preserve">”</w:t>
      </w:r>
      <w:r>
        <w:t xml:space="preserve"> </w:t>
      </w:r>
      <w:r>
        <w:t xml:space="preserve">— the inline OCR page markers of the</w:t>
      </w:r>
      <w:r>
        <w:t xml:space="preserve"> </w:t>
      </w:r>
      <w:r>
        <w:t xml:space="preserve">EHESS reprint drift up to ~8 pages against print pagination,</w:t>
      </w:r>
      <w:r>
        <w:t xml:space="preserve"> </w:t>
      </w:r>
      <w:r>
        <w:t xml:space="preserve">which qualifies ALL</w:t>
      </w:r>
      <w:r>
        <w:t xml:space="preserve"> </w:t>
      </w:r>
      <w:r>
        <w:t xml:space="preserve">“</w:t>
      </w:r>
      <w:r>
        <w:t xml:space="preserve">~p.</w:t>
      </w:r>
      <w:r>
        <w:t xml:space="preserve">”</w:t>
      </w:r>
      <w:r>
        <w:t xml:space="preserve"> </w:t>
      </w:r>
      <w:r>
        <w:t xml:space="preserve">pins taken from inline markers in</w:t>
      </w:r>
      <w:r>
        <w:t xml:space="preserve"> </w:t>
      </w:r>
      <w:r>
        <w:t xml:space="preserve">Revisions 10–14; print-image verification before any draft</w:t>
      </w:r>
      <w:r>
        <w:t xml:space="preserve"> </w:t>
      </w:r>
      <w:r>
        <w:t xml:space="preserve">quotation. (ii) Contamine prints</w:t>
      </w:r>
      <w:r>
        <w:t xml:space="preserve"> </w:t>
      </w:r>
      <w:r>
        <w:t xml:space="preserve">“</w:t>
      </w:r>
      <w:r>
        <w:t xml:space="preserve">Louppy-le-Château,</w:t>
      </w:r>
      <w:r>
        <w:t xml:space="preserve">”</w:t>
      </w:r>
      <w:r>
        <w:t xml:space="preserve"> </w:t>
      </w:r>
      <w:r>
        <w:t xml:space="preserve">not</w:t>
      </w:r>
      <w:r>
        <w:t xml:space="preserve"> </w:t>
      </w:r>
      <w:r>
        <w:t xml:space="preserve">“</w:t>
      </w:r>
      <w:r>
        <w:t xml:space="preserve">Louppy-le-Châtel</w:t>
      </w:r>
      <w:r>
        <w:t xml:space="preserve">”</w:t>
      </w:r>
      <w:r>
        <w:t xml:space="preserve"> </w:t>
      </w:r>
      <w:r>
        <w:t xml:space="preserve">— check Cosneau before draft use. (iii)</w:t>
      </w:r>
      <w:r>
        <w:t xml:space="preserve"> </w:t>
      </w:r>
      <w:r>
        <w:t xml:space="preserve">Contamine dates the Praguerie exchange</w:t>
      </w:r>
      <w:r>
        <w:t xml:space="preserve"> </w:t>
      </w:r>
      <w:r>
        <w:t xml:space="preserve">“</w:t>
      </w:r>
      <w:r>
        <w:t xml:space="preserve">entre 1440 et 1442,</w:t>
      </w:r>
      <w:r>
        <w:t xml:space="preserve">”</w:t>
      </w:r>
      <w:r>
        <w:t xml:space="preserve"> </w:t>
      </w:r>
      <w:r>
        <w:t xml:space="preserve">wider than §2’s</w:t>
      </w:r>
      <w:r>
        <w:t xml:space="preserve"> </w:t>
      </w:r>
      <w:r>
        <w:t xml:space="preserve">“</w:t>
      </w:r>
      <w:r>
        <w:t xml:space="preserve">February–July 1440</w:t>
      </w:r>
      <w:r>
        <w:t xml:space="preserve">”</w:t>
      </w:r>
      <w:r>
        <w:t xml:space="preserve">; the Cusset/Richemont</w:t>
      </w:r>
      <w:r>
        <w:t xml:space="preserve"> </w:t>
      </w:r>
      <w:r>
        <w:t xml:space="preserve">narrative is NOT in Contamine and keeps its T3 flag.</w:t>
      </w:r>
    </w:p>
    <w:p>
      <w:pPr>
        <w:numPr>
          <w:ilvl w:val="1"/>
          <w:numId w:val="1024"/>
        </w:numPr>
        <w:pStyle w:val="Compact"/>
      </w:pPr>
      <w:r>
        <w:rPr>
          <w:bCs/>
          <w:b/>
        </w:rPr>
        <w:t xml:space="preserve">Two negative findings that discipline the draft.</w:t>
      </w:r>
      <w:r>
        <w:t xml:space="preserve"> </w:t>
      </w:r>
      <w:r>
        <w:t xml:space="preserve">The</w:t>
      </w:r>
      <w:r>
        <w:t xml:space="preserve"> </w:t>
      </w:r>
      <w:r>
        <w:t xml:space="preserve">phrase</w:t>
      </w:r>
      <w:r>
        <w:t xml:space="preserve"> </w:t>
      </w:r>
      <w:r>
        <w:t xml:space="preserve">“</w:t>
      </w:r>
      <w:r>
        <w:t xml:space="preserve">taille des lances</w:t>
      </w:r>
      <w:r>
        <w:t xml:space="preserve">”</w:t>
      </w:r>
      <w:r>
        <w:t xml:space="preserve"> </w:t>
      </w:r>
      <w:r>
        <w:t xml:space="preserve">occurs nowhere in Contamine 1972</w:t>
      </w:r>
      <w:r>
        <w:t xml:space="preserve"> </w:t>
      </w:r>
      <w:r>
        <w:t xml:space="preserve">(substance yes — forecastable ordinaire receipts, district</w:t>
      </w:r>
      <w:r>
        <w:t xml:space="preserve"> </w:t>
      </w:r>
      <w:r>
        <w:t xml:space="preserve">assignment of lances, Annexe IX in-kind schedules; term no);</w:t>
      </w:r>
      <w:r>
        <w:t xml:space="preserve"> </w:t>
      </w:r>
      <w:r>
        <w:t xml:space="preserve">and Contamine provides no taille-YIELD series (the 1.8M→4.6M</w:t>
      </w:r>
      <w:r>
        <w:t xml:space="preserve"> </w:t>
      </w:r>
      <w:r>
        <w:t xml:space="preserve">arc keeps its tertiary flag) — his contribution is the</w:t>
      </w:r>
      <w:r>
        <w:t xml:space="preserve"> </w:t>
      </w:r>
      <w:r>
        <w:t xml:space="preserve">expenditure series, including military spending at 74% of</w:t>
      </w:r>
      <w:r>
        <w:t xml:space="preserve"> </w:t>
      </w:r>
      <w:r>
        <w:t xml:space="preserve">4.7M l.t. in 1482, which §2 does not yet use.</w:t>
      </w:r>
    </w:p>
    <w:p>
      <w:r>
        <w:pict>
          <v:rect style="width:0;height:1.5pt" o:hralign="center" o:hrstd="t" o:hr="t"/>
        </w:pict>
      </w:r>
    </w:p>
    <w:bookmarkEnd w:id="104"/>
    <w:bookmarkStart w:id="105" w:name="ch10critiques.md"/>
    <w:p>
      <w:pPr>
        <w:pStyle w:val="Heading2"/>
      </w:pPr>
      <w:r>
        <w:t xml:space="preserve">ch10/critiques.md</w:t>
      </w:r>
    </w:p>
    <w:bookmarkEnd w:id="105"/>
    <w:bookmarkStart w:id="106" w:name="X9e8374ff3745e99e0b72d32952ae19b7becdf7f"/>
    <w:p>
      <w:pPr>
        <w:pStyle w:val="Heading2"/>
      </w:pPr>
      <w:r>
        <w:t xml:space="preserve">Additions (2026-08-06, on Roderick’s triage instruction) — PENDING HUMAN REVIEW</w:t>
      </w:r>
    </w:p>
    <w:p>
      <w:r>
        <w:pict>
          <v:rect style="width:0;height:1.5pt" o:hralign="center" o:hrstd="t" o:hr="t"/>
        </w:pict>
      </w:r>
    </w:p>
    <w:bookmarkEnd w:id="106"/>
    <w:bookmarkStart w:id="107" w:name="ch12memo.md"/>
    <w:p>
      <w:pPr>
        <w:pStyle w:val="Heading2"/>
      </w:pPr>
      <w:r>
        <w:t xml:space="preserve">ch12/memo.md</w:t>
      </w:r>
    </w:p>
    <w:p>
      <w:pPr>
        <w:numPr>
          <w:ilvl w:val="0"/>
          <w:numId w:val="1025"/>
        </w:numPr>
        <w:pStyle w:val="Compact"/>
      </w:pPr>
      <w:r>
        <w:rPr>
          <w:bCs/>
          <w:b/>
        </w:rPr>
        <w:t xml:space="preserve">(2026-09-02 — The Economist essay at T3: the nuclear ceiling as a</w:t>
      </w:r>
      <w:r>
        <w:rPr>
          <w:bCs/>
          <w:b/>
        </w:rPr>
        <w:t xml:space="preserve"> </w:t>
      </w:r>
      <w:r>
        <w:rPr>
          <w:bCs/>
          <w:b/>
        </w:rPr>
        <w:t xml:space="preserve">confessed limit. PENDING HUMAN REVIEW.)</w:t>
      </w:r>
      <w:r>
        <w:t xml:space="preserve"> </w:t>
      </w:r>
      <w:r>
        <w:t xml:space="preserve">Executed against spine §8</w:t>
      </w:r>
      <w:r>
        <w:t xml:space="preserve"> </w:t>
      </w:r>
      <w:r>
        <w:t xml:space="preserve">and the 2026-09-02 session instruction; no draft text proposed.</w:t>
      </w:r>
    </w:p>
    <w:p>
      <w:pPr>
        <w:numPr>
          <w:ilvl w:val="1"/>
          <w:numId w:val="1026"/>
        </w:numPr>
        <w:pStyle w:val="Compact"/>
      </w:pPr>
      <w:r>
        <w:rPr>
          <w:bCs/>
          <w:b/>
        </w:rPr>
        <w:t xml:space="preserve">The finding.</w:t>
      </w:r>
      <w:r>
        <w:t xml:space="preserve"> </w:t>
      </w:r>
      <w:r>
        <w:t xml:space="preserve">The draft’s §V nuclear-overhang paragraph argues</w:t>
      </w:r>
      <w:r>
        <w:t xml:space="preserve"> </w:t>
      </w:r>
      <w:r>
        <w:t xml:space="preserve">the consolidation mechanism runs</w:t>
      </w:r>
      <w:r>
        <w:t xml:space="preserve"> </w:t>
      </w:r>
      <w:r>
        <w:rPr>
          <w:iCs/>
          <w:i/>
        </w:rPr>
        <w:t xml:space="preserve">underneath</w:t>
      </w:r>
      <w:r>
        <w:t xml:space="preserve"> </w:t>
      </w:r>
      <w:r>
        <w:t xml:space="preserve">the overhang, with</w:t>
      </w:r>
      <w:r>
        <w:t xml:space="preserve"> </w:t>
      </w:r>
      <w:r>
        <w:t xml:space="preserve">Russia as the evidence (spine §5). The essay (sources.md</w:t>
      </w:r>
      <w:r>
        <w:t xml:space="preserve"> </w:t>
      </w:r>
      <w:r>
        <w:t xml:space="preserve">2026-09-02 entry) adds a sharper, narrower point the paragraph</w:t>
      </w:r>
      <w:r>
        <w:t xml:space="preserve"> </w:t>
      </w:r>
      <w:r>
        <w:t xml:space="preserve">does not yet carry: in a Taiwan war, America’s plan to attack</w:t>
      </w:r>
      <w:r>
        <w:t xml:space="preserve"> </w:t>
      </w:r>
      <w:r>
        <w:t xml:space="preserve">the Chinese war machine’s</w:t>
      </w:r>
      <w:r>
        <w:t xml:space="preserve"> </w:t>
      </w:r>
      <w:r>
        <w:t xml:space="preserve">“</w:t>
      </w:r>
      <w:r>
        <w:t xml:space="preserve">connective tissue</w:t>
      </w:r>
      <w:r>
        <w:t xml:space="preserve">”</w:t>
      </w:r>
      <w:r>
        <w:t xml:space="preserve"> </w:t>
      </w:r>
      <w:r>
        <w:t xml:space="preserve">“</w:t>
      </w:r>
      <w:r>
        <w:t xml:space="preserve">would involve</w:t>
      </w:r>
      <w:r>
        <w:t xml:space="preserve"> </w:t>
      </w:r>
      <w:r>
        <w:t xml:space="preserve">lightning-fast attacks on many of the systems that China also</w:t>
      </w:r>
      <w:r>
        <w:t xml:space="preserve"> </w:t>
      </w:r>
      <w:r>
        <w:t xml:space="preserve">relies on to control its nuclear forces. The risks of</w:t>
      </w:r>
      <w:r>
        <w:t xml:space="preserve"> </w:t>
      </w:r>
      <w:r>
        <w:t xml:space="preserve">miscalculation are huge.</w:t>
      </w:r>
      <w:r>
        <w:t xml:space="preserve">”</w:t>
      </w:r>
      <w:r>
        <w:t xml:space="preserve"> </w:t>
      </w:r>
      <w:r>
        <w:t xml:space="preserve">The red lines exist but</w:t>
      </w:r>
      <w:r>
        <w:t xml:space="preserve"> </w:t>
      </w:r>
      <w:r>
        <w:t xml:space="preserve">“</w:t>
      </w:r>
      <w:r>
        <w:t xml:space="preserve">people are</w:t>
      </w:r>
      <w:r>
        <w:t xml:space="preserve"> </w:t>
      </w:r>
      <w:r>
        <w:t xml:space="preserve">not sure where they lie</w:t>
      </w:r>
      <w:r>
        <w:t xml:space="preserve">”</w:t>
      </w:r>
      <w:r>
        <w:t xml:space="preserve"> </w:t>
      </w:r>
      <w:r>
        <w:t xml:space="preserve">(the October 2022 50-50 assessment as</w:t>
      </w:r>
      <w:r>
        <w:t xml:space="preserve"> </w:t>
      </w:r>
      <w:r>
        <w:t xml:space="preserve">the one data point). The decisive stack is not merely capped by</w:t>
      </w:r>
      <w:r>
        <w:t xml:space="preserve"> </w:t>
      </w:r>
      <w:r>
        <w:t xml:space="preserve">the overhang from above — its own hardware is entangled with</w:t>
      </w:r>
      <w:r>
        <w:t xml:space="preserve"> </w:t>
      </w:r>
      <w:r>
        <w:t xml:space="preserve">nuclear command and control.</w:t>
      </w:r>
    </w:p>
    <w:p>
      <w:pPr>
        <w:numPr>
          <w:ilvl w:val="1"/>
          <w:numId w:val="1026"/>
        </w:numPr>
        <w:pStyle w:val="Compact"/>
      </w:pPr>
      <w:r>
        <w:rPr>
          <w:bCs/>
          <w:b/>
        </w:rPr>
        <w:t xml:space="preserve">The question, put as a question.</w:t>
      </w:r>
      <w:r>
        <w:t xml:space="preserve"> </w:t>
      </w:r>
      <w:r>
        <w:t xml:space="preserve">If the full transparency</w:t>
      </w:r>
      <w:r>
        <w:t xml:space="preserve"> </w:t>
      </w:r>
      <w:r>
        <w:t xml:space="preserve">war between blocs is unfightable at the top layer, the blocs</w:t>
      </w:r>
      <w:r>
        <w:t xml:space="preserve"> </w:t>
      </w:r>
      <w:r>
        <w:t xml:space="preserve">may consolidate and never test each other: a permanent, armed,</w:t>
      </w:r>
      <w:r>
        <w:t xml:space="preserve"> </w:t>
      </w:r>
      <w:r>
        <w:t xml:space="preserve">mutually observed pause rather than a Bosworth. Is that a Tudor</w:t>
      </w:r>
      <w:r>
        <w:t xml:space="preserve"> </w:t>
      </w:r>
      <w:r>
        <w:t xml:space="preserve">settlement or something without precedent? The chapter should</w:t>
      </w:r>
      <w:r>
        <w:t xml:space="preserve"> </w:t>
      </w:r>
      <w:r>
        <w:t xml:space="preserve">confess the limit rather than resolve it; the coda inherits the</w:t>
      </w:r>
      <w:r>
        <w:t xml:space="preserve"> </w:t>
      </w:r>
      <w:r>
        <w:t xml:space="preserve">question (coda/memo.md holding note, same date). Consistent</w:t>
      </w:r>
      <w:r>
        <w:t xml:space="preserve"> </w:t>
      </w:r>
      <w:r>
        <w:t xml:space="preserve">with spine §5 (nuclear outside the frame; Russia as the</w:t>
      </w:r>
      <w:r>
        <w:t xml:space="preserve"> </w:t>
      </w:r>
      <w:r>
        <w:t xml:space="preserve">demonstration case) and with the existing §V paragraph — this</w:t>
      </w:r>
      <w:r>
        <w:t xml:space="preserve"> </w:t>
      </w:r>
      <w:r>
        <w:t xml:space="preserve">entry sharpens, it does not replace.</w:t>
      </w:r>
    </w:p>
    <w:p>
      <w:pPr>
        <w:numPr>
          <w:ilvl w:val="1"/>
          <w:numId w:val="1026"/>
        </w:numPr>
        <w:pStyle w:val="Compact"/>
      </w:pPr>
      <w:r>
        <w:rPr>
          <w:bCs/>
          <w:b/>
        </w:rPr>
        <w:t xml:space="preserve">Flag for Roderick (not resolved here).</w:t>
      </w:r>
      <w:r>
        <w:t xml:space="preserve"> </w:t>
      </w:r>
      <w:r>
        <w:t xml:space="preserve">The entanglement</w:t>
      </w:r>
      <w:r>
        <w:t xml:space="preserve"> </w:t>
      </w:r>
      <w:r>
        <w:t xml:space="preserve">point sits in tension with spine §5’s clean</w:t>
      </w:r>
      <w:r>
        <w:t xml:space="preserve"> </w:t>
      </w:r>
      <w:r>
        <w:t xml:space="preserve">“</w:t>
      </w:r>
      <w:r>
        <w:t xml:space="preserve">nuclear weapons</w:t>
      </w:r>
      <w:r>
        <w:t xml:space="preserve"> </w:t>
      </w:r>
      <w:r>
        <w:t xml:space="preserve">sit outside the frame</w:t>
      </w:r>
      <w:r>
        <w:t xml:space="preserve">”</w:t>
      </w:r>
      <w:r>
        <w:t xml:space="preserve">: if attacking the decisive stack means</w:t>
      </w:r>
      <w:r>
        <w:t xml:space="preserve"> </w:t>
      </w:r>
      <w:r>
        <w:t xml:space="preserve">attacking nuclear C2, the frame’s boundary runs through the</w:t>
      </w:r>
      <w:r>
        <w:t xml:space="preserve"> </w:t>
      </w:r>
      <w:r>
        <w:t xml:space="preserve">stack itself. Registered as a tension for his ruling, per the</w:t>
      </w:r>
      <w:r>
        <w:t xml:space="preserve"> </w:t>
      </w:r>
      <w:r>
        <w:t xml:space="preserve">2026-09-02 instruction to flag rather than resolve.</w:t>
      </w:r>
    </w:p>
    <w:p>
      <w:r>
        <w:pict>
          <v:rect style="width:0;height:1.5pt" o:hralign="center" o:hrstd="t" o:hr="t"/>
        </w:pict>
      </w:r>
    </w:p>
    <w:p>
      <w:pPr>
        <w:numPr>
          <w:ilvl w:val="0"/>
          <w:numId w:val="1027"/>
        </w:numPr>
        <w:pStyle w:val="Compact"/>
      </w:pPr>
      <w:r>
        <w:rPr>
          <w:bCs/>
          <w:b/>
        </w:rPr>
        <w:t xml:space="preserve">(2026-09-02 — the Standard Oil off-switch probe executed</w:t>
      </w:r>
      <w:r>
        <w:rPr>
          <w:bCs/>
          <w:b/>
        </w:rPr>
        <w:t xml:space="preserve"> </w:t>
      </w:r>
      <w:r>
        <w:rPr>
          <w:bCs/>
          <w:b/>
        </w:rPr>
        <w:t xml:space="preserve">(ch12/standard-oil-offswitch.md), per spine §8(c)’s RESEARCH note.</w:t>
      </w:r>
      <w:r>
        <w:rPr>
          <w:bCs/>
          <w:b/>
        </w:rPr>
        <w:t xml:space="preserve"> </w:t>
      </w:r>
      <w:r>
        <w:rPr>
          <w:bCs/>
          <w:b/>
        </w:rPr>
        <w:t xml:space="preserve">PENDING HUMAN REVIEW.)</w:t>
      </w:r>
      <w:r>
        <w:t xml:space="preserve"> </w:t>
      </w:r>
      <w:r>
        <w:t xml:space="preserve">The 1911 opinion is now in corpus at T1</w:t>
      </w:r>
      <w:r>
        <w:t xml:space="preserve"> </w:t>
      </w:r>
      <w:r>
        <w:t xml:space="preserve">(Cornell LII text plus the official U.S. Reports PDF with the</w:t>
      </w:r>
      <w:r>
        <w:t xml:space="preserve"> </w:t>
      </w:r>
      <w:r>
        <w:t xml:space="preserve">decree footnote), with the off-switch migration documented from</w:t>
      </w:r>
      <w:r>
        <w:t xml:space="preserve"> </w:t>
      </w:r>
      <w:r>
        <w:t xml:space="preserve">open primaries (Hepburn 1906; Texas 1917; the RRC proration</w:t>
      </w:r>
      <w:r>
        <w:t xml:space="preserve"> </w:t>
      </w:r>
      <w:r>
        <w:t xml:space="preserve">orders 1930–32; Connally and the Interstate Oil Compact 1935; EO</w:t>
      </w:r>
      <w:r>
        <w:t xml:space="preserve"> </w:t>
      </w:r>
      <w:r>
        <w:t xml:space="preserve">8832/TWEA 1941; EPCA § 161 1975; IEEPA 1977). What the probe</w:t>
      </w:r>
      <w:r>
        <w:t xml:space="preserve"> </w:t>
      </w:r>
      <w:r>
        <w:t xml:space="preserve">establishes for this memo:</w:t>
      </w:r>
    </w:p>
    <w:p>
      <w:pPr>
        <w:numPr>
          <w:ilvl w:val="1"/>
          <w:numId w:val="1028"/>
        </w:numPr>
        <w:pStyle w:val="Compact"/>
      </w:pPr>
      <w:r>
        <w:rPr>
          <w:bCs/>
          <w:b/>
        </w:rPr>
        <w:t xml:space="preserve">The control-rights reading is supported at T1.</w:t>
      </w:r>
      <w:r>
        <w:t xml:space="preserve"> </w:t>
      </w:r>
      <w:r>
        <w:t xml:space="preserve">The decree</w:t>
      </w:r>
      <w:r>
        <w:t xml:space="preserve"> </w:t>
      </w:r>
      <w:r>
        <w:t xml:space="preserve">dissolved the holding structure and enjoined recombination</w:t>
      </w:r>
      <w:r>
        <w:t xml:space="preserve"> </w:t>
      </w:r>
      <w:r>
        <w:t xml:space="preserve">while ordering no individual divestiture and no operational</w:t>
      </w:r>
      <w:r>
        <w:t xml:space="preserve"> </w:t>
      </w:r>
      <w:r>
        <w:t xml:space="preserve">severance (the Court’s own pipeline illustration: a combined</w:t>
      </w:r>
      <w:r>
        <w:t xml:space="preserve"> </w:t>
      </w:r>
      <w:r>
        <w:t xml:space="preserve">continuous line post-dissolution</w:t>
      </w:r>
      <w:r>
        <w:t xml:space="preserve"> </w:t>
      </w:r>
      <w:r>
        <w:t xml:space="preserve">“</w:t>
      </w:r>
      <w:r>
        <w:t xml:space="preserve">would not be repugnant to</w:t>
      </w:r>
      <w:r>
        <w:t xml:space="preserve"> </w:t>
      </w:r>
      <w:r>
        <w:t xml:space="preserve">the act</w:t>
      </w:r>
      <w:r>
        <w:t xml:space="preserve">”</w:t>
      </w:r>
      <w:r>
        <w:t xml:space="preserve">). Wealth retained; unified command extinguished. The</w:t>
      </w:r>
      <w:r>
        <w:t xml:space="preserve"> </w:t>
      </w:r>
      <w:r>
        <w:t xml:space="preserve">wealth side of the decoupling (fortune ~$300M → ~$900M+ by</w:t>
      </w:r>
      <w:r>
        <w:t xml:space="preserve"> </w:t>
      </w:r>
      <w:r>
        <w:t xml:space="preserve">end-1913) is carried openly only by an unfootnoted T3 (Cato</w:t>
      </w:r>
      <w:r>
        <w:t xml:space="preserve"> </w:t>
      </w:r>
      <w:r>
        <w:rPr>
          <w:iCs/>
          <w:i/>
        </w:rPr>
        <w:t xml:space="preserve">Regulation</w:t>
      </w:r>
      <w:r>
        <w:t xml:space="preserve">, Summer 2025) —</w:t>
      </w:r>
      <w:r>
        <w:t xml:space="preserve"> </w:t>
      </w:r>
      <w:r>
        <w:rPr>
          <w:bCs/>
          <w:b/>
        </w:rPr>
        <w:t xml:space="preserve">[UNVERIFIED — RETRIEVAL:</w:t>
      </w:r>
      <w:r>
        <w:rPr>
          <w:bCs/>
          <w:b/>
        </w:rPr>
        <w:t xml:space="preserve"> </w:t>
      </w:r>
      <w:r>
        <w:rPr>
          <w:bCs/>
          <w:b/>
        </w:rPr>
        <w:t xml:space="preserve">Chernow; Yergin]</w:t>
      </w:r>
      <w:r>
        <w:t xml:space="preserve">.</w:t>
      </w:r>
    </w:p>
    <w:p>
      <w:pPr>
        <w:numPr>
          <w:ilvl w:val="1"/>
          <w:numId w:val="1028"/>
        </w:numPr>
        <w:pStyle w:val="Compact"/>
      </w:pPr>
      <w:r>
        <w:rPr>
          <w:bCs/>
          <w:b/>
        </w:rPr>
        <w:t xml:space="preserve">The sequence refinement (probe §6).</w:t>
      </w:r>
      <w:r>
        <w:t xml:space="preserve"> </w:t>
      </w:r>
      <w:r>
        <w:t xml:space="preserve">The off-switch did not</w:t>
      </w:r>
      <w:r>
        <w:t xml:space="preserve"> </w:t>
      </w:r>
      <w:r>
        <w:t xml:space="preserve">transfer in the breakup; it was assembled 1906–1977 by</w:t>
      </w:r>
      <w:r>
        <w:t xml:space="preserve"> </w:t>
      </w:r>
      <w:r>
        <w:t xml:space="preserve">carriage, production and transaction instruments, Hepburn</w:t>
      </w:r>
      <w:r>
        <w:t xml:space="preserve"> </w:t>
      </w:r>
      <w:r>
        <w:t xml:space="preserve">PRECEDING the dissolution. If §§2–3’s American-case treatment</w:t>
      </w:r>
      <w:r>
        <w:t xml:space="preserve"> </w:t>
      </w:r>
      <w:r>
        <w:t xml:space="preserve">adopts the proof case at renovation, it should carry the lag —</w:t>
      </w:r>
      <w:r>
        <w:t xml:space="preserve"> </w:t>
      </w:r>
      <w:r>
        <w:t xml:space="preserve">decoupling first, control-acquisition over a generation —</w:t>
      </w:r>
      <w:r>
        <w:t xml:space="preserve"> </w:t>
      </w:r>
      <w:r>
        <w:t xml:space="preserve">which mirrors ch10’s fiscal gradualism rather than a</w:t>
      </w:r>
      <w:r>
        <w:t xml:space="preserve"> </w:t>
      </w:r>
      <w:r>
        <w:t xml:space="preserve">single-act settlement.</w:t>
      </w:r>
    </w:p>
    <w:p>
      <w:pPr>
        <w:numPr>
          <w:ilvl w:val="1"/>
          <w:numId w:val="1028"/>
        </w:numPr>
        <w:pStyle w:val="Compact"/>
      </w:pPr>
      <w:r>
        <w:rPr>
          <w:bCs/>
          <w:b/>
        </w:rPr>
        <w:t xml:space="preserve">Tension flagged, not resolved:</w:t>
      </w:r>
      <w:r>
        <w:t xml:space="preserve"> </w:t>
      </w:r>
      <w:r>
        <w:t xml:space="preserve">draft §IV’s</w:t>
      </w:r>
      <w:r>
        <w:t xml:space="preserve"> </w:t>
      </w:r>
      <w:r>
        <w:t xml:space="preserve">“</w:t>
      </w:r>
      <w:r>
        <w:t xml:space="preserve">not the</w:t>
      </w:r>
      <w:r>
        <w:t xml:space="preserve"> </w:t>
      </w:r>
      <w:r>
        <w:t xml:space="preserve">American state’s Standard Oil but its monasteries</w:t>
      </w:r>
      <w:r>
        <w:t xml:space="preserve">”</w:t>
      </w:r>
      <w:r>
        <w:t xml:space="preserve"> </w:t>
      </w:r>
      <w:r>
        <w:t xml:space="preserve">versus</w:t>
      </w:r>
      <w:r>
        <w:t xml:space="preserve"> </w:t>
      </w:r>
      <w:r>
        <w:t xml:space="preserve">spine §8(c)’s</w:t>
      </w:r>
      <w:r>
        <w:t xml:space="preserve"> </w:t>
      </w:r>
      <w:r>
        <w:t xml:space="preserve">“</w:t>
      </w:r>
      <w:r>
        <w:t xml:space="preserve">Standard Oil is the proof case</w:t>
      </w:r>
      <w:r>
        <w:t xml:space="preserve">”</w:t>
      </w:r>
      <w:r>
        <w:t xml:space="preserve"> </w:t>
      </w:r>
      <w:r>
        <w:t xml:space="preserve">— probe §6.3</w:t>
      </w:r>
      <w:r>
        <w:t xml:space="preserve"> </w:t>
      </w:r>
      <w:r>
        <w:t xml:space="preserve">states the reconciliation candidates; Roderick’s call.</w:t>
      </w:r>
    </w:p>
    <w:p>
      <w:pPr>
        <w:numPr>
          <w:ilvl w:val="1"/>
          <w:numId w:val="1028"/>
        </w:numPr>
        <w:pStyle w:val="Compact"/>
      </w:pPr>
      <w:r>
        <w:t xml:space="preserve">The mirror table (probe §5) states the modern analogues with</w:t>
      </w:r>
      <w:r>
        <w:t xml:space="preserve"> </w:t>
      </w:r>
      <w:r>
        <w:t xml:space="preserve">per-row disanalogies; the strongest row is the</w:t>
      </w:r>
      <w:r>
        <w:t xml:space="preserve"> </w:t>
      </w:r>
      <w:r>
        <w:t xml:space="preserve">equity-intact/control-transferred one — the licence — which is</w:t>
      </w:r>
      <w:r>
        <w:t xml:space="preserve"> </w:t>
      </w:r>
      <w:r>
        <w:t xml:space="preserve">also where draft §IV already stands.</w:t>
      </w:r>
    </w:p>
    <w:p>
      <w:r>
        <w:pict>
          <v:rect style="width:0;height:1.5pt" o:hralign="center" o:hrstd="t" o:hr="t"/>
        </w:pict>
      </w:r>
    </w:p>
    <w:p>
      <w:pPr>
        <w:numPr>
          <w:ilvl w:val="0"/>
          <w:numId w:val="1029"/>
        </w:numPr>
        <w:pStyle w:val="Compact"/>
      </w:pPr>
      <w:r>
        <w:rPr>
          <w:bCs/>
          <w:b/>
        </w:rPr>
        <w:t xml:space="preserve">(2026-09-02 — the over-mighty citizen: the American idiom of</w:t>
      </w:r>
      <w:r>
        <w:rPr>
          <w:bCs/>
          <w:b/>
        </w:rPr>
        <w:t xml:space="preserve"> </w:t>
      </w:r>
      <w:r>
        <w:rPr>
          <w:bCs/>
          <w:b/>
        </w:rPr>
        <w:t xml:space="preserve">consolidation, from research/overmighty-citizen-playbook.md.</w:t>
      </w:r>
      <w:r>
        <w:rPr>
          <w:bCs/>
          <w:b/>
        </w:rPr>
        <w:t xml:space="preserve"> </w:t>
      </w:r>
      <w:r>
        <w:rPr>
          <w:bCs/>
          <w:b/>
        </w:rPr>
        <w:t xml:space="preserve">PENDING HUMAN REVIEW.)</w:t>
      </w:r>
      <w:r>
        <w:t xml:space="preserve"> </w:t>
      </w:r>
      <w:r>
        <w:t xml:space="preserve">Filed by Claude/Cowork on Roderick’s</w:t>
      </w:r>
      <w:r>
        <w:t xml:space="preserve"> </w:t>
      </w:r>
      <w:r>
        <w:t xml:space="preserve">instruction; no draft text proposed. Roderick’s proposition, stated</w:t>
      </w:r>
      <w:r>
        <w:t xml:space="preserve"> </w:t>
      </w:r>
      <w:r>
        <w:t xml:space="preserve">for the record: for the USA to regain sovereign power over its</w:t>
      </w:r>
      <w:r>
        <w:t xml:space="preserve"> </w:t>
      </w:r>
      <w:r>
        <w:t xml:space="preserve">tech stack, and therefore to compete, it must deploy its</w:t>
      </w:r>
      <w:r>
        <w:t xml:space="preserve"> </w:t>
      </w:r>
      <w:r>
        <w:t xml:space="preserve">traditional approach to over-mighty citizens — Musk, Zuckerberg,</w:t>
      </w:r>
      <w:r>
        <w:t xml:space="preserve"> </w:t>
      </w:r>
      <w:r>
        <w:t xml:space="preserve">the hyperscalers — as it did to Rockefeller, Morgan, Insull and</w:t>
      </w:r>
      <w:r>
        <w:t xml:space="preserve"> </w:t>
      </w:r>
      <w:r>
        <w:t xml:space="preserve">Bell. The playbook is the elaboration of spine §8(c).</w:t>
      </w:r>
    </w:p>
    <w:p>
      <w:pPr>
        <w:numPr>
          <w:ilvl w:val="1"/>
          <w:numId w:val="1030"/>
        </w:numPr>
        <w:pStyle w:val="Compact"/>
      </w:pPr>
      <w:r>
        <w:rPr>
          <w:bCs/>
          <w:b/>
        </w:rPr>
        <w:t xml:space="preserve">What it adds to §§2–4’s American case.</w:t>
      </w:r>
      <w:r>
        <w:t xml:space="preserve"> </w:t>
      </w:r>
      <w:r>
        <w:t xml:space="preserve">A twelve-case series</w:t>
      </w:r>
      <w:r>
        <w:t xml:space="preserve"> </w:t>
      </w:r>
      <w:r>
        <w:t xml:space="preserve">(Standard Oil, the ICC, the Money Trust, Glass–Steagall, PUHCA,</w:t>
      </w:r>
      <w:r>
        <w:t xml:space="preserve"> </w:t>
      </w:r>
      <w:r>
        <w:t xml:space="preserve">the packers, RCA, Paramount, Alcoa, DuPont–GM, AT&amp;T, IBM,</w:t>
      </w:r>
      <w:r>
        <w:t xml:space="preserve"> </w:t>
      </w:r>
      <w:r>
        <w:t xml:space="preserve">Microsoft) in which the republic separates, unbundles, opens or</w:t>
      </w:r>
      <w:r>
        <w:t xml:space="preserve"> </w:t>
      </w:r>
      <w:r>
        <w:t xml:space="preserve">supervises a privately held bottleneck and never confiscates —</w:t>
      </w:r>
      <w:r>
        <w:t xml:space="preserve"> </w:t>
      </w:r>
      <w:r>
        <w:t xml:space="preserve">“</w:t>
      </w:r>
      <w:r>
        <w:t xml:space="preserve">the line was repeatedly drawn between ownership and</w:t>
      </w:r>
      <w:r>
        <w:t xml:space="preserve"> </w:t>
      </w:r>
      <w:r>
        <w:t xml:space="preserve">sovereignty.</w:t>
      </w:r>
      <w:r>
        <w:t xml:space="preserve">”</w:t>
      </w:r>
      <w:r>
        <w:t xml:space="preserve"> </w:t>
      </w:r>
      <w:r>
        <w:t xml:space="preserve">Described analytically, this is comparative</w:t>
      </w:r>
      <w:r>
        <w:t xml:space="preserve"> </w:t>
      </w:r>
      <w:r>
        <w:t xml:space="preserve">historical analysis within CLAUDE.md §9 and converts the</w:t>
      </w:r>
      <w:r>
        <w:t xml:space="preserve"> </w:t>
      </w:r>
      <w:r>
        <w:t xml:space="preserve">council’s four American readings into phases of one recurring</w:t>
      </w:r>
      <w:r>
        <w:t xml:space="preserve"> </w:t>
      </w:r>
      <w:r>
        <w:t xml:space="preserve">pattern (venality and undermighty kingship = the pre-antitrust</w:t>
      </w:r>
      <w:r>
        <w:t xml:space="preserve"> </w:t>
      </w:r>
      <w:r>
        <w:t xml:space="preserve">moment). Every case has a T1 primary; the retrieval leads are in</w:t>
      </w:r>
      <w:r>
        <w:t xml:space="preserve"> </w:t>
      </w:r>
      <w:r>
        <w:t xml:space="preserve">ch12/standard-oil-offswitch.md, Addendum.</w:t>
      </w:r>
    </w:p>
    <w:p>
      <w:pPr>
        <w:numPr>
          <w:ilvl w:val="1"/>
          <w:numId w:val="1030"/>
        </w:numPr>
        <w:pStyle w:val="Compact"/>
      </w:pPr>
      <w:r>
        <w:rPr>
          <w:bCs/>
          <w:b/>
        </w:rPr>
        <w:t xml:space="preserve">What it answers.</w:t>
      </w:r>
      <w:r>
        <w:t xml:space="preserve"> </w:t>
      </w:r>
      <w:r>
        <w:t xml:space="preserve">Opus 5’s severed-link objection (the modern</w:t>
      </w:r>
      <w:r>
        <w:t xml:space="preserve"> </w:t>
      </w:r>
      <w:r>
        <w:t xml:space="preserve">stack is financed by private capital, so no representation</w:t>
      </w:r>
      <w:r>
        <w:t xml:space="preserve"> </w:t>
      </w:r>
      <w:r>
        <w:t xml:space="preserve">bargain): the taille’s modern analogue is control rights, not</w:t>
      </w:r>
      <w:r>
        <w:t xml:space="preserve"> </w:t>
      </w:r>
      <w:r>
        <w:t xml:space="preserve">revenue — the ICC never took the railroads’ money, it took their</w:t>
      </w:r>
      <w:r>
        <w:t xml:space="preserve"> </w:t>
      </w:r>
      <w:r>
        <w:t xml:space="preserve">discretion over who could ship. GPT 5.6 Sol’s revocation metric</w:t>
      </w:r>
      <w:r>
        <w:t xml:space="preserve"> </w:t>
      </w:r>
      <w:r>
        <w:t xml:space="preserve">and the playbook’s</w:t>
      </w:r>
      <w:r>
        <w:t xml:space="preserve"> </w:t>
      </w:r>
      <w:r>
        <w:t xml:space="preserve">“</w:t>
      </w:r>
      <w:r>
        <w:t xml:space="preserve">power switch test</w:t>
      </w:r>
      <w:r>
        <w:t xml:space="preserve">”</w:t>
      </w:r>
      <w:r>
        <w:t xml:space="preserve"> </w:t>
      </w:r>
      <w:r>
        <w:t xml:space="preserve">are one criterion.</w:t>
      </w:r>
    </w:p>
    <w:p>
      <w:pPr>
        <w:numPr>
          <w:ilvl w:val="1"/>
          <w:numId w:val="1030"/>
        </w:numPr>
        <w:pStyle w:val="Compact"/>
      </w:pPr>
      <w:r>
        <w:rPr>
          <w:bCs/>
          <w:b/>
        </w:rPr>
        <w:t xml:space="preserve">Coinage (for the ledger).</w:t>
      </w:r>
      <w:r>
        <w:t xml:space="preserve"> </w:t>
      </w:r>
      <w:r>
        <w:t xml:space="preserve">“</w:t>
      </w:r>
      <w:r>
        <w:t xml:space="preserve">Over-mighty citizen</w:t>
      </w:r>
      <w:r>
        <w:t xml:space="preserve">”</w:t>
      </w:r>
      <w:r>
        <w:t xml:space="preserve"> </w:t>
      </w:r>
      <w:r>
        <w:t xml:space="preserve">as the</w:t>
      </w:r>
      <w:r>
        <w:t xml:space="preserve"> </w:t>
      </w:r>
      <w:r>
        <w:t xml:space="preserve">chapter-level coinage: a republic has citizens, not subjects;</w:t>
      </w:r>
      <w:r>
        <w:t xml:space="preserve"> </w:t>
      </w:r>
      <w:r>
        <w:t xml:space="preserve">the term serves the book-level coinage rather than competing</w:t>
      </w:r>
      <w:r>
        <w:t xml:space="preserve"> </w:t>
      </w:r>
      <w:r>
        <w:t xml:space="preserve">with it. The lineage is Fortescue,</w:t>
      </w:r>
      <w:r>
        <w:t xml:space="preserve"> </w:t>
      </w:r>
      <w:r>
        <w:rPr>
          <w:iCs/>
          <w:i/>
        </w:rPr>
        <w:t xml:space="preserve">Governance of England</w:t>
      </w:r>
      <w:r>
        <w:t xml:space="preserve"> </w:t>
      </w:r>
      <w:r>
        <w:t xml:space="preserve">(c. 1471–75),</w:t>
      </w:r>
      <w:r>
        <w:t xml:space="preserve"> </w:t>
      </w:r>
      <w:r>
        <w:t xml:space="preserve">“</w:t>
      </w:r>
      <w:r>
        <w:t xml:space="preserve">ovur mighty subgiettes,</w:t>
      </w:r>
      <w:r>
        <w:t xml:space="preserve">”</w:t>
      </w:r>
      <w:r>
        <w:t xml:space="preserve"> </w:t>
      </w:r>
      <w:r>
        <w:t xml:space="preserve">BEFORE McFarlane’s</w:t>
      </w:r>
      <w:r>
        <w:t xml:space="preserve"> </w:t>
      </w:r>
      <w:r>
        <w:t xml:space="preserve">inversion — ch05 credits McFarlane and should credit Fortescue</w:t>
      </w:r>
      <w:r>
        <w:t xml:space="preserve"> </w:t>
      </w:r>
      <w:r>
        <w:t xml:space="preserve">(ch05 note, same date).</w:t>
      </w:r>
    </w:p>
    <w:p>
      <w:pPr>
        <w:numPr>
          <w:ilvl w:val="1"/>
          <w:numId w:val="1030"/>
        </w:numPr>
        <w:pStyle w:val="Compact"/>
      </w:pPr>
      <w:r>
        <w:rPr>
          <w:bCs/>
          <w:b/>
        </w:rPr>
        <w:t xml:space="preserve">Two disanalogies to concede, not smooth.</w:t>
      </w:r>
      <w:r>
        <w:t xml:space="preserve"> </w:t>
      </w:r>
      <w:r>
        <w:t xml:space="preserve">(a)</w:t>
      </w:r>
      <w:r>
        <w:t xml:space="preserve"> </w:t>
      </w:r>
      <w:r>
        <w:rPr>
          <w:iCs/>
          <w:i/>
        </w:rPr>
        <w:t xml:space="preserve">Moody v.</w:t>
      </w:r>
      <w:r>
        <w:rPr>
          <w:iCs/>
          <w:i/>
        </w:rPr>
        <w:t xml:space="preserve"> </w:t>
      </w:r>
      <w:r>
        <w:rPr>
          <w:iCs/>
          <w:i/>
        </w:rPr>
        <w:t xml:space="preserve">NetChoice</w:t>
      </w:r>
      <w:r>
        <w:t xml:space="preserve"> </w:t>
      </w:r>
      <w:r>
        <w:t xml:space="preserve">(2024): the American state may regulate the</w:t>
      </w:r>
      <w:r>
        <w:t xml:space="preserve"> </w:t>
      </w:r>
      <w:r>
        <w:t xml:space="preserve">platforms’ economic switches but not their doctrine — a genuine</w:t>
      </w:r>
      <w:r>
        <w:t xml:space="preserve"> </w:t>
      </w:r>
      <w:r>
        <w:t xml:space="preserve">limit on the Henry VIII analogy (the state absorbs the Church’s</w:t>
      </w:r>
      <w:r>
        <w:t xml:space="preserve"> </w:t>
      </w:r>
      <w:r>
        <w:t xml:space="preserve">functions; it cannot rule its creed). (b) The playbook’s menu</w:t>
      </w:r>
      <w:r>
        <w:t xml:space="preserve"> </w:t>
      </w:r>
      <w:r>
        <w:t xml:space="preserve">opens the stack inward (interoperability, portability, public</w:t>
      </w:r>
      <w:r>
        <w:t xml:space="preserve"> </w:t>
      </w:r>
      <w:r>
        <w:t xml:space="preserve">compute) while export controls close it outward (the council’s</w:t>
      </w:r>
      <w:r>
        <w:t xml:space="preserve"> </w:t>
      </w:r>
      <w:r>
        <w:t xml:space="preserve">indivisibility point): both are control moves — licensing the</w:t>
      </w:r>
      <w:r>
        <w:t xml:space="preserve"> </w:t>
      </w:r>
      <w:r>
        <w:t xml:space="preserve">guilds at home, embargoing the foundry abroad — and the chapter</w:t>
      </w:r>
      <w:r>
        <w:t xml:space="preserve"> </w:t>
      </w:r>
      <w:r>
        <w:t xml:space="preserve">should say so.</w:t>
      </w:r>
    </w:p>
    <w:p>
      <w:pPr>
        <w:numPr>
          <w:ilvl w:val="1"/>
          <w:numId w:val="1030"/>
        </w:numPr>
        <w:pStyle w:val="Compact"/>
      </w:pPr>
      <w:r>
        <w:rPr>
          <w:bCs/>
          <w:b/>
        </w:rPr>
        <w:t xml:space="preserve">What may NOT enter.</w:t>
      </w:r>
      <w:r>
        <w:t xml:space="preserve"> </w:t>
      </w:r>
      <w:r>
        <w:t xml:space="preserve">The thirty-measure menu and the 2026–30</w:t>
      </w:r>
      <w:r>
        <w:t xml:space="preserve"> </w:t>
      </w:r>
      <w:r>
        <w:t xml:space="preserve">sequencing are prescription. They enter only as Appendix C</w:t>
      </w:r>
      <w:r>
        <w:t xml:space="preserve"> </w:t>
      </w:r>
      <w:r>
        <w:t xml:space="preserve">indicators (appendix-c/memo.md,</w:t>
      </w:r>
      <w:r>
        <w:t xml:space="preserve"> </w:t>
      </w:r>
      <w:r>
        <w:t xml:space="preserve">“</w:t>
      </w:r>
      <w:r>
        <w:t xml:space="preserve">American sub-wager</w:t>
      </w:r>
      <w:r>
        <w:t xml:space="preserve">”</w:t>
      </w:r>
      <w:r>
        <w:t xml:space="preserve">, same</w:t>
      </w:r>
      <w:r>
        <w:t xml:space="preserve"> </w:t>
      </w:r>
      <w:r>
        <w:t xml:space="preserve">date), never as counsel in the chapter. Consistent with the</w:t>
      </w:r>
      <w:r>
        <w:t xml:space="preserve"> </w:t>
      </w:r>
      <w:r>
        <w:t xml:space="preserve">Rockefeller-crossing rule in spine §5: observation, not counsel.</w:t>
      </w:r>
    </w:p>
    <w:p>
      <w:pPr>
        <w:numPr>
          <w:ilvl w:val="1"/>
          <w:numId w:val="1030"/>
        </w:numPr>
        <w:pStyle w:val="Compact"/>
      </w:pPr>
      <w:r>
        <w:rPr>
          <w:bCs/>
          <w:b/>
        </w:rPr>
        <w:t xml:space="preserve">Interaction with Revisions 2.</w:t>
      </w:r>
      <w:r>
        <w:t xml:space="preserve"> </w:t>
      </w:r>
      <w:r>
        <w:t xml:space="preserve">The probe’s lag refinement</w:t>
      </w:r>
      <w:r>
        <w:t xml:space="preserve"> </w:t>
      </w:r>
      <w:r>
        <w:t xml:space="preserve">(decoupling 1911; public off-switch assembled 1906–1977) is</w:t>
      </w:r>
      <w:r>
        <w:t xml:space="preserve"> </w:t>
      </w:r>
      <w:r>
        <w:t xml:space="preserve">confirmed from the playbook’s own case order — the ICC precedes</w:t>
      </w:r>
      <w:r>
        <w:t xml:space="preserve"> </w:t>
      </w:r>
      <w:r>
        <w:t xml:space="preserve">Standard Oil — and should govern how the</w:t>
      </w:r>
      <w:r>
        <w:t xml:space="preserve"> </w:t>
      </w:r>
      <w:r>
        <w:t xml:space="preserve">“</w:t>
      </w:r>
      <w:r>
        <w:t xml:space="preserve">proof case</w:t>
      </w:r>
      <w:r>
        <w:t xml:space="preserve">”</w:t>
      </w:r>
      <w:r>
        <w:t xml:space="preserve"> </w:t>
      </w:r>
      <w:r>
        <w:t xml:space="preserve">sentence</w:t>
      </w:r>
      <w:r>
        <w:t xml:space="preserve"> </w:t>
      </w:r>
      <w:r>
        <w:t xml:space="preserve">is written at renovation; the monasteries/proof-case tension</w:t>
      </w:r>
      <w:r>
        <w:t xml:space="preserve"> </w:t>
      </w:r>
      <w:r>
        <w:t xml:space="preserve">stands for Roderick’s ruling.</w:t>
      </w:r>
    </w:p>
    <w:p>
      <w:r>
        <w:pict>
          <v:rect style="width:0;height:1.5pt" o:hralign="center" o:hrstd="t" o:hr="t"/>
        </w:pict>
      </w:r>
    </w:p>
    <w:p>
      <w:pPr>
        <w:numPr>
          <w:ilvl w:val="0"/>
          <w:numId w:val="1031"/>
        </w:numPr>
        <w:pStyle w:val="Compact"/>
      </w:pPr>
      <w:r>
        <w:rPr>
          <w:bCs/>
          <w:b/>
        </w:rPr>
        <w:t xml:space="preserve">(2026-09-02 — RULING: the American pattern, not the proof case.</w:t>
      </w:r>
      <w:r>
        <w:rPr>
          <w:bCs/>
          <w:b/>
        </w:rPr>
        <w:t xml:space="preserve"> </w:t>
      </w:r>
      <w:r>
        <w:rPr>
          <w:bCs/>
          <w:b/>
        </w:rPr>
        <w:t xml:space="preserve">PENDING HUMAN REVIEW of the consequences, not of the ruling.)</w:t>
      </w:r>
      <w:r>
        <w:t xml:space="preserve"> </w:t>
      </w:r>
      <w:r>
        <w:t xml:space="preserve">Roderick’s instruction, recorded verbatim in substance: the whole</w:t>
      </w:r>
      <w:r>
        <w:t xml:space="preserve"> </w:t>
      </w:r>
      <w:r>
        <w:t xml:space="preserve">over-mighty citizen research document is to be used in place of</w:t>
      </w:r>
      <w:r>
        <w:t xml:space="preserve"> </w:t>
      </w:r>
      <w:r>
        <w:t xml:space="preserve">looking at Standard Oil alone; it provides a much more</w:t>
      </w:r>
      <w:r>
        <w:t xml:space="preserve"> </w:t>
      </w:r>
      <w:r>
        <w:t xml:space="preserve">comprehensive argument and pattern than Rockefeller and suggests</w:t>
      </w:r>
      <w:r>
        <w:t xml:space="preserve"> </w:t>
      </w:r>
      <w:r>
        <w:t xml:space="preserve">strongly how US consolidation will occur to support the decisive</w:t>
      </w:r>
      <w:r>
        <w:t xml:space="preserve"> </w:t>
      </w:r>
      <w:r>
        <w:t xml:space="preserve">military-technology stack. Entered in spine.md §8(c) as a dated</w:t>
      </w:r>
      <w:r>
        <w:t xml:space="preserve"> </w:t>
      </w:r>
      <w:r>
        <w:t xml:space="preserve">ruling. Consequences for this chapter: (a) §§2–4’s American case</w:t>
      </w:r>
      <w:r>
        <w:t xml:space="preserve"> </w:t>
      </w:r>
      <w:r>
        <w:t xml:space="preserve">is to be rebuilt on the twelve-case series, each case verified</w:t>
      </w:r>
      <w:r>
        <w:t xml:space="preserve"> </w:t>
      </w:r>
      <w:r>
        <w:t xml:space="preserve">from its T1 primary (the American-primaries set retrieved</w:t>
      </w:r>
      <w:r>
        <w:t xml:space="preserve"> </w:t>
      </w:r>
      <w:r>
        <w:t xml:space="preserve">2026-09-02; see retrieval-master), with the instrument chosen in</w:t>
      </w:r>
      <w:r>
        <w:t xml:space="preserve"> </w:t>
      </w:r>
      <w:r>
        <w:t xml:space="preserve">each case mapped to the kind of dependency severed; (b) the</w:t>
      </w:r>
      <w:r>
        <w:t xml:space="preserve"> </w:t>
      </w:r>
      <w:r>
        <w:t xml:space="preserve">Standard Oil probe becomes the worked example within the pattern,</w:t>
      </w:r>
      <w:r>
        <w:t xml:space="preserve"> </w:t>
      </w:r>
      <w:r>
        <w:t xml:space="preserve">its lag finding (regulation of the switch precedes and surrounds</w:t>
      </w:r>
      <w:r>
        <w:t xml:space="preserve"> </w:t>
      </w:r>
      <w:r>
        <w:t xml:space="preserve">the antitrust act) generalised across the series where the</w:t>
      </w:r>
      <w:r>
        <w:t xml:space="preserve"> </w:t>
      </w:r>
      <w:r>
        <w:t xml:space="preserve">primaries bear it out; (c) the</w:t>
      </w:r>
      <w:r>
        <w:t xml:space="preserve"> </w:t>
      </w:r>
      <w:r>
        <w:t xml:space="preserve">“</w:t>
      </w:r>
      <w:r>
        <w:t xml:space="preserve">monasteries, not Standard Oil</w:t>
      </w:r>
      <w:r>
        <w:t xml:space="preserve">”</w:t>
      </w:r>
      <w:r>
        <w:t xml:space="preserve"> </w:t>
      </w:r>
      <w:r>
        <w:t xml:space="preserve">sentence in draft §IV is now superseded in substance — the</w:t>
      </w:r>
      <w:r>
        <w:t xml:space="preserve"> </w:t>
      </w:r>
      <w:r>
        <w:t xml:space="preserve">chapter’s claim is that the platforms are the republic’s next</w:t>
      </w:r>
      <w:r>
        <w:t xml:space="preserve"> </w:t>
      </w:r>
      <w:r>
        <w:t xml:space="preserve">over-mighty citizens and will be handled by its standing pattern;</w:t>
      </w:r>
    </w:p>
    <w:p>
      <w:pPr>
        <w:numPr>
          <w:ilvl w:val="1"/>
          <w:numId w:val="1032"/>
        </w:numPr>
        <w:pStyle w:val="Compact"/>
      </w:pPr>
      <w:r>
        <w:t xml:space="preserve">the pattern supplies Appendix C’s CA-1..8 with their</w:t>
      </w:r>
      <w:r>
        <w:t xml:space="preserve"> </w:t>
      </w:r>
      <w:r>
        <w:t xml:space="preserve">historical analogues instrument by instrument. A dedicated probe,</w:t>
      </w:r>
      <w:r>
        <w:t xml:space="preserve"> </w:t>
      </w:r>
      <w:r>
        <w:t xml:space="preserve">ch12/american-pattern.md, is commissioned to do (a)–(b).</w:t>
      </w:r>
    </w:p>
    <w:p>
      <w:r>
        <w:pict>
          <v:rect style="width:0;height:1.5pt" o:hralign="center" o:hrstd="t" o:hr="t"/>
        </w:pict>
      </w:r>
    </w:p>
    <w:p>
      <w:pPr>
        <w:numPr>
          <w:ilvl w:val="0"/>
          <w:numId w:val="1033"/>
        </w:numPr>
        <w:pStyle w:val="Compact"/>
      </w:pPr>
      <w:r>
        <w:rPr>
          <w:bCs/>
          <w:b/>
        </w:rPr>
        <w:t xml:space="preserve">(2026-09-02 — the American-pattern probe executed</w:t>
      </w:r>
      <w:r>
        <w:rPr>
          <w:bCs/>
          <w:b/>
        </w:rPr>
        <w:t xml:space="preserve"> </w:t>
      </w:r>
      <w:r>
        <w:rPr>
          <w:bCs/>
          <w:b/>
        </w:rPr>
        <w:t xml:space="preserve">(ch12/american-pattern.md), per Revisions 4’s commission and spine</w:t>
      </w:r>
      <w:r>
        <w:rPr>
          <w:bCs/>
          <w:b/>
        </w:rPr>
        <w:t xml:space="preserve"> </w:t>
      </w:r>
      <w:r>
        <w:rPr>
          <w:bCs/>
          <w:b/>
        </w:rPr>
        <w:t xml:space="preserve">§8(c)’s RULING. PENDING HUMAN REVIEW.)</w:t>
      </w:r>
      <w:r>
        <w:t xml:space="preserve"> </w:t>
      </w:r>
      <w:r>
        <w:t xml:space="preserve">Twelve cases run against</w:t>
      </w:r>
      <w:r>
        <w:t xml:space="preserve"> </w:t>
      </w:r>
      <w:r>
        <w:t xml:space="preserve">their T1 primaries in corpus; eight established, four bracketed</w:t>
      </w:r>
      <w:r>
        <w:t xml:space="preserve"> </w:t>
      </w:r>
      <w:r>
        <w:t xml:space="preserve">([UNVERIFIED — RETRIEVAL]: the Fed leg of the Money Trust;</w:t>
      </w:r>
      <w:r>
        <w:t xml:space="preserve"> </w:t>
      </w:r>
      <w:r>
        <w:t xml:space="preserve">PUHCA/Insull; the packers; RCA). What the verified pattern</w:t>
      </w:r>
      <w:r>
        <w:t xml:space="preserve"> </w:t>
      </w:r>
      <w:r>
        <w:t xml:space="preserve">establishes, and where it changes §§2–4:</w:t>
      </w:r>
    </w:p>
    <w:p>
      <w:pPr>
        <w:numPr>
          <w:ilvl w:val="1"/>
          <w:numId w:val="1034"/>
        </w:numPr>
        <w:pStyle w:val="Compact"/>
      </w:pPr>
      <w:r>
        <w:rPr>
          <w:bCs/>
          <w:b/>
        </w:rPr>
        <w:t xml:space="preserve">The pattern’s verified core, for §3’s American case.</w:t>
      </w:r>
      <w:r>
        <w:t xml:space="preserve"> </w:t>
      </w:r>
      <w:r>
        <w:t xml:space="preserve">In no</w:t>
      </w:r>
      <w:r>
        <w:t xml:space="preserve"> </w:t>
      </w:r>
      <w:r>
        <w:t xml:space="preserve">verified case does the republic confiscate: every instrument</w:t>
      </w:r>
      <w:r>
        <w:t xml:space="preserve"> </w:t>
      </w:r>
      <w:r>
        <w:t xml:space="preserve">severs discretion and leaves title, and in the two spin-off</w:t>
      </w:r>
      <w:r>
        <w:t xml:space="preserve"> </w:t>
      </w:r>
      <w:r>
        <w:t xml:space="preserve">decrees (Standard Oil 1911; AT&amp;T MFJ §I(A)(4)) the</w:t>
      </w:r>
      <w:r>
        <w:t xml:space="preserve"> </w:t>
      </w:r>
      <w:r>
        <w:t xml:space="preserve">wealth-preservation is IN the decree text at T1 — the</w:t>
      </w:r>
      <w:r>
        <w:t xml:space="preserve"> </w:t>
      </w:r>
      <w:r>
        <w:t xml:space="preserve">shareholders receive the successors’ stock by design. The</w:t>
      </w:r>
      <w:r>
        <w:t xml:space="preserve"> </w:t>
      </w:r>
      <w:r>
        <w:t xml:space="preserve">“</w:t>
      </w:r>
      <w:r>
        <w:t xml:space="preserve">wealth and power decoupled by legal instrument</w:t>
      </w:r>
      <w:r>
        <w:t xml:space="preserve">”</w:t>
      </w:r>
      <w:r>
        <w:t xml:space="preserve"> </w:t>
      </w:r>
      <w:r>
        <w:t xml:space="preserve">sentence of</w:t>
      </w:r>
      <w:r>
        <w:t xml:space="preserve"> </w:t>
      </w:r>
      <w:r>
        <w:t xml:space="preserve">spine §8(c) now rests on decree text, not on biography (the</w:t>
      </w:r>
      <w:r>
        <w:t xml:space="preserve"> </w:t>
      </w:r>
      <w:r>
        <w:t xml:space="preserve">biographical wealth figures remain [UNVERIFIED — RETRIEVAL:</w:t>
      </w:r>
      <w:r>
        <w:t xml:space="preserve"> </w:t>
      </w:r>
      <w:r>
        <w:t xml:space="preserve">Chernow/Yergin], and the probe flags Insull as the one case</w:t>
      </w:r>
      <w:r>
        <w:t xml:space="preserve"> </w:t>
      </w:r>
      <w:r>
        <w:t xml:space="preserve">where the fortune-kept column may fail — worth knowing before</w:t>
      </w:r>
      <w:r>
        <w:t xml:space="preserve"> </w:t>
      </w:r>
      <w:r>
        <w:t xml:space="preserve">the chapter claims the column).</w:t>
      </w:r>
    </w:p>
    <w:p>
      <w:pPr>
        <w:numPr>
          <w:ilvl w:val="1"/>
          <w:numId w:val="1034"/>
        </w:numPr>
        <w:pStyle w:val="Compact"/>
      </w:pPr>
      <w:r>
        <w:rPr>
          <w:bCs/>
          <w:b/>
        </w:rPr>
        <w:t xml:space="preserve">The lag finding generalises, in a stronger form than</w:t>
      </w:r>
      <w:r>
        <w:rPr>
          <w:bCs/>
          <w:b/>
        </w:rPr>
        <w:t xml:space="preserve"> </w:t>
      </w:r>
      <w:r>
        <w:rPr>
          <w:bCs/>
          <w:b/>
        </w:rPr>
        <w:t xml:space="preserve">Revisions 2 stated.</w:t>
      </w:r>
      <w:r>
        <w:t xml:space="preserve"> </w:t>
      </w:r>
      <w:r>
        <w:t xml:space="preserve">Regulation of the switch precedes or</w:t>
      </w:r>
      <w:r>
        <w:t xml:space="preserve"> </w:t>
      </w:r>
      <w:r>
        <w:t xml:space="preserve">accompanies the structural act in every verified case — and in</w:t>
      </w:r>
      <w:r>
        <w:t xml:space="preserve"> </w:t>
      </w:r>
      <w:r>
        <w:t xml:space="preserve">three (Money Trust, Alcoa, Microsoft) the structural act never</w:t>
      </w:r>
      <w:r>
        <w:t xml:space="preserve"> </w:t>
      </w:r>
      <w:r>
        <w:t xml:space="preserve">comes at all, its place taken by governance rules, public</w:t>
      </w:r>
      <w:r>
        <w:t xml:space="preserve"> </w:t>
      </w:r>
      <w:r>
        <w:t xml:space="preserve">capacity, or a conduct decree. The packers are conditionally</w:t>
      </w:r>
      <w:r>
        <w:t xml:space="preserve"> </w:t>
      </w:r>
      <w:r>
        <w:t xml:space="preserve">the one structure-first case (decree 1920 before statute 1921</w:t>
      </w:r>
      <w:r>
        <w:t xml:space="preserve"> </w:t>
      </w:r>
      <w:r>
        <w:t xml:space="preserve">— bracketed until the primaries arrive). Consequence for §§2–3</w:t>
      </w:r>
      <w:r>
        <w:t xml:space="preserve"> </w:t>
      </w:r>
      <w:r>
        <w:t xml:space="preserve">at renovation: the American consolidation the chapter predicts</w:t>
      </w:r>
      <w:r>
        <w:t xml:space="preserve"> </w:t>
      </w:r>
      <w:r>
        <w:t xml:space="preserve">should be described as the regulatory line arriving FIRST</w:t>
      </w:r>
      <w:r>
        <w:t xml:space="preserve"> </w:t>
      </w:r>
      <w:r>
        <w:t xml:space="preserve">(carriage, licensing, disclosure — the CA-1/3/5 indicators),</w:t>
      </w:r>
      <w:r>
        <w:t xml:space="preserve"> </w:t>
      </w:r>
      <w:r>
        <w:t xml:space="preserve">with the structural cases late and rare — which is also what</w:t>
      </w:r>
      <w:r>
        <w:t xml:space="preserve"> </w:t>
      </w:r>
      <w:r>
        <w:t xml:space="preserve">the 2025–26 record (Google conduct remedies; no executed</w:t>
      </w:r>
      <w:r>
        <w:t xml:space="preserve"> </w:t>
      </w:r>
      <w:r>
        <w:t xml:space="preserve">platform divestiture) currently shows.</w:t>
      </w:r>
    </w:p>
    <w:p>
      <w:pPr>
        <w:numPr>
          <w:ilvl w:val="1"/>
          <w:numId w:val="1034"/>
        </w:numPr>
        <w:pStyle w:val="Compact"/>
      </w:pPr>
      <w:r>
        <w:rPr>
          <w:bCs/>
          <w:b/>
        </w:rPr>
        <w:t xml:space="preserve">The opinions almost never sever — the decree does.</w:t>
      </w:r>
      <w:r>
        <w:t xml:space="preserve"> </w:t>
      </w:r>
      <w:r>
        <w:t xml:space="preserve">Paramount, Alcoa and DuPont–GM all remand, defer or decline in</w:t>
      </w:r>
      <w:r>
        <w:t xml:space="preserve"> </w:t>
      </w:r>
      <w:r>
        <w:t xml:space="preserve">the very opinions that made them famous; the severing lives in</w:t>
      </w:r>
      <w:r>
        <w:t xml:space="preserve"> </w:t>
      </w:r>
      <w:r>
        <w:t xml:space="preserve">negotiated decrees under retained jurisdiction. For §2’s</w:t>
      </w:r>
      <w:r>
        <w:t xml:space="preserve"> </w:t>
      </w:r>
      <w:r>
        <w:t xml:space="preserve">settlement-from-inside: the American instrument of settlement</w:t>
      </w:r>
      <w:r>
        <w:t xml:space="preserve"> </w:t>
      </w:r>
      <w:r>
        <w:t xml:space="preserve">is the consent decree with a named judge and a compliance</w:t>
      </w:r>
      <w:r>
        <w:t xml:space="preserve"> </w:t>
      </w:r>
      <w:r>
        <w:t xml:space="preserve">apparatus — the Sforza-adjacent legal form the chapter should</w:t>
      </w:r>
      <w:r>
        <w:t xml:space="preserve"> </w:t>
      </w:r>
      <w:r>
        <w:t xml:space="preserve">name when the renovation comes.</w:t>
      </w:r>
    </w:p>
    <w:p>
      <w:pPr>
        <w:numPr>
          <w:ilvl w:val="1"/>
          <w:numId w:val="1034"/>
        </w:numPr>
        <w:pStyle w:val="Compact"/>
      </w:pPr>
      <w:r>
        <w:rPr>
          <w:bCs/>
          <w:b/>
        </w:rPr>
        <w:t xml:space="preserve">Two limits the pattern itself states.</w:t>
      </w:r>
      <w:r>
        <w:t xml:space="preserve"> </w:t>
      </w:r>
      <w:r>
        <w:t xml:space="preserve">(i)</w:t>
      </w:r>
      <w:r>
        <w:t xml:space="preserve"> </w:t>
      </w:r>
      <w:r>
        <w:rPr>
          <w:iCs/>
          <w:i/>
        </w:rPr>
        <w:t xml:space="preserve">Microsoft</w:t>
      </w:r>
      <w:r>
        <w:t xml:space="preserve"> </w:t>
      </w:r>
      <w:r>
        <w:t xml:space="preserve">at</w:t>
      </w:r>
      <w:r>
        <w:t xml:space="preserve"> </w:t>
      </w:r>
      <w:r>
        <w:t xml:space="preserve">*49 (</w:t>
      </w:r>
      <w:r>
        <w:t xml:space="preserve">“</w:t>
      </w:r>
      <w:r>
        <w:t xml:space="preserve">six years seems like an eternity in the computer</w:t>
      </w:r>
      <w:r>
        <w:t xml:space="preserve"> </w:t>
      </w:r>
      <w:r>
        <w:t xml:space="preserve">industry</w:t>
      </w:r>
      <w:r>
        <w:t xml:space="preserve">”</w:t>
      </w:r>
      <w:r>
        <w:t xml:space="preserve">) is the condition under which the structural arm</w:t>
      </w:r>
      <w:r>
        <w:t xml:space="preserve"> </w:t>
      </w:r>
      <w:r>
        <w:t xml:space="preserve">fails, and the modern stack maximises it — carried into</w:t>
      </w:r>
      <w:r>
        <w:t xml:space="preserve"> </w:t>
      </w:r>
      <w:r>
        <w:t xml:space="preserve">critiques Revisions 2 as the honest half of the Parrott answer.</w:t>
      </w:r>
    </w:p>
    <w:p>
      <w:pPr>
        <w:numPr>
          <w:ilvl w:val="2"/>
          <w:numId w:val="1035"/>
        </w:numPr>
        <w:pStyle w:val="Compact"/>
      </w:pPr>
      <w:r>
        <w:rPr>
          <w:iCs/>
          <w:i/>
        </w:rPr>
        <w:t xml:space="preserve">Moody v. NetChoice</w:t>
      </w:r>
      <w:r>
        <w:t xml:space="preserve"> </w:t>
      </w:r>
      <w:r>
        <w:t xml:space="preserve">bounds the speech-bearing layers:</w:t>
      </w:r>
      <w:r>
        <w:t xml:space="preserve"> </w:t>
      </w:r>
      <w:r>
        <w:t xml:space="preserve">curation is expressive; the instruments reach economic</w:t>
      </w:r>
      <w:r>
        <w:t xml:space="preserve"> </w:t>
      </w:r>
      <w:r>
        <w:t xml:space="preserve">switches, process, portability and non-expressive</w:t>
      </w:r>
      <w:r>
        <w:t xml:space="preserve"> </w:t>
      </w:r>
      <w:r>
        <w:t xml:space="preserve">infrastructure only (probe Table 2 foot; consistent with</w:t>
      </w:r>
      <w:r>
        <w:t xml:space="preserve"> </w:t>
      </w:r>
      <w:r>
        <w:t xml:space="preserve">Revisions 3’s Henrician disanalogy).</w:t>
      </w:r>
    </w:p>
    <w:p>
      <w:pPr>
        <w:numPr>
          <w:ilvl w:val="1"/>
          <w:numId w:val="1034"/>
        </w:numPr>
        <w:pStyle w:val="Compact"/>
      </w:pPr>
      <w:r>
        <w:rPr>
          <w:bCs/>
          <w:b/>
        </w:rPr>
        <w:t xml:space="preserve">Gold for the lineage:</w:t>
      </w:r>
      <w:r>
        <w:t xml:space="preserve"> </w:t>
      </w:r>
      <w:r>
        <w:t xml:space="preserve">Greene J. quotes Senator Sherman, 21</w:t>
      </w:r>
      <w:r>
        <w:t xml:space="preserve"> </w:t>
      </w:r>
      <w:r>
        <w:t xml:space="preserve">Cong. Rec. 2457 (1890):</w:t>
      </w:r>
      <w:r>
        <w:t xml:space="preserve"> </w:t>
      </w:r>
      <w:r>
        <w:t xml:space="preserve">“</w:t>
      </w:r>
      <w:r>
        <w:t xml:space="preserve">If we will not endure a king as a</w:t>
      </w:r>
      <w:r>
        <w:t xml:space="preserve"> </w:t>
      </w:r>
      <w:r>
        <w:t xml:space="preserve">political power we should not endure a king over the</w:t>
      </w:r>
      <w:r>
        <w:t xml:space="preserve"> </w:t>
      </w:r>
      <w:r>
        <w:t xml:space="preserve">production, transportation, and sale of any of the necessaries</w:t>
      </w:r>
      <w:r>
        <w:t xml:space="preserve"> </w:t>
      </w:r>
      <w:r>
        <w:t xml:space="preserve">of life</w:t>
      </w:r>
      <w:r>
        <w:t xml:space="preserve">”</w:t>
      </w:r>
      <w:r>
        <w:t xml:space="preserve"> </w:t>
      </w:r>
      <w:r>
        <w:t xml:space="preserve">(552 F. Supp. at *164–65) — the over-mighty citizen</w:t>
      </w:r>
      <w:r>
        <w:t xml:space="preserve"> </w:t>
      </w:r>
      <w:r>
        <w:t xml:space="preserve">in the instrument’s own legislative record, now citable at T1.</w:t>
      </w:r>
    </w:p>
    <w:p>
      <w:pPr>
        <w:numPr>
          <w:ilvl w:val="1"/>
          <w:numId w:val="1034"/>
        </w:numPr>
        <w:pStyle w:val="Compact"/>
      </w:pPr>
      <w:r>
        <w:rPr>
          <w:bCs/>
          <w:b/>
        </w:rPr>
        <w:t xml:space="preserve">Playbook corrections recorded</w:t>
      </w:r>
      <w:r>
        <w:t xml:space="preserve"> </w:t>
      </w:r>
      <w:r>
        <w:t xml:space="preserve">(probe, passim):</w:t>
      </w:r>
      <w:r>
        <w:t xml:space="preserve"> </w:t>
      </w:r>
      <w:r>
        <w:t xml:space="preserve">“</w:t>
      </w:r>
      <w:r>
        <w:t xml:space="preserve">34</w:t>
      </w:r>
      <w:r>
        <w:t xml:space="preserve"> </w:t>
      </w:r>
      <w:r>
        <w:t xml:space="preserve">companies</w:t>
      </w:r>
      <w:r>
        <w:t xml:space="preserve">”</w:t>
      </w:r>
      <w:r>
        <w:t xml:space="preserve"> </w:t>
      </w:r>
      <w:r>
        <w:t xml:space="preserve">vs the decree’s ~37-subsidiary table; the seven</w:t>
      </w:r>
      <w:r>
        <w:t xml:space="preserve"> </w:t>
      </w:r>
      <w:r>
        <w:t xml:space="preserve">RBOCs were AT&amp;T’s plan, not a decree term (§I(A)(4) expressly</w:t>
      </w:r>
      <w:r>
        <w:t xml:space="preserve"> </w:t>
      </w:r>
      <w:r>
        <w:t xml:space="preserve">declines to fix a number); the 1956</w:t>
      </w:r>
      <w:r>
        <w:t xml:space="preserve"> </w:t>
      </w:r>
      <w:r>
        <w:t xml:space="preserve">“</w:t>
      </w:r>
      <w:r>
        <w:t xml:space="preserve">government work</w:t>
      </w:r>
      <w:r>
        <w:t xml:space="preserve">”</w:t>
      </w:r>
      <w:r>
        <w:t xml:space="preserve"> </w:t>
      </w:r>
      <w:r>
        <w:t xml:space="preserve">carve-out</w:t>
      </w:r>
      <w:r>
        <w:t xml:space="preserve"> </w:t>
      </w:r>
      <w:r>
        <w:t xml:space="preserve">is unverified; the divestitures the playbook narrates for</w:t>
      </w:r>
      <w:r>
        <w:t xml:space="preserve"> </w:t>
      </w:r>
      <w:r>
        <w:t xml:space="preserve">Paramount, Alcoa and DuPont sit in later decrees not yet in</w:t>
      </w:r>
      <w:r>
        <w:t xml:space="preserve"> </w:t>
      </w:r>
      <w:r>
        <w:t xml:space="preserve">corpus. None of these breaks the pattern; all of them</w:t>
      </w:r>
      <w:r>
        <w:t xml:space="preserve"> </w:t>
      </w:r>
      <w:r>
        <w:t xml:space="preserve">discipline how it may be written.</w:t>
      </w:r>
    </w:p>
    <w:p>
      <w:r>
        <w:pict>
          <v:rect style="width:0;height:1.5pt" o:hralign="center" o:hrstd="t" o:hr="t"/>
        </w:pict>
      </w:r>
    </w:p>
    <w:bookmarkEnd w:id="107"/>
    <w:bookmarkStart w:id="108" w:name="ch12critiques.md"/>
    <w:p>
      <w:pPr>
        <w:pStyle w:val="Heading2"/>
      </w:pPr>
      <w:r>
        <w:t xml:space="preserve">ch12/critiques.md</w:t>
      </w:r>
    </w:p>
    <w:p>
      <w:pPr>
        <w:numPr>
          <w:ilvl w:val="0"/>
          <w:numId w:val="1036"/>
        </w:numPr>
        <w:pStyle w:val="Compact"/>
      </w:pPr>
      <w:r>
        <w:rPr>
          <w:bCs/>
          <w:b/>
        </w:rPr>
        <w:t xml:space="preserve">(2026-09-02 — the H200 revenue cut set against the off-switch</w:t>
      </w:r>
      <w:r>
        <w:rPr>
          <w:bCs/>
          <w:b/>
        </w:rPr>
        <w:t xml:space="preserve"> </w:t>
      </w:r>
      <w:r>
        <w:rPr>
          <w:bCs/>
          <w:b/>
        </w:rPr>
        <w:t xml:space="preserve">record. PENDING HUMAN REVIEW.)</w:t>
      </w:r>
      <w:r>
        <w:t xml:space="preserve"> </w:t>
      </w:r>
      <w:r>
        <w:t xml:space="preserve">Executed against spine §8(c) and</w:t>
      </w:r>
      <w:r>
        <w:t xml:space="preserve"> </w:t>
      </w:r>
      <w:r>
        <w:t xml:space="preserve">ch12/standard-oil-offswitch.md; no draft text proposed.</w:t>
      </w:r>
    </w:p>
    <w:p>
      <w:pPr>
        <w:numPr>
          <w:ilvl w:val="1"/>
          <w:numId w:val="1037"/>
        </w:numPr>
        <w:pStyle w:val="Compact"/>
      </w:pPr>
      <w:r>
        <w:rPr>
          <w:bCs/>
          <w:b/>
        </w:rPr>
        <w:t xml:space="preserve">The evidentiary status first.</w:t>
      </w:r>
      <w:r>
        <w:t xml:space="preserve"> </w:t>
      </w:r>
      <w:r>
        <w:t xml:space="preserve">The H200 revenue-cut</w:t>
      </w:r>
      <w:r>
        <w:t xml:space="preserve"> </w:t>
      </w:r>
      <w:r>
        <w:t xml:space="preserve">arrangement is carried in this repo only as ch10 memo §7’s</w:t>
      </w:r>
      <w:r>
        <w:t xml:space="preserve"> </w:t>
      </w:r>
      <w:r>
        <w:t xml:space="preserve">flagged licensing flux (</w:t>
      </w:r>
      <w:r>
        <w:t xml:space="preserve">“</w:t>
      </w:r>
      <w:r>
        <w:t xml:space="preserve">H20 ban→reversal→revenue fee→H200</w:t>
      </w:r>
      <w:r>
        <w:t xml:space="preserve"> </w:t>
      </w:r>
      <w:r>
        <w:t xml:space="preserve">case-by-case… to be re-verified at press time</w:t>
      </w:r>
      <w:r>
        <w:t xml:space="preserve">”</w:t>
      </w:r>
      <w:r>
        <w:t xml:space="preserve">); no primary</w:t>
      </w:r>
      <w:r>
        <w:t xml:space="preserve"> </w:t>
      </w:r>
      <w:r>
        <w:t xml:space="preserve">instrument for the arrangement is in corpus. Everything below</w:t>
      </w:r>
      <w:r>
        <w:t xml:space="preserve"> </w:t>
      </w:r>
      <w:r>
        <w:t xml:space="preserve">is conditional on that verification — [RE-CHECK AT PRESS].</w:t>
      </w:r>
    </w:p>
    <w:p>
      <w:pPr>
        <w:numPr>
          <w:ilvl w:val="1"/>
          <w:numId w:val="1037"/>
        </w:numPr>
        <w:pStyle w:val="Compact"/>
      </w:pPr>
      <w:r>
        <w:rPr>
          <w:bCs/>
          <w:b/>
        </w:rPr>
        <w:t xml:space="preserve">The analytical point, from the probe’s record.</w:t>
      </w:r>
      <w:r>
        <w:t xml:space="preserve"> </w:t>
      </w:r>
      <w:r>
        <w:t xml:space="preserve">The</w:t>
      </w:r>
      <w:r>
        <w:t xml:space="preserve"> </w:t>
      </w:r>
      <w:r>
        <w:t xml:space="preserve">instruments that actually constituted the American energy</w:t>
      </w:r>
      <w:r>
        <w:t xml:space="preserve"> </w:t>
      </w:r>
      <w:r>
        <w:t xml:space="preserve">off-switch are control instruments that yield no revenue:</w:t>
      </w:r>
      <w:r>
        <w:t xml:space="preserve"> </w:t>
      </w:r>
      <w:r>
        <w:t xml:space="preserve">common-carrier status, proration allowables, contraband</w:t>
      </w:r>
      <w:r>
        <w:t xml:space="preserve"> </w:t>
      </w:r>
      <w:r>
        <w:t xml:space="preserve">interdiction, license-and-block powers, a conditional reserve.</w:t>
      </w:r>
      <w:r>
        <w:t xml:space="preserve"> </w:t>
      </w:r>
      <w:r>
        <w:t xml:space="preserve">The one revenue-bearing instrument in the 1911 story — the</w:t>
      </w:r>
      <w:r>
        <w:t xml:space="preserve"> </w:t>
      </w:r>
      <w:r>
        <w:t xml:space="preserve">retained shares — is precisely the side that carried WEALTH,</w:t>
      </w:r>
      <w:r>
        <w:t xml:space="preserve"> </w:t>
      </w:r>
      <w:r>
        <w:t xml:space="preserve">not power. A percentage of the syndicate’s sales sits on the</w:t>
      </w:r>
      <w:r>
        <w:t xml:space="preserve"> </w:t>
      </w:r>
      <w:r>
        <w:t xml:space="preserve">wealth side of that ledger: it gives the state an interest in</w:t>
      </w:r>
      <w:r>
        <w:t xml:space="preserve"> </w:t>
      </w:r>
      <w:r>
        <w:t xml:space="preserve">the flow continuing, which is the opposite of an off-switch.</w:t>
      </w:r>
      <w:r>
        <w:t xml:space="preserve"> </w:t>
      </w:r>
      <w:r>
        <w:t xml:space="preserve">Spine §8(c)’s formulation (</w:t>
      </w:r>
      <w:r>
        <w:t xml:space="preserve">“</w:t>
      </w:r>
      <w:r>
        <w:t xml:space="preserve">a cut is income, not control; the</w:t>
      </w:r>
      <w:r>
        <w:t xml:space="preserve"> </w:t>
      </w:r>
      <w:r>
        <w:t xml:space="preserve">mechanism runs on control</w:t>
      </w:r>
      <w:r>
        <w:t xml:space="preserve">”</w:t>
      </w:r>
      <w:r>
        <w:t xml:space="preserve">) is therefore consistent with the</w:t>
      </w:r>
      <w:r>
        <w:t xml:space="preserve"> </w:t>
      </w:r>
      <w:r>
        <w:t xml:space="preserve">1911-order record as retrieved.</w:t>
      </w:r>
    </w:p>
    <w:p>
      <w:pPr>
        <w:numPr>
          <w:ilvl w:val="1"/>
          <w:numId w:val="1037"/>
        </w:numPr>
        <w:pStyle w:val="Compact"/>
      </w:pPr>
      <w:r>
        <w:rPr>
          <w:bCs/>
          <w:b/>
        </w:rPr>
        <w:t xml:space="preserve">The complication to hold onto (flag, not resolution).</w:t>
      </w:r>
      <w:r>
        <w:t xml:space="preserve"> </w:t>
      </w:r>
      <w:r>
        <w:t xml:space="preserve">TWEA</w:t>
      </w:r>
      <w:r>
        <w:t xml:space="preserve"> </w:t>
      </w:r>
      <w:r>
        <w:t xml:space="preserve">§ 5(b) controls</w:t>
      </w:r>
      <w:r>
        <w:t xml:space="preserve"> </w:t>
      </w:r>
      <w:r>
        <w:t xml:space="preserve">“</w:t>
      </w:r>
      <w:r>
        <w:t xml:space="preserve">by means of licenses</w:t>
      </w:r>
      <w:r>
        <w:t xml:space="preserve">”</w:t>
      </w:r>
      <w:r>
        <w:t xml:space="preserve"> </w:t>
      </w:r>
      <w:r>
        <w:t xml:space="preserve">— and a licence can</w:t>
      </w:r>
      <w:r>
        <w:t xml:space="preserve"> </w:t>
      </w:r>
      <w:r>
        <w:t xml:space="preserve">carry BOTH a fee and conditions. Whether the H200 arrangement</w:t>
      </w:r>
      <w:r>
        <w:t xml:space="preserve"> </w:t>
      </w:r>
      <w:r>
        <w:t xml:space="preserve">is venality (the Crown joining the syndicate) or an embryonic</w:t>
      </w:r>
      <w:r>
        <w:t xml:space="preserve"> </w:t>
      </w:r>
      <w:r>
        <w:t xml:space="preserve">licence (fee now, conditions later) is exactly the question</w:t>
      </w:r>
      <w:r>
        <w:t xml:space="preserve"> </w:t>
      </w:r>
      <w:r>
        <w:t xml:space="preserve">spine §8(c) says the mechanism will force; the probe’s record</w:t>
      </w:r>
      <w:r>
        <w:t xml:space="preserve"> </w:t>
      </w:r>
      <w:r>
        <w:t xml:space="preserve">shows the American system historically converting emergency</w:t>
      </w:r>
      <w:r>
        <w:t xml:space="preserve"> </w:t>
      </w:r>
      <w:r>
        <w:t xml:space="preserve">licence-and-block powers into standing control, over decades.</w:t>
      </w:r>
      <w:r>
        <w:t xml:space="preserve"> </w:t>
      </w:r>
      <w:r>
        <w:t xml:space="preserve">The critique’s answer to Objection 5 (dated thresholds) should</w:t>
      </w:r>
      <w:r>
        <w:t xml:space="preserve"> </w:t>
      </w:r>
      <w:r>
        <w:t xml:space="preserve">eventually score this: a cut that never acquires conditions is</w:t>
      </w:r>
      <w:r>
        <w:t xml:space="preserve"> </w:t>
      </w:r>
      <w:r>
        <w:t xml:space="preserve">venality; a cut that acquires revocation conditions is the</w:t>
      </w:r>
      <w:r>
        <w:t xml:space="preserve"> </w:t>
      </w:r>
      <w:r>
        <w:t xml:space="preserve">settlement beginning. Not resolved here.</w:t>
      </w:r>
    </w:p>
    <w:p>
      <w:r>
        <w:pict>
          <v:rect style="width:0;height:1.5pt" o:hralign="center" o:hrstd="t" o:hr="t"/>
        </w:pict>
      </w:r>
    </w:p>
    <w:p>
      <w:pPr>
        <w:numPr>
          <w:ilvl w:val="0"/>
          <w:numId w:val="1038"/>
        </w:numPr>
        <w:pStyle w:val="Compact"/>
      </w:pPr>
      <w:r>
        <w:rPr>
          <w:bCs/>
          <w:b/>
        </w:rPr>
        <w:t xml:space="preserve">(2026-09-02 — Parrott’s devolution objection answered from the</w:t>
      </w:r>
      <w:r>
        <w:rPr>
          <w:bCs/>
          <w:b/>
        </w:rPr>
        <w:t xml:space="preserve"> </w:t>
      </w:r>
      <w:r>
        <w:rPr>
          <w:bCs/>
          <w:b/>
        </w:rPr>
        <w:t xml:space="preserve">American pattern. PENDING HUMAN REVIEW.)</w:t>
      </w:r>
      <w:r>
        <w:t xml:space="preserve"> </w:t>
      </w:r>
      <w:r>
        <w:t xml:space="preserve">Executed against</w:t>
      </w:r>
      <w:r>
        <w:t xml:space="preserve"> </w:t>
      </w:r>
      <w:r>
        <w:t xml:space="preserve">ch12/american-pattern.md; Parrott’s</w:t>
      </w:r>
      <w:r>
        <w:t xml:space="preserve"> </w:t>
      </w:r>
      <w:r>
        <w:rPr>
          <w:iCs/>
          <w:i/>
        </w:rPr>
        <w:t xml:space="preserve">The Business of War</w:t>
      </w:r>
      <w:r>
        <w:t xml:space="preserve"> </w:t>
      </w:r>
      <w:r>
        <w:t xml:space="preserve">is</w:t>
      </w:r>
      <w:r>
        <w:t xml:space="preserve"> </w:t>
      </w:r>
      <w:r>
        <w:t xml:space="preserve">GATED (retrieval-master, HIGH) — the objection is engaged here as</w:t>
      </w:r>
      <w:r>
        <w:t xml:space="preserve"> </w:t>
      </w:r>
      <w:r>
        <w:t xml:space="preserve">the council reported it, and the full engagement waits on the</w:t>
      </w:r>
      <w:r>
        <w:t xml:space="preserve"> </w:t>
      </w:r>
      <w:r>
        <w:t xml:space="preserve">text: [UNVERIFIED — RETRIEVAL: Parrott 2012] for every</w:t>
      </w:r>
      <w:r>
        <w:t xml:space="preserve"> </w:t>
      </w:r>
      <w:r>
        <w:t xml:space="preserve">attribution to him.</w:t>
      </w:r>
    </w:p>
    <w:p>
      <w:pPr>
        <w:numPr>
          <w:ilvl w:val="1"/>
          <w:numId w:val="1039"/>
        </w:numPr>
        <w:pStyle w:val="Compact"/>
      </w:pPr>
      <w:r>
        <w:rPr>
          <w:bCs/>
          <w:b/>
        </w:rPr>
        <w:t xml:space="preserve">The objection, as reported.</w:t>
      </w:r>
      <w:r>
        <w:t xml:space="preserve"> </w:t>
      </w:r>
      <w:r>
        <w:t xml:space="preserve">Wholly state-administered force</w:t>
      </w:r>
      <w:r>
        <w:t xml:space="preserve"> </w:t>
      </w:r>
      <w:r>
        <w:t xml:space="preserve">was a ~1760–1960 anomaly; contractor incorporation may be the</w:t>
      </w:r>
      <w:r>
        <w:t xml:space="preserve"> </w:t>
      </w:r>
      <w:r>
        <w:t xml:space="preserve">stable equilibrium; the 2025–26 record shows devolution</w:t>
      </w:r>
      <w:r>
        <w:t xml:space="preserve"> </w:t>
      </w:r>
      <w:r>
        <w:t xml:space="preserve">(consolidated contractor awards, constellation dependence)</w:t>
      </w:r>
      <w:r>
        <w:t xml:space="preserve"> </w:t>
      </w:r>
      <w:r>
        <w:t xml:space="preserve">running concurrently with consolidation. Applied to spine</w:t>
      </w:r>
      <w:r>
        <w:t xml:space="preserve"> </w:t>
      </w:r>
      <w:r>
        <w:t xml:space="preserve">§8(c): why would the platforms not simply be devolved-to the</w:t>
      </w:r>
      <w:r>
        <w:t xml:space="preserve"> </w:t>
      </w:r>
      <w:r>
        <w:t xml:space="preserve">way the early modern contractors were?</w:t>
      </w:r>
    </w:p>
    <w:p>
      <w:pPr>
        <w:numPr>
          <w:ilvl w:val="1"/>
          <w:numId w:val="1039"/>
        </w:numPr>
        <w:pStyle w:val="Compact"/>
      </w:pPr>
      <w:r>
        <w:rPr>
          <w:bCs/>
          <w:b/>
        </w:rPr>
        <w:t xml:space="preserve">What the pattern actually shows — re-severance is the</w:t>
      </w:r>
      <w:r>
        <w:rPr>
          <w:bCs/>
          <w:b/>
        </w:rPr>
        <w:t xml:space="preserve"> </w:t>
      </w:r>
      <w:r>
        <w:rPr>
          <w:bCs/>
          <w:b/>
        </w:rPr>
        <w:t xml:space="preserve">standing behaviour.</w:t>
      </w:r>
      <w:r>
        <w:t xml:space="preserve"> </w:t>
      </w:r>
      <w:r>
        <w:t xml:space="preserve">The verified series is not one severance</w:t>
      </w:r>
      <w:r>
        <w:t xml:space="preserve"> </w:t>
      </w:r>
      <w:r>
        <w:t xml:space="preserve">but a recurring cycle across new media of dependency: rails</w:t>
      </w:r>
      <w:r>
        <w:t xml:space="preserve"> </w:t>
      </w:r>
      <w:r>
        <w:t xml:space="preserve">(1887/1906) → oil (1911) → credit and governance (1913–14) →</w:t>
      </w:r>
      <w:r>
        <w:t xml:space="preserve"> </w:t>
      </w:r>
      <w:r>
        <w:t xml:space="preserve">deposits-and-securities (1933) → the local exchange</w:t>
      </w:r>
      <w:r>
        <w:t xml:space="preserve"> </w:t>
      </w:r>
      <w:r>
        <w:t xml:space="preserve">(1956/1982) → the software interface (2001–02). Each time a</w:t>
      </w:r>
      <w:r>
        <w:t xml:space="preserve"> </w:t>
      </w:r>
      <w:r>
        <w:t xml:space="preserve">privately held switch re-formed in a new layer, the republic</w:t>
      </w:r>
      <w:r>
        <w:t xml:space="preserve"> </w:t>
      </w:r>
      <w:r>
        <w:t xml:space="preserve">re-severed it with an instrument fitted to the new dependency</w:t>
      </w:r>
      <w:r>
        <w:t xml:space="preserve"> </w:t>
      </w:r>
      <w:r>
        <w:t xml:space="preserve">— and twice (Hepburn’s commodities clause; Glass–Steagall) it</w:t>
      </w:r>
      <w:r>
        <w:t xml:space="preserve"> </w:t>
      </w:r>
      <w:r>
        <w:t xml:space="preserve">did so by standing statute rather than case. On this record,</w:t>
      </w:r>
      <w:r>
        <w:t xml:space="preserve"> </w:t>
      </w:r>
      <w:r>
        <w:t xml:space="preserve">what Parrott reads as devolution, the pattern reads as the</w:t>
      </w:r>
      <w:r>
        <w:t xml:space="preserve"> </w:t>
      </w:r>
      <w:r>
        <w:t xml:space="preserve">INTER-SEVERANCE PHASE: private re-acquisition of switches is</w:t>
      </w:r>
      <w:r>
        <w:t xml:space="preserve"> </w:t>
      </w:r>
      <w:r>
        <w:t xml:space="preserve">the normal state between corrections, not a refutation of the</w:t>
      </w:r>
      <w:r>
        <w:t xml:space="preserve"> </w:t>
      </w:r>
      <w:r>
        <w:t xml:space="preserve">correcting behaviour. The undermighty and venality readings of</w:t>
      </w:r>
      <w:r>
        <w:t xml:space="preserve"> </w:t>
      </w:r>
      <w:r>
        <w:t xml:space="preserve">the present (spine §8(c)) name that phase.</w:t>
      </w:r>
    </w:p>
    <w:p>
      <w:pPr>
        <w:numPr>
          <w:ilvl w:val="1"/>
          <w:numId w:val="1039"/>
        </w:numPr>
        <w:pStyle w:val="Compact"/>
      </w:pPr>
      <w:r>
        <w:rPr>
          <w:bCs/>
          <w:b/>
        </w:rPr>
        <w:t xml:space="preserve">The honest half — where Parrott could still win.</w:t>
      </w:r>
      <w:r>
        <w:t xml:space="preserve"> </w:t>
      </w:r>
      <w:r>
        <w:t xml:space="preserve">(i) The</w:t>
      </w:r>
      <w:r>
        <w:t xml:space="preserve"> </w:t>
      </w:r>
      <w:r>
        <w:t xml:space="preserve">pattern’s structural arm has a tempo condition, stated by its</w:t>
      </w:r>
      <w:r>
        <w:t xml:space="preserve"> </w:t>
      </w:r>
      <w:r>
        <w:t xml:space="preserve">own newest verified case:</w:t>
      </w:r>
      <w:r>
        <w:t xml:space="preserve"> </w:t>
      </w:r>
      <w:r>
        <w:rPr>
          <w:iCs/>
          <w:i/>
        </w:rPr>
        <w:t xml:space="preserve">Microsoft</w:t>
      </w:r>
      <w:r>
        <w:t xml:space="preserve">, 253 F.3d at *49 —</w:t>
      </w:r>
      <w:r>
        <w:t xml:space="preserve"> </w:t>
      </w:r>
      <w:r>
        <w:t xml:space="preserve">“</w:t>
      </w:r>
      <w:r>
        <w:t xml:space="preserve">six</w:t>
      </w:r>
      <w:r>
        <w:t xml:space="preserve"> </w:t>
      </w:r>
      <w:r>
        <w:t xml:space="preserve">years seems like an eternity in the computer industry… By the</w:t>
      </w:r>
      <w:r>
        <w:t xml:space="preserve"> </w:t>
      </w:r>
      <w:r>
        <w:t xml:space="preserve">time a court can assess liability, firms, products, and the</w:t>
      </w:r>
      <w:r>
        <w:t xml:space="preserve"> </w:t>
      </w:r>
      <w:r>
        <w:t xml:space="preserve">marketplace are likely to have changed dramatically.</w:t>
      </w:r>
      <w:r>
        <w:t xml:space="preserve">”</w:t>
      </w:r>
      <w:r>
        <w:t xml:space="preserve"> </w:t>
      </w:r>
      <w:r>
        <w:t xml:space="preserve">If stack</w:t>
      </w:r>
      <w:r>
        <w:t xml:space="preserve"> </w:t>
      </w:r>
      <w:r>
        <w:t xml:space="preserve">tempo permanently outruns decree tempo, the republic’s</w:t>
      </w:r>
      <w:r>
        <w:t xml:space="preserve"> </w:t>
      </w:r>
      <w:r>
        <w:t xml:space="preserve">structural instrument fails exactly where the thesis needs it,</w:t>
      </w:r>
      <w:r>
        <w:t xml:space="preserve"> </w:t>
      </w:r>
      <w:r>
        <w:t xml:space="preserve">and the equilibrium Parrott describes could hold. The</w:t>
      </w:r>
      <w:r>
        <w:t xml:space="preserve"> </w:t>
      </w:r>
      <w:r>
        <w:t xml:space="preserve">regulatory line (licensing, carriage, disclosure — which moves</w:t>
      </w:r>
      <w:r>
        <w:t xml:space="preserve"> </w:t>
      </w:r>
      <w:r>
        <w:t xml:space="preserve">at statute speed, not case speed) then carries the whole</w:t>
      </w:r>
      <w:r>
        <w:t xml:space="preserve"> </w:t>
      </w:r>
      <w:r>
        <w:t xml:space="preserve">prediction. (ii) The cycle claim rests on the VERIFIED rows;</w:t>
      </w:r>
      <w:r>
        <w:t xml:space="preserve"> </w:t>
      </w:r>
      <w:r>
        <w:t xml:space="preserve">the packers and RCA rows — the two where the republic</w:t>
      </w:r>
      <w:r>
        <w:t xml:space="preserve"> </w:t>
      </w:r>
      <w:r>
        <w:t xml:space="preserve">allegedly severed adjacency-control most directly — are still</w:t>
      </w:r>
      <w:r>
        <w:t xml:space="preserve"> </w:t>
      </w:r>
      <w:r>
        <w:t xml:space="preserve">[UNVERIFIED — RETRIEVAL]. (iii) The pattern is domestic: it</w:t>
      </w:r>
      <w:r>
        <w:t xml:space="preserve"> </w:t>
      </w:r>
      <w:r>
        <w:t xml:space="preserve">says nothing about contractors ACROSS the security perimeter,</w:t>
      </w:r>
      <w:r>
        <w:t xml:space="preserve"> </w:t>
      </w:r>
      <w:r>
        <w:t xml:space="preserve">which is Parrott’s home ground; the council’s</w:t>
      </w:r>
      <w:r>
        <w:t xml:space="preserve"> </w:t>
      </w:r>
      <w:r>
        <w:t xml:space="preserve">control-rights/revocation reframing (model-council-synthesis</w:t>
      </w:r>
      <w:r>
        <w:t xml:space="preserve"> </w:t>
      </w:r>
      <w:r>
        <w:t xml:space="preserve">arguments; GPT 5.6 Sol’s metric) does that work and is already</w:t>
      </w:r>
      <w:r>
        <w:t xml:space="preserve"> </w:t>
      </w:r>
      <w:r>
        <w:t xml:space="preserve">CA-2/CA-6’s territory.</w:t>
      </w:r>
    </w:p>
    <w:p>
      <w:pPr>
        <w:numPr>
          <w:ilvl w:val="1"/>
          <w:numId w:val="1039"/>
        </w:numPr>
        <w:pStyle w:val="Compact"/>
      </w:pPr>
      <w:r>
        <w:rPr>
          <w:bCs/>
          <w:b/>
        </w:rPr>
        <w:t xml:space="preserve">Scoreable form.</w:t>
      </w:r>
      <w:r>
        <w:t xml:space="preserve"> </w:t>
      </w:r>
      <w:r>
        <w:t xml:space="preserve">The disagreement reduces to CA-4</w:t>
      </w:r>
      <w:r>
        <w:t xml:space="preserve"> </w:t>
      </w:r>
      <w:r>
        <w:t xml:space="preserve">(structural separation executed, not ordered) against a dated</w:t>
      </w:r>
      <w:r>
        <w:t xml:space="preserve"> </w:t>
      </w:r>
      <w:r>
        <w:t xml:space="preserve">horizon: if by the Appendix C window no structural or</w:t>
      </w:r>
      <w:r>
        <w:t xml:space="preserve"> </w:t>
      </w:r>
      <w:r>
        <w:t xml:space="preserve">firebreak instrument has executed against any platform switch</w:t>
      </w:r>
      <w:r>
        <w:t xml:space="preserve"> </w:t>
      </w:r>
      <w:r>
        <w:t xml:space="preserve">while contractor incorporation deepens, Parrott’s equilibrium</w:t>
      </w:r>
      <w:r>
        <w:t xml:space="preserve"> </w:t>
      </w:r>
      <w:r>
        <w:t xml:space="preserve">is the better description and the chapter’s American route</w:t>
      </w:r>
      <w:r>
        <w:t xml:space="preserve"> </w:t>
      </w:r>
      <w:r>
        <w:t xml:space="preserve">fails its test honestly. The objection is thereby answered</w:t>
      </w:r>
      <w:r>
        <w:t xml:space="preserve"> </w:t>
      </w:r>
      <w:r>
        <w:t xml:space="preserve">architecturally — absorbed into the wager, not argued away.</w:t>
      </w:r>
    </w:p>
    <w:p>
      <w:r>
        <w:pict>
          <v:rect style="width:0;height:1.5pt" o:hralign="center" o:hrstd="t" o:hr="t"/>
        </w:pict>
      </w:r>
    </w:p>
    <w:bookmarkEnd w:id="108"/>
    <w:bookmarkStart w:id="109" w:name="codamemo.md"/>
    <w:p>
      <w:pPr>
        <w:pStyle w:val="Heading2"/>
      </w:pPr>
      <w:r>
        <w:t xml:space="preserve">coda/memo.md</w:t>
      </w:r>
    </w:p>
    <w:p>
      <w:pPr>
        <w:numPr>
          <w:ilvl w:val="0"/>
          <w:numId w:val="1040"/>
        </w:numPr>
        <w:pStyle w:val="Compact"/>
      </w:pPr>
      <w:r>
        <w:rPr>
          <w:bCs/>
          <w:b/>
        </w:rPr>
        <w:t xml:space="preserve">(2026-09-02 — the nuclear-ceiling question, inherited from ch12.</w:t>
      </w:r>
      <w:r>
        <w:rPr>
          <w:bCs/>
          <w:b/>
        </w:rPr>
        <w:t xml:space="preserve"> </w:t>
      </w:r>
      <w:r>
        <w:rPr>
          <w:bCs/>
          <w:b/>
        </w:rPr>
        <w:t xml:space="preserve">PENDING HUMAN REVIEW.)</w:t>
      </w:r>
      <w:r>
        <w:t xml:space="preserve"> </w:t>
      </w:r>
      <w:r>
        <w:t xml:space="preserve">Executed against spine §8 and the</w:t>
      </w:r>
      <w:r>
        <w:t xml:space="preserve"> </w:t>
      </w:r>
      <w:r>
        <w:t xml:space="preserve">2026-09-02 session instruction; no draft text proposed.</w:t>
      </w:r>
    </w:p>
    <w:p>
      <w:pPr>
        <w:numPr>
          <w:ilvl w:val="1"/>
          <w:numId w:val="1041"/>
        </w:numPr>
        <w:pStyle w:val="Compact"/>
      </w:pPr>
      <w:r>
        <w:t xml:space="preserve">The Economist essay of 28 May 2026 (in repo; entered at T3 in</w:t>
      </w:r>
      <w:r>
        <w:t xml:space="preserve"> </w:t>
      </w:r>
      <w:r>
        <w:t xml:space="preserve">ch06/ch10/ch12 sources.md with the tier caveat) closes on the</w:t>
      </w:r>
      <w:r>
        <w:t xml:space="preserve"> </w:t>
      </w:r>
      <w:r>
        <w:t xml:space="preserve">Taiwan case: attacking the Chinese war machine’s</w:t>
      </w:r>
      <w:r>
        <w:t xml:space="preserve"> </w:t>
      </w:r>
      <w:r>
        <w:t xml:space="preserve">“</w:t>
      </w:r>
      <w:r>
        <w:t xml:space="preserve">connective</w:t>
      </w:r>
      <w:r>
        <w:t xml:space="preserve"> </w:t>
      </w:r>
      <w:r>
        <w:t xml:space="preserve">tissue</w:t>
      </w:r>
      <w:r>
        <w:t xml:space="preserve">”</w:t>
      </w:r>
      <w:r>
        <w:t xml:space="preserve"> </w:t>
      </w:r>
      <w:r>
        <w:t xml:space="preserve">“</w:t>
      </w:r>
      <w:r>
        <w:t xml:space="preserve">would involve lightning-fast attacks on many of the</w:t>
      </w:r>
      <w:r>
        <w:t xml:space="preserve"> </w:t>
      </w:r>
      <w:r>
        <w:t xml:space="preserve">systems that China also relies on to control its nuclear</w:t>
      </w:r>
      <w:r>
        <w:t xml:space="preserve"> </w:t>
      </w:r>
      <w:r>
        <w:t xml:space="preserve">forces</w:t>
      </w:r>
      <w:r>
        <w:t xml:space="preserve">”</w:t>
      </w:r>
      <w:r>
        <w:t xml:space="preserve">; the red lines exist but</w:t>
      </w:r>
      <w:r>
        <w:t xml:space="preserve"> </w:t>
      </w:r>
      <w:r>
        <w:t xml:space="preserve">“</w:t>
      </w:r>
      <w:r>
        <w:t xml:space="preserve">people are not sure where</w:t>
      </w:r>
      <w:r>
        <w:t xml:space="preserve"> </w:t>
      </w:r>
      <w:r>
        <w:t xml:space="preserve">they lie.</w:t>
      </w:r>
      <w:r>
        <w:t xml:space="preserve">”</w:t>
      </w:r>
    </w:p>
    <w:p>
      <w:pPr>
        <w:numPr>
          <w:ilvl w:val="1"/>
          <w:numId w:val="1041"/>
        </w:numPr>
        <w:pStyle w:val="Compact"/>
      </w:pPr>
      <w:r>
        <w:t xml:space="preserve">The question the coda should carry as a confessed limit,</w:t>
      </w:r>
      <w:r>
        <w:t xml:space="preserve"> </w:t>
      </w:r>
      <w:r>
        <w:t xml:space="preserve">consistent with spine §5 and ch12’s §V nuclear-overhang</w:t>
      </w:r>
      <w:r>
        <w:t xml:space="preserve"> </w:t>
      </w:r>
      <w:r>
        <w:t xml:space="preserve">paragraph (see ch12/memo.md Revisions 1, same date): if the</w:t>
      </w:r>
      <w:r>
        <w:t xml:space="preserve"> </w:t>
      </w:r>
      <w:r>
        <w:t xml:space="preserve">full transparency war between blocs is unfightable, the blocs</w:t>
      </w:r>
      <w:r>
        <w:t xml:space="preserve"> </w:t>
      </w:r>
      <w:r>
        <w:t xml:space="preserve">may consolidate and never test each other — a permanent, armed,</w:t>
      </w:r>
      <w:r>
        <w:t xml:space="preserve"> </w:t>
      </w:r>
      <w:r>
        <w:t xml:space="preserve">mutually observed pause rather than a Bosworth. Whether that is</w:t>
      </w:r>
      <w:r>
        <w:t xml:space="preserve"> </w:t>
      </w:r>
      <w:r>
        <w:t xml:space="preserve">a Tudor settlement or something without precedent is put as a</w:t>
      </w:r>
      <w:r>
        <w:t xml:space="preserve"> </w:t>
      </w:r>
      <w:r>
        <w:t xml:space="preserve">question, not answered. The wager’s scoring (Appendix C) does</w:t>
      </w:r>
      <w:r>
        <w:t xml:space="preserve"> </w:t>
      </w:r>
      <w:r>
        <w:t xml:space="preserve">not depend on the ceiling being resolved; the coda says so.</w:t>
      </w:r>
    </w:p>
    <w:p>
      <w:pPr>
        <w:numPr>
          <w:ilvl w:val="1"/>
          <w:numId w:val="1041"/>
        </w:numPr>
        <w:pStyle w:val="Compact"/>
      </w:pPr>
      <w:r>
        <w:t xml:space="preserve">Tension flagged for Roderick, not resolved (mirrored in</w:t>
      </w:r>
      <w:r>
        <w:t xml:space="preserve"> </w:t>
      </w:r>
      <w:r>
        <w:t xml:space="preserve">ch12/memo.md Revisions 1): the entanglement point complicates</w:t>
      </w:r>
      <w:r>
        <w:t xml:space="preserve"> </w:t>
      </w:r>
      <w:r>
        <w:t xml:space="preserve">spine §5’s</w:t>
      </w:r>
      <w:r>
        <w:t xml:space="preserve"> </w:t>
      </w:r>
      <w:r>
        <w:t xml:space="preserve">“</w:t>
      </w:r>
      <w:r>
        <w:t xml:space="preserve">nuclear weapons sit outside the frame</w:t>
      </w:r>
      <w:r>
        <w:t xml:space="preserve">”</w:t>
      </w:r>
      <w:r>
        <w:t xml:space="preserve"> </w:t>
      </w:r>
      <w:r>
        <w:t xml:space="preserve">— the</w:t>
      </w:r>
      <w:r>
        <w:t xml:space="preserve"> </w:t>
      </w:r>
      <w:r>
        <w:t xml:space="preserve">frame’s boundary may run through the stack itself.</w:t>
      </w:r>
    </w:p>
    <w:p>
      <w:r>
        <w:pict>
          <v:rect style="width:0;height:1.5pt" o:hralign="center" o:hrstd="t" o:hr="t"/>
        </w:pict>
      </w:r>
    </w:p>
    <w:p>
      <w:pPr>
        <w:numPr>
          <w:ilvl w:val="0"/>
          <w:numId w:val="1042"/>
        </w:numPr>
        <w:pStyle w:val="Compact"/>
      </w:pPr>
      <w:r>
        <w:rPr>
          <w:bCs/>
          <w:b/>
        </w:rPr>
        <w:t xml:space="preserve">(2026-09-02 — the nuclear-ceiling question, inherited from ch12.</w:t>
      </w:r>
      <w:r>
        <w:rPr>
          <w:bCs/>
          <w:b/>
        </w:rPr>
        <w:t xml:space="preserve"> </w:t>
      </w:r>
      <w:r>
        <w:rPr>
          <w:bCs/>
          <w:b/>
        </w:rPr>
        <w:t xml:space="preserve">PENDING HUMAN REVIEW.)</w:t>
      </w:r>
      <w:r>
        <w:t xml:space="preserve"> </w:t>
      </w:r>
      <w:r>
        <w:t xml:space="preserve">Executed against spine §8 and the</w:t>
      </w:r>
      <w:r>
        <w:t xml:space="preserve"> </w:t>
      </w:r>
      <w:r>
        <w:t xml:space="preserve">2026-09-02 session instruction; no draft text proposed.</w:t>
      </w:r>
    </w:p>
    <w:p>
      <w:pPr>
        <w:numPr>
          <w:ilvl w:val="1"/>
          <w:numId w:val="1043"/>
        </w:numPr>
        <w:pStyle w:val="Compact"/>
      </w:pPr>
      <w:r>
        <w:t xml:space="preserve">The Economist essay of 28 May 2026 (in repo; entered at T3 in</w:t>
      </w:r>
      <w:r>
        <w:t xml:space="preserve"> </w:t>
      </w:r>
      <w:r>
        <w:t xml:space="preserve">ch06/ch10/ch12 sources.md with the tier caveat) closes on the</w:t>
      </w:r>
      <w:r>
        <w:t xml:space="preserve"> </w:t>
      </w:r>
      <w:r>
        <w:t xml:space="preserve">Taiwan case: attacking the Chinese war machine’s</w:t>
      </w:r>
      <w:r>
        <w:t xml:space="preserve"> </w:t>
      </w:r>
      <w:r>
        <w:t xml:space="preserve">“</w:t>
      </w:r>
      <w:r>
        <w:t xml:space="preserve">connective</w:t>
      </w:r>
      <w:r>
        <w:t xml:space="preserve"> </w:t>
      </w:r>
      <w:r>
        <w:t xml:space="preserve">tissue</w:t>
      </w:r>
      <w:r>
        <w:t xml:space="preserve">”</w:t>
      </w:r>
      <w:r>
        <w:t xml:space="preserve"> </w:t>
      </w:r>
      <w:r>
        <w:t xml:space="preserve">“</w:t>
      </w:r>
      <w:r>
        <w:t xml:space="preserve">would involve lightning-fast attacks on many of the</w:t>
      </w:r>
      <w:r>
        <w:t xml:space="preserve"> </w:t>
      </w:r>
      <w:r>
        <w:t xml:space="preserve">systems that China also relies on to control its nuclear</w:t>
      </w:r>
      <w:r>
        <w:t xml:space="preserve"> </w:t>
      </w:r>
      <w:r>
        <w:t xml:space="preserve">forces</w:t>
      </w:r>
      <w:r>
        <w:t xml:space="preserve">”</w:t>
      </w:r>
      <w:r>
        <w:t xml:space="preserve">; the red lines exist but</w:t>
      </w:r>
      <w:r>
        <w:t xml:space="preserve"> </w:t>
      </w:r>
      <w:r>
        <w:t xml:space="preserve">“</w:t>
      </w:r>
      <w:r>
        <w:t xml:space="preserve">people are not sure where</w:t>
      </w:r>
      <w:r>
        <w:t xml:space="preserve"> </w:t>
      </w:r>
      <w:r>
        <w:t xml:space="preserve">they lie.</w:t>
      </w:r>
      <w:r>
        <w:t xml:space="preserve">”</w:t>
      </w:r>
    </w:p>
    <w:p>
      <w:pPr>
        <w:numPr>
          <w:ilvl w:val="1"/>
          <w:numId w:val="1043"/>
        </w:numPr>
        <w:pStyle w:val="Compact"/>
      </w:pPr>
      <w:r>
        <w:t xml:space="preserve">The question the coda should carry as a confessed limit,</w:t>
      </w:r>
      <w:r>
        <w:t xml:space="preserve"> </w:t>
      </w:r>
      <w:r>
        <w:t xml:space="preserve">consistent with spine §5 and ch12’s §V nuclear-overhang</w:t>
      </w:r>
      <w:r>
        <w:t xml:space="preserve"> </w:t>
      </w:r>
      <w:r>
        <w:t xml:space="preserve">paragraph (see ch12/memo.md Revisions 1, same date): if the</w:t>
      </w:r>
      <w:r>
        <w:t xml:space="preserve"> </w:t>
      </w:r>
      <w:r>
        <w:t xml:space="preserve">full transparency war between blocs is unfightable, the blocs</w:t>
      </w:r>
      <w:r>
        <w:t xml:space="preserve"> </w:t>
      </w:r>
      <w:r>
        <w:t xml:space="preserve">may consolidate and never test each other — a permanent, armed,</w:t>
      </w:r>
      <w:r>
        <w:t xml:space="preserve"> </w:t>
      </w:r>
      <w:r>
        <w:t xml:space="preserve">mutually observed pause rather than a Bosworth. Whether that is</w:t>
      </w:r>
      <w:r>
        <w:t xml:space="preserve"> </w:t>
      </w:r>
      <w:r>
        <w:t xml:space="preserve">a Tudor settlement or something without precedent is put as a</w:t>
      </w:r>
      <w:r>
        <w:t xml:space="preserve"> </w:t>
      </w:r>
      <w:r>
        <w:t xml:space="preserve">question, not answered. The wager’s scoring (Appendix C) does</w:t>
      </w:r>
      <w:r>
        <w:t xml:space="preserve"> </w:t>
      </w:r>
      <w:r>
        <w:t xml:space="preserve">not depend on the ceiling being resolved; the coda says so.</w:t>
      </w:r>
    </w:p>
    <w:p>
      <w:pPr>
        <w:numPr>
          <w:ilvl w:val="1"/>
          <w:numId w:val="1043"/>
        </w:numPr>
        <w:pStyle w:val="Compact"/>
      </w:pPr>
      <w:r>
        <w:t xml:space="preserve">Tension flagged for Roderick, not resolved (mirrored in</w:t>
      </w:r>
      <w:r>
        <w:t xml:space="preserve"> </w:t>
      </w:r>
      <w:r>
        <w:t xml:space="preserve">ch12/memo.md Revisions 1): the entanglement point complicates</w:t>
      </w:r>
      <w:r>
        <w:t xml:space="preserve"> </w:t>
      </w:r>
      <w:r>
        <w:t xml:space="preserve">spine §5’s</w:t>
      </w:r>
      <w:r>
        <w:t xml:space="preserve"> </w:t>
      </w:r>
      <w:r>
        <w:t xml:space="preserve">“</w:t>
      </w:r>
      <w:r>
        <w:t xml:space="preserve">nuclear weapons sit outside the frame</w:t>
      </w:r>
      <w:r>
        <w:t xml:space="preserve">”</w:t>
      </w:r>
      <w:r>
        <w:t xml:space="preserve"> </w:t>
      </w:r>
      <w:r>
        <w:t xml:space="preserve">— the</w:t>
      </w:r>
      <w:r>
        <w:t xml:space="preserve"> </w:t>
      </w:r>
      <w:r>
        <w:t xml:space="preserve">frame’s boundary may run through the stack itself.</w:t>
      </w:r>
    </w:p>
    <w:p>
      <w:r>
        <w:pict>
          <v:rect style="width:0;height:1.5pt" o:hralign="center" o:hrstd="t" o:hr="t"/>
        </w:pict>
      </w:r>
    </w:p>
    <w:p>
      <w:pPr>
        <w:pStyle w:val="FirstParagraph"/>
      </w:pPr>
      <w:r>
        <w:t xml:space="preserve">STATUS: PENDING HUMAN REVIEW</w:t>
      </w:r>
    </w:p>
    <w:p>
      <w:r>
        <w:pict>
          <v:rect style="width:0;height:1.5pt" o:hralign="center" o:hrstd="t" o:hr="t"/>
        </w:pict>
      </w:r>
    </w:p>
    <w:bookmarkEnd w:id="109"/>
    <w:bookmarkStart w:id="110" w:name="appendix-amemo.md"/>
    <w:p>
      <w:pPr>
        <w:pStyle w:val="Heading2"/>
      </w:pPr>
      <w:r>
        <w:t xml:space="preserve">appendix-a/memo.md</w:t>
      </w:r>
    </w:p>
    <w:bookmarkEnd w:id="110"/>
    <w:bookmarkStart w:id="111" w:name="Xdb1a3f58fff169b6d7822e3f386106ef63323db"/>
    <w:p>
      <w:pPr>
        <w:pStyle w:val="Heading2"/>
      </w:pPr>
      <w:r>
        <w:t xml:space="preserve">Pending integration (on the retrieval lists; not yet in the repo)</w:t>
      </w:r>
    </w:p>
    <w:p>
      <w:pPr>
        <w:pStyle w:val="FirstParagraph"/>
      </w:pPr>
      <w:r>
        <w:t xml:space="preserve">The spine of the neomedievalism literature and its critics are gated or in-print monographs, to be integrated with page-level citations once their PDFs appear per CLAUDE.md §4:</w:t>
      </w:r>
    </w:p>
    <w:p>
      <w:pPr>
        <w:numPr>
          <w:ilvl w:val="0"/>
          <w:numId w:val="1044"/>
        </w:numPr>
        <w:pStyle w:val="Compact"/>
      </w:pPr>
      <w:r>
        <w:rPr>
          <w:bCs/>
          <w:b/>
        </w:rPr>
        <w:t xml:space="preserve">Hedley Bull,</w:t>
      </w:r>
      <w:r>
        <w:rPr>
          <w:bCs/>
          <w:b/>
        </w:rPr>
        <w:t xml:space="preserve"> </w:t>
      </w:r>
      <w:r>
        <w:rPr>
          <w:iCs/>
          <w:i/>
          <w:bCs/>
          <w:b/>
        </w:rPr>
        <w:t xml:space="preserve">The Anarchical Society</w:t>
      </w:r>
      <w:r>
        <w:rPr>
          <w:bCs/>
          <w:b/>
        </w:rPr>
        <w:t xml:space="preserve"> </w:t>
      </w:r>
      <w:r>
        <w:rPr>
          <w:bCs/>
          <w:b/>
        </w:rPr>
        <w:t xml:space="preserve">(1977), ch. 10</w:t>
      </w:r>
      <w:r>
        <w:t xml:space="preserve"> </w:t>
      </w:r>
      <w:r>
        <w:t xml:space="preserve">— the founding</w:t>
      </w:r>
      <w:r>
        <w:t xml:space="preserve"> </w:t>
      </w:r>
      <w:r>
        <w:t xml:space="preserve">“</w:t>
      </w:r>
      <w:r>
        <w:t xml:space="preserve">new mediaevalism</w:t>
      </w:r>
      <w:r>
        <w:t xml:space="preserve">”</w:t>
      </w:r>
      <w:r>
        <w:t xml:space="preserve"> </w:t>
      </w:r>
      <w:r>
        <w:t xml:space="preserve">hypothesis and the five sub-trends; the book’s starting point and Bull’s own skepticism.</w:t>
      </w:r>
    </w:p>
    <w:p>
      <w:pPr>
        <w:numPr>
          <w:ilvl w:val="0"/>
          <w:numId w:val="1044"/>
        </w:numPr>
        <w:pStyle w:val="Compact"/>
      </w:pPr>
      <w:r>
        <w:rPr>
          <w:bCs/>
          <w:b/>
        </w:rPr>
        <w:t xml:space="preserve">Jörg Friedrichs,</w:t>
      </w:r>
      <w:r>
        <w:rPr>
          <w:bCs/>
          <w:b/>
        </w:rPr>
        <w:t xml:space="preserve"> </w:t>
      </w:r>
      <w:r>
        <w:rPr>
          <w:bCs/>
          <w:b/>
        </w:rPr>
        <w:t xml:space="preserve">“</w:t>
      </w:r>
      <w:r>
        <w:rPr>
          <w:bCs/>
          <w:b/>
        </w:rPr>
        <w:t xml:space="preserve">The Meaning of New Medievalism,</w:t>
      </w:r>
      <w:r>
        <w:rPr>
          <w:bCs/>
          <w:b/>
        </w:rPr>
        <w:t xml:space="preserve">”</w:t>
      </w:r>
      <w:r>
        <w:rPr>
          <w:bCs/>
          <w:b/>
        </w:rPr>
        <w:t xml:space="preserve"> </w:t>
      </w:r>
      <w:r>
        <w:rPr>
          <w:iCs/>
          <w:i/>
          <w:bCs/>
          <w:b/>
        </w:rPr>
        <w:t xml:space="preserve">EJIR</w:t>
      </w:r>
      <w:r>
        <w:rPr>
          <w:bCs/>
          <w:b/>
        </w:rPr>
        <w:t xml:space="preserve"> </w:t>
      </w:r>
      <w:r>
        <w:rPr>
          <w:bCs/>
          <w:b/>
        </w:rPr>
        <w:t xml:space="preserve">7:4 (2001)</w:t>
      </w:r>
      <w:r>
        <w:t xml:space="preserve"> </w:t>
      </w:r>
      <w:r>
        <w:t xml:space="preserve">(or the polished 2007 chapter) — the Church/Empire duality that the book institutionalises; and Friedrichs 2004,</w:t>
      </w:r>
      <w:r>
        <w:t xml:space="preserve"> </w:t>
      </w:r>
      <w:r>
        <w:t xml:space="preserve">“</w:t>
      </w:r>
      <w:r>
        <w:t xml:space="preserve">The Neomedieval Renaissance,</w:t>
      </w:r>
      <w:r>
        <w:t xml:space="preserve">”</w:t>
      </w:r>
      <w:r>
        <w:t xml:space="preserve"> </w:t>
      </w:r>
      <w:r>
        <w:t xml:space="preserve">the fullest literature review.</w:t>
      </w:r>
    </w:p>
    <w:p>
      <w:pPr>
        <w:numPr>
          <w:ilvl w:val="0"/>
          <w:numId w:val="1044"/>
        </w:numPr>
        <w:pStyle w:val="Compact"/>
      </w:pPr>
      <w:r>
        <w:rPr>
          <w:bCs/>
          <w:b/>
        </w:rPr>
        <w:t xml:space="preserve">Philip G. Cerny,</w:t>
      </w:r>
      <w:r>
        <w:rPr>
          <w:bCs/>
          <w:b/>
        </w:rPr>
        <w:t xml:space="preserve"> </w:t>
      </w:r>
      <w:r>
        <w:rPr>
          <w:bCs/>
          <w:b/>
        </w:rPr>
        <w:t xml:space="preserve">“</w:t>
      </w:r>
      <w:r>
        <w:rPr>
          <w:bCs/>
          <w:b/>
        </w:rPr>
        <w:t xml:space="preserve">Neomedievalism, Civil War and the New Security Dilemma,</w:t>
      </w:r>
      <w:r>
        <w:rPr>
          <w:bCs/>
          <w:b/>
        </w:rPr>
        <w:t xml:space="preserve">”</w:t>
      </w:r>
      <w:r>
        <w:rPr>
          <w:bCs/>
          <w:b/>
        </w:rPr>
        <w:t xml:space="preserve"> </w:t>
      </w:r>
      <w:r>
        <w:rPr>
          <w:iCs/>
          <w:i/>
          <w:bCs/>
          <w:b/>
        </w:rPr>
        <w:t xml:space="preserve">Civil Wars</w:t>
      </w:r>
      <w:r>
        <w:rPr>
          <w:bCs/>
          <w:b/>
        </w:rPr>
        <w:t xml:space="preserve"> </w:t>
      </w:r>
      <w:r>
        <w:rPr>
          <w:bCs/>
          <w:b/>
        </w:rPr>
        <w:t xml:space="preserve">1:1 (1998)</w:t>
      </w:r>
      <w:r>
        <w:t xml:space="preserve"> </w:t>
      </w:r>
      <w:r>
        <w:t xml:space="preserve">— the</w:t>
      </w:r>
      <w:r>
        <w:t xml:space="preserve"> </w:t>
      </w:r>
      <w:r>
        <w:rPr>
          <w:bCs/>
          <w:b/>
        </w:rPr>
        <w:t xml:space="preserve">six</w:t>
      </w:r>
      <w:r>
        <w:t xml:space="preserve">-characteristics original behind the bundled 2005 companion.</w:t>
      </w:r>
    </w:p>
    <w:p>
      <w:pPr>
        <w:numPr>
          <w:ilvl w:val="0"/>
          <w:numId w:val="1044"/>
        </w:numPr>
        <w:pStyle w:val="Compact"/>
      </w:pPr>
      <w:r>
        <w:rPr>
          <w:bCs/>
          <w:b/>
        </w:rPr>
        <w:t xml:space="preserve">Jan Zielonka,</w:t>
      </w:r>
      <w:r>
        <w:rPr>
          <w:bCs/>
          <w:b/>
        </w:rPr>
        <w:t xml:space="preserve"> </w:t>
      </w:r>
      <w:r>
        <w:rPr>
          <w:iCs/>
          <w:i/>
          <w:bCs/>
          <w:b/>
        </w:rPr>
        <w:t xml:space="preserve">Europe as Empire</w:t>
      </w:r>
      <w:r>
        <w:rPr>
          <w:bCs/>
          <w:b/>
        </w:rPr>
        <w:t xml:space="preserve"> </w:t>
      </w:r>
      <w:r>
        <w:rPr>
          <w:bCs/>
          <w:b/>
        </w:rPr>
        <w:t xml:space="preserve">(2006)</w:t>
      </w:r>
      <w:r>
        <w:t xml:space="preserve"> </w:t>
      </w:r>
      <w:r>
        <w:t xml:space="preserve">— the EU as neomedieval empire, paired with Wæver.</w:t>
      </w:r>
    </w:p>
    <w:p>
      <w:pPr>
        <w:numPr>
          <w:ilvl w:val="0"/>
          <w:numId w:val="1044"/>
        </w:numPr>
        <w:pStyle w:val="Compact"/>
      </w:pPr>
      <w:r>
        <w:rPr>
          <w:bCs/>
          <w:b/>
        </w:rPr>
        <w:t xml:space="preserve">Bruce Holsinger,</w:t>
      </w:r>
      <w:r>
        <w:rPr>
          <w:bCs/>
          <w:b/>
        </w:rPr>
        <w:t xml:space="preserve"> </w:t>
      </w:r>
      <w:r>
        <w:rPr>
          <w:iCs/>
          <w:i/>
          <w:bCs/>
          <w:b/>
        </w:rPr>
        <w:t xml:space="preserve">Neomedievalism, Neoconservatism, and the War on Terror</w:t>
      </w:r>
      <w:r>
        <w:rPr>
          <w:bCs/>
          <w:b/>
        </w:rPr>
        <w:t xml:space="preserve"> </w:t>
      </w:r>
      <w:r>
        <w:rPr>
          <w:bCs/>
          <w:b/>
        </w:rPr>
        <w:t xml:space="preserve">(2007)</w:t>
      </w:r>
      <w:r>
        <w:t xml:space="preserve"> </w:t>
      </w:r>
      <w:r>
        <w:t xml:space="preserve">and</w:t>
      </w:r>
      <w:r>
        <w:t xml:space="preserve"> </w:t>
      </w:r>
      <w:r>
        <w:rPr>
          <w:bCs/>
          <w:b/>
        </w:rPr>
        <w:t xml:space="preserve">N. J. Rengger,</w:t>
      </w:r>
      <w:r>
        <w:rPr>
          <w:bCs/>
          <w:b/>
        </w:rPr>
        <w:t xml:space="preserve"> </w:t>
      </w:r>
      <w:r>
        <w:rPr>
          <w:bCs/>
          <w:b/>
        </w:rPr>
        <w:t xml:space="preserve">“</w:t>
      </w:r>
      <w:r>
        <w:rPr>
          <w:bCs/>
          <w:b/>
        </w:rPr>
        <w:t xml:space="preserve">The Dilemmas of Fairyland?</w:t>
      </w:r>
      <w:r>
        <w:rPr>
          <w:bCs/>
          <w:b/>
        </w:rPr>
        <w:t xml:space="preserve">”</w:t>
      </w:r>
      <w:r>
        <w:rPr>
          <w:bCs/>
          <w:b/>
        </w:rPr>
        <w:t xml:space="preserve"> </w:t>
      </w:r>
      <w:r>
        <w:rPr>
          <w:bCs/>
          <w:b/>
        </w:rPr>
        <w:t xml:space="preserve">(2000)</w:t>
      </w:r>
      <w:r>
        <w:t xml:space="preserve"> </w:t>
      </w:r>
      <w:r>
        <w:t xml:space="preserve">— the critics engaged seriously (the fairyland objection), answered architecturally via the mechanism.</w:t>
      </w:r>
    </w:p>
    <w:p>
      <w:pPr>
        <w:numPr>
          <w:ilvl w:val="0"/>
          <w:numId w:val="1044"/>
        </w:numPr>
        <w:pStyle w:val="Compact"/>
      </w:pPr>
      <w:r>
        <w:rPr>
          <w:bCs/>
          <w:b/>
        </w:rPr>
        <w:t xml:space="preserve">Martin Wight, Strayer, Anderson, Ullmann, Elton</w:t>
      </w:r>
      <w:r>
        <w:t xml:space="preserve"> </w:t>
      </w:r>
      <w:r>
        <w:t xml:space="preserve">and the wider medieval historiography — the empirical substrate for Parts II–III.</w:t>
      </w:r>
    </w:p>
    <w:p>
      <w:pPr>
        <w:pStyle w:val="FirstParagraph"/>
      </w:pPr>
      <w:r>
        <w:t xml:space="preserve">See</w:t>
      </w:r>
      <w:r>
        <w:t xml:space="preserve"> </w:t>
      </w:r>
      <w:r>
        <w:rPr>
          <w:rStyle w:val="VerbatimChar"/>
        </w:rPr>
        <w:t xml:space="preserve">reading-list.md</w:t>
      </w:r>
      <w:r>
        <w:t xml:space="preserve"> </w:t>
      </w:r>
      <w:r>
        <w:t xml:space="preserve">for access routes and</w:t>
      </w:r>
      <w:r>
        <w:t xml:space="preserve"> </w:t>
      </w:r>
      <w:r>
        <w:rPr>
          <w:rStyle w:val="VerbatimChar"/>
        </w:rPr>
        <w:t xml:space="preserve">corpus/bundled/index.md</w:t>
      </w:r>
      <w:r>
        <w:t xml:space="preserve"> </w:t>
      </w:r>
      <w:r>
        <w:t xml:space="preserve">for the full indexed entries and the two-way chapter map.</w:t>
      </w:r>
    </w:p>
    <w:p>
      <w:r>
        <w:pict>
          <v:rect style="width:0;height:1.5pt" o:hralign="center" o:hrstd="t" o:hr="t"/>
        </w:pict>
      </w:r>
    </w:p>
    <w:p>
      <w:pPr>
        <w:pStyle w:val="FirstParagraph"/>
      </w:pPr>
      <w:r>
        <w:t xml:space="preserve">STATUS: PENDING HUMAN REVIEW</w:t>
      </w:r>
    </w:p>
    <w:p>
      <w:r>
        <w:pict>
          <v:rect style="width:0;height:1.5pt" o:hralign="center" o:hrstd="t" o:hr="t"/>
        </w:pict>
      </w:r>
    </w:p>
    <w:bookmarkEnd w:id="111"/>
    <w:bookmarkEnd w:id="112"/>
    <w:bookmarkStart w:id="128" w:name="Xbc37c8a966dba5a1054bf23300ad243c43e4651"/>
    <w:p>
      <w:pPr>
        <w:pStyle w:val="Heading1"/>
      </w:pPr>
      <w:r>
        <w:t xml:space="preserve">Part D — Changed passages in otherwise-reviewed drafts</w:t>
      </w:r>
    </w:p>
    <w:bookmarkStart w:id="115" w:name="X15cf44ca1a35dac492e6cabc8e5d23f9e9c284e"/>
    <w:p>
      <w:pPr>
        <w:pStyle w:val="Heading2"/>
      </w:pPr>
      <w:r>
        <w:t xml:space="preserve">ch01 — the [DELTA] in §III (Bull per-trend tests) (ch01/draft.md)</w:t>
      </w:r>
    </w:p>
    <w:bookmarkStart w:id="113" w:name="the-revisions-notes"/>
    <w:p>
      <w:pPr>
        <w:pStyle w:val="Heading3"/>
      </w:pPr>
      <w:r>
        <w:t xml:space="preserve">The Revisions note(s)</w:t>
      </w:r>
    </w:p>
    <w:p>
      <w:pPr>
        <w:numPr>
          <w:ilvl w:val="0"/>
          <w:numId w:val="1045"/>
        </w:numPr>
        <w:pStyle w:val="Compact"/>
      </w:pPr>
      <w:r>
        <w:rPr>
          <w:bCs/>
          <w:b/>
        </w:rPr>
        <w:t xml:space="preserve">(2026-08-03 — Bull retrieved and read; all via-Baaz citations</w:t>
      </w:r>
      <w:r>
        <w:rPr>
          <w:bCs/>
          <w:b/>
        </w:rPr>
        <w:t xml:space="preserve"> </w:t>
      </w:r>
      <w:r>
        <w:rPr>
          <w:bCs/>
          <w:b/>
        </w:rPr>
        <w:t xml:space="preserve">upgraded to direct.)</w:t>
      </w:r>
      <w:r>
        <w:t xml:space="preserve"> </w:t>
      </w:r>
      <w:r>
        <w:rPr>
          <w:iCs/>
          <w:i/>
        </w:rPr>
        <w:t xml:space="preserve">The Anarchical Society</w:t>
      </w:r>
      <w:r>
        <w:t xml:space="preserve"> </w:t>
      </w:r>
      <w:r>
        <w:t xml:space="preserve">(4th ed., Columbia,</w:t>
      </w:r>
    </w:p>
    <w:p>
      <w:pPr>
        <w:numPr>
          <w:ilvl w:val="1"/>
          <w:numId w:val="1046"/>
        </w:numPr>
        <w:pStyle w:val="Compact"/>
      </w:pPr>
      <w:r>
        <w:t xml:space="preserve">is in the corpus; pagination matches the earlier printings</w:t>
      </w:r>
      <w:r>
        <w:t xml:space="preserve"> </w:t>
      </w:r>
      <w:r>
        <w:t xml:space="preserve">(key passages at pp. 245, 265). Changes: (a) the two p. 245</w:t>
      </w:r>
      <w:r>
        <w:t xml:space="preserve"> </w:t>
      </w:r>
      <w:r>
        <w:t xml:space="preserve">formulations quoted direct and slightly extended from the page</w:t>
      </w:r>
      <w:r>
        <w:t xml:space="preserve"> </w:t>
      </w:r>
      <w:r>
        <w:t xml:space="preserve">(the</w:t>
      </w:r>
      <w:r>
        <w:t xml:space="preserve"> </w:t>
      </w:r>
      <w:r>
        <w:t xml:space="preserve">“</w:t>
      </w:r>
      <w:r>
        <w:t xml:space="preserve">not fanciful</w:t>
      </w:r>
      <w:r>
        <w:t xml:space="preserve">”</w:t>
      </w:r>
      <w:r>
        <w:t xml:space="preserve"> </w:t>
      </w:r>
      <w:r>
        <w:t xml:space="preserve">clause restored); (b) a structural correction</w:t>
      </w:r>
      <w:r>
        <w:t xml:space="preserve"> </w:t>
      </w:r>
      <w:r>
        <w:t xml:space="preserve">— the five trends sit in</w:t>
      </w:r>
      <w:r>
        <w:t xml:space="preserve"> </w:t>
      </w:r>
      <w:r>
        <w:rPr>
          <w:bCs/>
          <w:b/>
        </w:rPr>
        <w:t xml:space="preserve">ch. 11,</w:t>
      </w:r>
      <w:r>
        <w:rPr>
          <w:bCs/>
          <w:b/>
        </w:rPr>
        <w:t xml:space="preserve"> </w:t>
      </w:r>
      <w:r>
        <w:rPr>
          <w:bCs/>
          <w:b/>
        </w:rPr>
        <w:t xml:space="preserve">“</w:t>
      </w:r>
      <w:r>
        <w:rPr>
          <w:bCs/>
          <w:b/>
        </w:rPr>
        <w:t xml:space="preserve">The Decline of the States</w:t>
      </w:r>
      <w:r>
        <w:rPr>
          <w:bCs/>
          <w:b/>
        </w:rPr>
        <w:t xml:space="preserve"> </w:t>
      </w:r>
      <w:r>
        <w:rPr>
          <w:bCs/>
          <w:b/>
        </w:rPr>
        <w:t xml:space="preserve">System?</w:t>
      </w:r>
      <w:r>
        <w:rPr>
          <w:bCs/>
          <w:b/>
        </w:rPr>
        <w:t xml:space="preserve">”</w:t>
      </w:r>
      <w:r>
        <w:rPr>
          <w:bCs/>
          <w:b/>
        </w:rPr>
        <w:t xml:space="preserve"> </w:t>
      </w:r>
      <w:r>
        <w:rPr>
          <w:bCs/>
          <w:b/>
        </w:rPr>
        <w:t xml:space="preserve">(pp. 248–66), under numbered headings (i)–(v)</w:t>
      </w:r>
      <w:r>
        <w:t xml:space="preserve">, not in</w:t>
      </w:r>
      <w:r>
        <w:t xml:space="preserve"> </w:t>
      </w:r>
      <w:r>
        <w:t xml:space="preserve">ch. 10 as the intermediary-derived citations implied; (c) the</w:t>
      </w:r>
      <w:r>
        <w:t xml:space="preserve"> </w:t>
      </w:r>
      <w:r>
        <w:t xml:space="preserve">insufficiency paraphrase replaced by Bull’s verbatim chapter</w:t>
      </w:r>
      <w:r>
        <w:t xml:space="preserve"> </w:t>
      </w:r>
      <w:r>
        <w:t xml:space="preserve">verdict (p. 265); (d) a [DELTA] flagged in §III rather than</w:t>
      </w:r>
      <w:r>
        <w:t xml:space="preserve"> </w:t>
      </w:r>
      <w:r>
        <w:t xml:space="preserve">silently absorbed — Bull’s per-trend tests (reproduce-vs-replace;</w:t>
      </w:r>
      <w:r>
        <w:t xml:space="preserve"> </w:t>
      </w:r>
      <w:r>
        <w:t xml:space="preserve">re-subordination; unity of outlook) are sharper than the</w:t>
      </w:r>
      <w:r>
        <w:t xml:space="preserve"> </w:t>
      </w:r>
      <w:r>
        <w:t xml:space="preserve">“</w:t>
      </w:r>
      <w:r>
        <w:t xml:space="preserve">insufficient evidence</w:t>
      </w:r>
      <w:r>
        <w:t xml:space="preserve">”</w:t>
      </w:r>
      <w:r>
        <w:t xml:space="preserve"> </w:t>
      </w:r>
      <w:r>
        <w:t xml:space="preserve">summary, and the chapter’s</w:t>
      </w:r>
      <w:r>
        <w:t xml:space="preserve"> </w:t>
      </w:r>
      <w:r>
        <w:t xml:space="preserve">“</w:t>
      </w:r>
      <w:r>
        <w:t xml:space="preserve">crossed on his own measures</w:t>
      </w:r>
      <w:r>
        <w:t xml:space="preserve">”</w:t>
      </w:r>
      <w:r>
        <w:t xml:space="preserve"> </w:t>
      </w:r>
      <w:r>
        <w:t xml:space="preserve">argument must ultimately answer</w:t>
      </w:r>
      <w:r>
        <w:t xml:space="preserve"> </w:t>
      </w:r>
      <w:r>
        <w:t xml:space="preserve">them as written; Roderick’s call at the rewrite. Changed passages</w:t>
      </w:r>
      <w:r>
        <w:t xml:space="preserve"> </w:t>
      </w:r>
      <w:r>
        <w:t xml:space="preserve">PENDING HUMAN REVIEW within the otherwise reviewed draft.</w:t>
      </w:r>
    </w:p>
    <w:bookmarkEnd w:id="113"/>
    <w:bookmarkStart w:id="114" w:name="X11fcdbd8668f2665955caf352ac2c43adbb3cc4"/>
    <w:p>
      <w:pPr>
        <w:pStyle w:val="Heading3"/>
      </w:pPr>
      <w:r>
        <w:t xml:space="preserve">The passages as they now read (located by the terms the note names — the draft carries no in-text marker)</w:t>
      </w:r>
    </w:p>
    <w:p>
      <w:pPr>
        <w:pStyle w:val="FirstParagraph"/>
      </w:pPr>
      <w:r>
        <w:rPr>
          <w:iCs/>
          <w:i/>
        </w:rPr>
        <w:t xml:space="preserve">Draft ends. Word count ~4,700 (memo-limited; Morris,</w:t>
      </w:r>
      <w:r>
        <w:rPr>
          <w:iCs/>
          <w:i/>
        </w:rPr>
        <w:t xml:space="preserve"> </w:t>
      </w:r>
      <w:r>
        <w:rPr>
          <w:iCs/>
          <w:i/>
        </w:rPr>
        <w:t xml:space="preserve">Nicholson/Forey, Jones and the Rhineland monographs will thicken</w:t>
      </w:r>
      <w:r>
        <w:rPr>
          <w:iCs/>
          <w:i/>
        </w:rPr>
        <w:t xml:space="preserve"> </w:t>
      </w:r>
      <w:r>
        <w:rPr>
          <w:iCs/>
          <w:i/>
        </w:rPr>
        <w:t xml:space="preserve">§§II–III at the upgrade pass; the Rhineland baseline is deliberately</w:t>
      </w:r>
      <w:r>
        <w:rPr>
          <w:iCs/>
          <w:i/>
        </w:rPr>
        <w:t xml:space="preserve"> </w:t>
      </w:r>
      <w:r>
        <w:rPr>
          <w:iCs/>
          <w:i/>
        </w:rPr>
        <w:t xml:space="preserve">not asserted per Revisions 2/4). Voice-discipline ledger (per the</w:t>
      </w:r>
      <w:r>
        <w:rPr>
          <w:iCs/>
          <w:i/>
        </w:rPr>
        <w:t xml:space="preserve"> </w:t>
      </w:r>
      <w:r>
        <w:rPr>
          <w:iCs/>
          <w:i/>
        </w:rPr>
        <w:t xml:space="preserve">2026-08-01 doctrine: counted as produced, checked against standing</w:t>
      </w:r>
      <w:r>
        <w:rPr>
          <w:iCs/>
          <w:i/>
        </w:rPr>
        <w:t xml:space="preserve"> </w:t>
      </w:r>
      <w:r>
        <w:rPr>
          <w:iCs/>
          <w:i/>
        </w:rPr>
        <w:t xml:space="preserve">scholarship): coined concept — NONE (new medievalism is Bull’s;</w:t>
      </w:r>
      <w:r>
        <w:rPr>
          <w:iCs/>
          <w:i/>
        </w:rPr>
        <w:t xml:space="preserve"> </w:t>
      </w:r>
      <w:r>
        <w:rPr>
          <w:iCs/>
          <w:i/>
        </w:rPr>
        <w:t xml:space="preserve">durable disorder and zones grises are Cerny’s and Minc’s, credited);</w:t>
      </w:r>
      <w:r>
        <w:rPr>
          <w:iCs/>
          <w:i/>
        </w:rPr>
        <w:t xml:space="preserve"> </w:t>
      </w:r>
      <w:r>
        <w:rPr>
          <w:iCs/>
          <w:i/>
        </w:rPr>
        <w:t xml:space="preserve">vivid image — the map of obligations as</w:t>
      </w:r>
      <w:r>
        <w:rPr>
          <w:iCs/>
          <w:i/>
        </w:rPr>
        <w:t xml:space="preserve"> </w:t>
      </w:r>
      <w:r>
        <w:rPr>
          <w:iCs/>
          <w:i/>
        </w:rPr>
        <w:t xml:space="preserve">“</w:t>
      </w:r>
      <w:r>
        <w:rPr>
          <w:iCs/>
          <w:i/>
        </w:rPr>
        <w:t xml:space="preserve">a page written over many</w:t>
      </w:r>
      <w:r>
        <w:rPr>
          <w:iCs/>
          <w:i/>
        </w:rPr>
        <w:t xml:space="preserve"> </w:t>
      </w:r>
      <w:r>
        <w:rPr>
          <w:iCs/>
          <w:i/>
        </w:rPr>
        <w:t xml:space="preserve">times with nothing fully erased</w:t>
      </w:r>
      <w:r>
        <w:rPr>
          <w:iCs/>
          <w:i/>
        </w:rPr>
        <w:t xml:space="preserve">”</w:t>
      </w:r>
      <w:r>
        <w:rPr>
          <w:iCs/>
          <w:i/>
        </w:rPr>
        <w:t xml:space="preserve"> </w:t>
      </w:r>
      <w:r>
        <w:rPr>
          <w:iCs/>
          <w:i/>
        </w:rPr>
        <w:t xml:space="preserve">(§II); aphoristic line —</w:t>
      </w:r>
      <w:r>
        <w:rPr>
          <w:iCs/>
          <w:i/>
        </w:rPr>
        <w:t xml:space="preserve"> </w:t>
      </w:r>
      <w:r>
        <w:rPr>
          <w:iCs/>
          <w:i/>
        </w:rPr>
        <w:t xml:space="preserve">“</w:t>
      </w:r>
      <w:r>
        <w:rPr>
          <w:iCs/>
          <w:i/>
        </w:rPr>
        <w:t xml:space="preserve">The state</w:t>
      </w:r>
      <w:r>
        <w:rPr>
          <w:iCs/>
          <w:i/>
        </w:rPr>
        <w:t xml:space="preserve"> </w:t>
      </w:r>
      <w:r>
        <w:rPr>
          <w:iCs/>
          <w:i/>
        </w:rPr>
        <w:t xml:space="preserve">is not the default of European politics; it is an episode</w:t>
      </w:r>
      <w:r>
        <w:rPr>
          <w:iCs/>
          <w:i/>
        </w:rPr>
        <w:t xml:space="preserve">”</w:t>
      </w:r>
      <w:r>
        <w:rPr>
          <w:iCs/>
          <w:i/>
        </w:rPr>
        <w:t xml:space="preserve"> </w:t>
      </w:r>
      <w:r>
        <w:rPr>
          <w:iCs/>
          <w:i/>
        </w:rPr>
        <w:t xml:space="preserve">(§VI).</w:t>
      </w:r>
      <w:r>
        <w:rPr>
          <w:iCs/>
          <w:i/>
        </w:rPr>
        <w:t xml:space="preserve"> </w:t>
      </w:r>
      <w:r>
        <w:rPr>
          <w:iCs/>
          <w:i/>
        </w:rPr>
        <w:t xml:space="preserve">No [BRIDGE] passages (the chapter is diagnostic; the medieval</w:t>
      </w:r>
      <w:r>
        <w:rPr>
          <w:iCs/>
          <w:i/>
        </w:rPr>
        <w:t xml:space="preserve"> </w:t>
      </w:r>
      <w:r>
        <w:rPr>
          <w:iCs/>
          <w:i/>
        </w:rPr>
        <w:t xml:space="preserve">material is baseline, not analogy). [GAP] flags: Morris; Nicholson/</w:t>
      </w:r>
      <w:r>
        <w:rPr>
          <w:iCs/>
          <w:i/>
        </w:rPr>
        <w:t xml:space="preserve"> </w:t>
      </w:r>
      <w:r>
        <w:rPr>
          <w:iCs/>
          <w:i/>
        </w:rPr>
        <w:t xml:space="preserve">Forey; Jones (Bull’s caution [GAP] closed 2026-08-03; a [DELTA] on</w:t>
      </w:r>
      <w:r>
        <w:rPr>
          <w:iCs/>
          <w:i/>
        </w:rPr>
        <w:t xml:space="preserve"> </w:t>
      </w:r>
      <w:r>
        <w:rPr>
          <w:iCs/>
          <w:i/>
        </w:rPr>
        <w:t xml:space="preserve">his per-trend tests flagged in §III for the rewrite). Estimates</w:t>
      </w:r>
      <w:r>
        <w:rPr>
          <w:iCs/>
          <w:i/>
        </w:rPr>
        <w:t xml:space="preserve"> </w:t>
      </w:r>
      <w:r>
        <w:rPr>
          <w:iCs/>
          <w:i/>
        </w:rPr>
        <w:t xml:space="preserve">flagged inline</w:t>
      </w:r>
      <w:r>
        <w:rPr>
          <w:iCs/>
          <w:i/>
        </w:rPr>
        <w:t xml:space="preserve"> </w:t>
      </w:r>
      <w:r>
        <w:rPr>
          <w:iCs/>
          <w:i/>
        </w:rPr>
        <w:t xml:space="preserve">(Ocean Tomo; shadow economy; crypto). Does not assume ch06’s</w:t>
      </w:r>
      <w:r>
        <w:rPr>
          <w:iCs/>
          <w:i/>
        </w:rPr>
        <w:t xml:space="preserve"> </w:t>
      </w:r>
      <w:r>
        <w:rPr>
          <w:iCs/>
          <w:i/>
        </w:rPr>
        <w:t xml:space="preserve">findings; promises them (§§I, VI). No claim beyond the reviewed</w:t>
      </w:r>
      <w:r>
        <w:rPr>
          <w:iCs/>
          <w:i/>
        </w:rPr>
        <w:t xml:space="preserve"> </w:t>
      </w:r>
      <w:r>
        <w:rPr>
          <w:iCs/>
          <w:i/>
        </w:rPr>
        <w:t xml:space="preserve">memo.</w:t>
      </w:r>
    </w:p>
    <w:bookmarkEnd w:id="114"/>
    <w:bookmarkEnd w:id="115"/>
    <w:bookmarkStart w:id="118" w:name="X2d611973bf82d14ea588785d7022aca6c92e523"/>
    <w:p>
      <w:pPr>
        <w:pStyle w:val="Heading2"/>
      </w:pPr>
      <w:r>
        <w:t xml:space="preserve">ch06 — Revisions 6 (Rouen/escalade) and 7 (Pollard ch. 1: the gun line; the death sequence) (ch06/draft.md)</w:t>
      </w:r>
    </w:p>
    <w:bookmarkStart w:id="116" w:name="the-revisions-notes-1"/>
    <w:p>
      <w:pPr>
        <w:pStyle w:val="Heading3"/>
      </w:pPr>
      <w:r>
        <w:t xml:space="preserve">The Revisions note(s)</w:t>
      </w:r>
    </w:p>
    <w:p>
      <w:pPr>
        <w:numPr>
          <w:ilvl w:val="0"/>
          <w:numId w:val="1047"/>
        </w:numPr>
      </w:pPr>
      <w:r>
        <w:rPr>
          <w:bCs/>
          <w:b/>
        </w:rPr>
        <w:t xml:space="preserve">(2026-08-03 — a misattribution corrected from Escouchy t. I.)</w:t>
      </w:r>
      <w:r>
        <w:t xml:space="preserve"> </w:t>
      </w:r>
      <w:r>
        <w:t xml:space="preserve">The probe file had assigned Berry p. 295 (the escalade Talbot</w:t>
      </w:r>
      <w:r>
        <w:t xml:space="preserve"> </w:t>
      </w:r>
      <w:r>
        <w:t xml:space="preserve">repels in person) to</w:t>
      </w:r>
      <w:r>
        <w:t xml:space="preserve"> </w:t>
      </w:r>
      <w:r>
        <w:rPr>
          <w:bCs/>
          <w:b/>
        </w:rPr>
        <w:t xml:space="preserve">Harfleur</w:t>
      </w:r>
      <w:r>
        <w:t xml:space="preserve">; Escouchy i. 215–16, now read,</w:t>
      </w:r>
      <w:r>
        <w:t xml:space="preserve"> </w:t>
      </w:r>
      <w:r>
        <w:t xml:space="preserve">narrates the same scene at</w:t>
      </w:r>
      <w:r>
        <w:t xml:space="preserve"> </w:t>
      </w:r>
      <w:r>
        <w:rPr>
          <w:bCs/>
          <w:b/>
        </w:rPr>
        <w:t xml:space="preserve">Rouen</w:t>
      </w:r>
      <w:r>
        <w:t xml:space="preserve"> </w:t>
      </w:r>
      <w:r>
        <w:t xml:space="preserve">— the Porte Beauvoisis, the</w:t>
      </w:r>
      <w:r>
        <w:t xml:space="preserve"> </w:t>
      </w:r>
      <w:r>
        <w:t xml:space="preserve">citizens aiding the attackers, Talbot with his banner, 50–60 lost</w:t>
      </w:r>
      <w:r>
        <w:t xml:space="preserve"> </w:t>
      </w:r>
      <w:r>
        <w:t xml:space="preserve">— and Berry’s page sequence (p. 265 July events; p. 316 the 10</w:t>
      </w:r>
      <w:r>
        <w:t xml:space="preserve"> </w:t>
      </w:r>
      <w:r>
        <w:t xml:space="preserve">November entry) brackets p. 295 inside the Rouen siege, where</w:t>
      </w:r>
      <w:r>
        <w:t xml:space="preserve"> </w:t>
      </w:r>
      <w:r>
        <w:t xml:space="preserve">Contamine’s fn 93 gloss had in fact placed it. §IV’s Harfleur</w:t>
      </w:r>
      <w:r>
        <w:t xml:space="preserve"> </w:t>
      </w:r>
      <w:r>
        <w:t xml:space="preserve">paragraph is corrected (the escalade sentence removed, a bracketed</w:t>
      </w:r>
      <w:r>
        <w:t xml:space="preserve"> </w:t>
      </w:r>
      <w:r>
        <w:t xml:space="preserve">note recording the change); the Rouen paragraph now carries the</w:t>
      </w:r>
      <w:r>
        <w:t xml:space="preserve"> </w:t>
      </w:r>
      <w:r>
        <w:t xml:space="preserve">scene with both chronicle citations. The census point (storming</w:t>
      </w:r>
      <w:r>
        <w:t xml:space="preserve"> </w:t>
      </w:r>
      <w:r>
        <w:t xml:space="preserve">tried, failed, composition followed) survives intact at Rouen.</w:t>
      </w:r>
      <w:r>
        <w:t xml:space="preserve"> </w:t>
      </w:r>
      <w:r>
        <w:t xml:space="preserve">Changed passages PENDING HUMAN REVIEW.</w:t>
      </w:r>
    </w:p>
    <w:p>
      <w:pPr>
        <w:numPr>
          <w:ilvl w:val="0"/>
          <w:numId w:val="1047"/>
        </w:numPr>
      </w:pPr>
      <w:r>
        <w:rPr>
          <w:bCs/>
          <w:b/>
        </w:rPr>
        <w:t xml:space="preserve">(2026-08-04 — Pollard ch. 1 at page level; two §VI passages</w:t>
      </w:r>
      <w:r>
        <w:rPr>
          <w:bCs/>
          <w:b/>
        </w:rPr>
        <w:t xml:space="preserve"> </w:t>
      </w:r>
      <w:r>
        <w:rPr>
          <w:bCs/>
          <w:b/>
        </w:rPr>
        <w:t xml:space="preserve">upgraded.)</w:t>
      </w:r>
      <w:r>
        <w:t xml:space="preserve"> </w:t>
      </w:r>
      <w:r>
        <w:t xml:space="preserve">The gun count now carries Pollard’s figure (</w:t>
      </w:r>
      <w:r>
        <w:t xml:space="preserve">“</w:t>
      </w:r>
      <w:r>
        <w:t xml:space="preserve">a line</w:t>
      </w:r>
      <w:r>
        <w:t xml:space="preserve"> </w:t>
      </w:r>
      <w:r>
        <w:t xml:space="preserve">of 250 guns of all calibres massed wheel to wheel,</w:t>
      </w:r>
      <w:r>
        <w:t xml:space="preserve">”</w:t>
      </w:r>
      <w:r>
        <w:t xml:space="preserve"> </w:t>
      </w:r>
      <w:r>
        <w:t xml:space="preserve">ch. 1, p. 1)</w:t>
      </w:r>
      <w:r>
        <w:t xml:space="preserve"> </w:t>
      </w:r>
      <w:r>
        <w:t xml:space="preserve">inside the reviewed calibration; the death sequence gains the</w:t>
      </w:r>
      <w:r>
        <w:t xml:space="preserve"> </w:t>
      </w:r>
      <w:r>
        <w:t xml:space="preserve">ramparts moment, the standard-bearer, and the axe (weapon stated,</w:t>
      </w:r>
      <w:r>
        <w:t xml:space="preserve"> </w:t>
      </w:r>
      <w:r>
        <w:t xml:space="preserve">killer anonymous — consistent with the reviewed caution). The</w:t>
      </w:r>
      <w:r>
        <w:t xml:space="preserve"> </w:t>
      </w:r>
      <w:r>
        <w:t xml:space="preserve">delivered file is ch. 1 + front matter only; the hostage-oath</w:t>
      </w:r>
      <w:r>
        <w:t xml:space="preserve"> </w:t>
      </w:r>
      <w:r>
        <w:t xml:space="preserve">verification the seize-the-train passage awaits is BLOCKED</w:t>
      </w:r>
      <w:r>
        <w:t xml:space="preserve"> </w:t>
      </w:r>
      <w:r>
        <w:t xml:space="preserve">pending the remaining chapters (memo Revisions 14). Changed</w:t>
      </w:r>
      <w:r>
        <w:t xml:space="preserve"> </w:t>
      </w:r>
      <w:r>
        <w:t xml:space="preserve">passages PENDING HUMAN REVIEW.</w:t>
      </w:r>
    </w:p>
    <w:bookmarkEnd w:id="116"/>
    <w:bookmarkStart w:id="117" w:name="X938a450941036596e8364951c5556ee4db2c4ea"/>
    <w:p>
      <w:pPr>
        <w:pStyle w:val="Heading3"/>
      </w:pPr>
      <w:r>
        <w:t xml:space="preserve">The passages as they now read (located by the terms the note names — the draft carries no in-text marker)</w:t>
      </w:r>
    </w:p>
    <w:p>
      <w:pPr>
        <w:pStyle w:val="FirstParagraph"/>
      </w:pPr>
      <w:r>
        <w:t xml:space="preserve">The developed castle of high-medieval Europe was optimised against the</w:t>
      </w:r>
      <w:r>
        <w:t xml:space="preserve"> </w:t>
      </w:r>
      <w:r>
        <w:t xml:space="preserve">two threats its builders knew: the man on the ladder and the stone-</w:t>
      </w:r>
      <w:r>
        <w:t xml:space="preserve"> </w:t>
      </w:r>
      <w:r>
        <w:t xml:space="preserve">throwing engine. Against both, height was the governing virtue — a tall</w:t>
      </w:r>
      <w:r>
        <w:t xml:space="preserve"> </w:t>
      </w:r>
      <w:r>
        <w:t xml:space="preserve">wall defeated escalade and out-ranged the trebuchet’s flat trajectories —</w:t>
      </w:r>
      <w:r>
        <w:t xml:space="preserve"> </w:t>
      </w:r>
      <w:r>
        <w:t xml:space="preserve">and height imposed thinness, because a wall both tall and thick was</w:t>
      </w:r>
      <w:r>
        <w:t xml:space="preserve"> </w:t>
      </w:r>
      <w:r>
        <w:t xml:space="preserve">ruinously expensive in stone and labour.</w:t>
      </w:r>
      <w:r>
        <w:t xml:space="preserve"> </w:t>
      </w:r>
      <w:r>
        <w:t xml:space="preserve">“</w:t>
      </w:r>
      <w:r>
        <w:t xml:space="preserve">Tall and thin</w:t>
      </w:r>
      <w:r>
        <w:t xml:space="preserve">”</w:t>
      </w:r>
      <w:r>
        <w:t xml:space="preserve"> </w:t>
      </w:r>
      <w:r>
        <w:t xml:space="preserve">was therefore</w:t>
      </w:r>
      <w:r>
        <w:t xml:space="preserve"> </w:t>
      </w:r>
      <w:r>
        <w:t xml:space="preserve">not a defect but a design, and for three centuries it worked. The</w:t>
      </w:r>
      <w:r>
        <w:t xml:space="preserve"> </w:t>
      </w:r>
      <w:r>
        <w:t xml:space="preserve">besieger’s realistic options against a competently held first-rate</w:t>
      </w:r>
      <w:r>
        <w:t xml:space="preserve"> </w:t>
      </w:r>
      <w:r>
        <w:t xml:space="preserve">fortress reduced, in practice, to one: starvation. As English</w:t>
      </w:r>
      <w:r>
        <w:t xml:space="preserve"> </w:t>
      </w:r>
      <w:r>
        <w:t xml:space="preserve">Heritage’s survey of siege practice puts it,</w:t>
      </w:r>
      <w:r>
        <w:t xml:space="preserve"> </w:t>
      </w:r>
      <w:r>
        <w:t xml:space="preserve">“</w:t>
      </w:r>
      <w:r>
        <w:t xml:space="preserve">medieval sieges were</w:t>
      </w:r>
      <w:r>
        <w:t xml:space="preserve"> </w:t>
      </w:r>
      <w:r>
        <w:t xml:space="preserve">settled more often by treachery, starvation, or disease than by</w:t>
      </w:r>
      <w:r>
        <w:t xml:space="preserve"> </w:t>
      </w:r>
      <w:r>
        <w:t xml:space="preserve">breached walls</w:t>
      </w:r>
      <w:r>
        <w:t xml:space="preserve">”</w:t>
      </w:r>
      <w:r>
        <w:t xml:space="preserve"> </w:t>
      </w:r>
      <w:r>
        <w:t xml:space="preserve">[GAP: T3 attribution; upgrade the siege-survey</w:t>
      </w:r>
      <w:r>
        <w:t xml:space="preserve"> </w:t>
      </w:r>
      <w:r>
        <w:t xml:space="preserve">authority to scholarly level before print]; the type-case, Kenilworth</w:t>
      </w:r>
      <w:r>
        <w:t xml:space="preserve"> </w:t>
      </w:r>
      <w:r>
        <w:t xml:space="preserve">in 1266, took roughly six months of blockade.</w:t>
      </w:r>
      <w:r>
        <w:t xml:space="preserve"> </w:t>
      </w:r>
      <w:r>
        <w:t xml:space="preserve">Investment on that timescale was itself a fiscal and political feat —</w:t>
      </w:r>
      <w:r>
        <w:t xml:space="preserve"> </w:t>
      </w:r>
      <w:r>
        <w:t xml:space="preserve">the besieging army had to be fed, paid and held together longer than the</w:t>
      </w:r>
      <w:r>
        <w:t xml:space="preserve"> </w:t>
      </w:r>
      <w:r>
        <w:t xml:space="preserve">garrison’s stores lasted, while disease worked on the camp and relief</w:t>
      </w:r>
      <w:r>
        <w:t xml:space="preserve"> </w:t>
      </w:r>
      <w:r>
        <w:t xml:space="preserve">worked on the calendar.</w:t>
      </w:r>
    </w:p>
    <w:p>
      <w:pPr>
        <w:pStyle w:val="BodyText"/>
      </w:pPr>
      <w:r>
        <w:t xml:space="preserve">Harfleur was where the English war in Normandy had begun. In August and</w:t>
      </w:r>
      <w:r>
        <w:t xml:space="preserve"> </w:t>
      </w:r>
      <w:r>
        <w:t xml:space="preserve">September 1415 Henry V besieged it for some five weeks — by the usual</w:t>
      </w:r>
      <w:r>
        <w:t xml:space="preserve"> </w:t>
      </w:r>
      <w:r>
        <w:t xml:space="preserve">account the first major English siege in which gunpowder artillery</w:t>
      </w:r>
      <w:r>
        <w:t xml:space="preserve"> </w:t>
      </w:r>
      <w:r>
        <w:t xml:space="preserve">played a serious part, and hard-won at that; the</w:t>
      </w:r>
      <w:r>
        <w:t xml:space="preserve"> </w:t>
      </w:r>
      <w:r>
        <w:t xml:space="preserve">town’s resistance cost him a sick army and shaped the desperate march</w:t>
      </w:r>
      <w:r>
        <w:t xml:space="preserve"> </w:t>
      </w:r>
      <w:r>
        <w:t xml:space="preserve">that ended, by accident, at Agincourt. When the English themselves had</w:t>
      </w:r>
      <w:r>
        <w:t xml:space="preserve"> </w:t>
      </w:r>
      <w:r>
        <w:t xml:space="preserve">to retake Harfleur in 1440, the operation took somewhere between three</w:t>
      </w:r>
      <w:r>
        <w:t xml:space="preserve"> </w:t>
      </w:r>
      <w:r>
        <w:t xml:space="preserve">and six months, depending on which chronicler one credits (Rogers 1993:</w:t>
      </w:r>
      <w:r>
        <w:t xml:space="preserve"> </w:t>
      </w:r>
      <w:r>
        <w:t xml:space="preserve">fn 103). In December 1449 the Bureau train arrived before the same</w:t>
      </w:r>
      <w:r>
        <w:t xml:space="preserve"> </w:t>
      </w:r>
      <w:r>
        <w:t xml:space="preserve">town, emplaced sixteen large bombards, and battered it for seventeen</w:t>
      </w:r>
      <w:r>
        <w:t xml:space="preserve"> </w:t>
      </w:r>
      <w:r>
        <w:t xml:space="preserve">days, whereupon the garrison made terms; the Somerset list dates the</w:t>
      </w:r>
      <w:r>
        <w:t xml:space="preserve"> </w:t>
      </w:r>
      <w:r>
        <w:t xml:space="preserve">surrender</w:t>
      </w:r>
      <w:r>
        <w:t xml:space="preserve"> </w:t>
      </w:r>
      <w:r>
        <w:t xml:space="preserve">“</w:t>
      </w:r>
      <w:r>
        <w:t xml:space="preserve">the first day of the year,</w:t>
      </w:r>
      <w:r>
        <w:t xml:space="preserve">”</w:t>
      </w:r>
      <w:r>
        <w:t xml:space="preserve"> </w:t>
      </w:r>
      <w:r>
        <w:t xml:space="preserve">1 January 1450 (Rogers 1993:</w:t>
      </w:r>
      <w:r>
        <w:t xml:space="preserve"> </w:t>
      </w:r>
      <w:r>
        <w:t xml:space="preserve">265–66, citing Chartier ii. 178–79; Stevenson 1864: II.ii). Five weeks</w:t>
      </w:r>
      <w:r>
        <w:t xml:space="preserve"> </w:t>
      </w:r>
      <w:r>
        <w:t xml:space="preserve">against the town’s stores and disease in 1415; a season or more in</w:t>
      </w:r>
      <w:r>
        <w:t xml:space="preserve"> </w:t>
      </w:r>
      <w:r>
        <w:t xml:space="preserve">1440; seventeen days of bombardment in 1449. Same walls. The</w:t>
      </w:r>
      <w:r>
        <w:t xml:space="preserve"> </w:t>
      </w:r>
      <w:r>
        <w:t xml:space="preserve">seventeen-day figure, note, stands without any storming</w:t>
      </w:r>
      <w:r>
        <w:t xml:space="preserve"> </w:t>
      </w:r>
      <w:r>
        <w:t xml:space="preserve">counter-factual: the town fell to the guns and the treaty, and to</w:t>
      </w:r>
      <w:r>
        <w:t xml:space="preserve"> </w:t>
      </w:r>
      <w:r>
        <w:t xml:space="preserve">nothing else. (An earlier state of this draft placed a failed French</w:t>
      </w:r>
      <w:r>
        <w:t xml:space="preserve"> </w:t>
      </w:r>
      <w:r>
        <w:t xml:space="preserve">escalade here on the Berry Herald’s authority; first-hand reading of</w:t>
      </w:r>
      <w:r>
        <w:t xml:space="preserve"> </w:t>
      </w:r>
      <w:r>
        <w:t xml:space="preserve">Escouchy has since shown that scene — Talbot in person, banner beside</w:t>
      </w:r>
      <w:r>
        <w:t xml:space="preserve"> </w:t>
      </w:r>
      <w:r>
        <w:t xml:space="preserve">him, driving the attackers from the wall — to belong to Rouen’s</w:t>
      </w:r>
      <w:r>
        <w:t xml:space="preserve"> </w:t>
      </w:r>
      <w:r>
        <w:t xml:space="preserve">repelled assault of 16 October, where this draft now records it; the</w:t>
      </w:r>
      <w:r>
        <w:t xml:space="preserve"> </w:t>
      </w:r>
      <w:r>
        <w:t xml:space="preserve">reattribution is logged in the evidence file, and the census point</w:t>
      </w:r>
      <w:r>
        <w:t xml:space="preserve"> </w:t>
      </w:r>
      <w:r>
        <w:t xml:space="preserve">survives at Rouen: storming was tried, failed, and the city fell by</w:t>
      </w:r>
      <w:r>
        <w:t xml:space="preserve"> </w:t>
      </w:r>
      <w:r>
        <w:t xml:space="preserve">composition.)</w:t>
      </w:r>
    </w:p>
    <w:p>
      <w:pPr>
        <w:pStyle w:val="BodyText"/>
      </w:pPr>
      <w:r>
        <w:t xml:space="preserve">The second says: Normandy fell politically — the gates were opened from</w:t>
      </w:r>
      <w:r>
        <w:t xml:space="preserve"> </w:t>
      </w:r>
      <w:r>
        <w:t xml:space="preserve">inside. Curry again:</w:t>
      </w:r>
      <w:r>
        <w:t xml:space="preserve"> </w:t>
      </w:r>
      <w:r>
        <w:t xml:space="preserve">“</w:t>
      </w:r>
      <w:r>
        <w:t xml:space="preserve">many surrenders were forced on the English by the</w:t>
      </w:r>
      <w:r>
        <w:t xml:space="preserve"> </w:t>
      </w:r>
      <w:r>
        <w:t xml:space="preserve">local populations… the fall of the major places led to a domino effect</w:t>
      </w:r>
      <w:r>
        <w:t xml:space="preserve">”</w:t>
      </w:r>
      <w:r>
        <w:t xml:space="preserve"> </w:t>
      </w:r>
      <w:r>
        <w:t xml:space="preserve">(Curry 2010: 187). Substantially conceded — and absorbed, because the</w:t>
      </w:r>
      <w:r>
        <w:t xml:space="preserve"> </w:t>
      </w:r>
      <w:r>
        <w:t xml:space="preserve">reputational mechanism</w:t>
      </w:r>
      <w:r>
        <w:t xml:space="preserve"> </w:t>
      </w:r>
      <w:r>
        <w:rPr>
          <w:iCs/>
          <w:i/>
        </w:rPr>
        <w:t xml:space="preserve">requires</w:t>
      </w:r>
      <w:r>
        <w:t xml:space="preserve"> </w:t>
      </w:r>
      <w:r>
        <w:t xml:space="preserve">a transmission belt. A threat</w:t>
      </w:r>
      <w:r>
        <w:t xml:space="preserve"> </w:t>
      </w:r>
      <w:r>
        <w:t xml:space="preserve">collapses resistance only if the threatened believe it, and the belief</w:t>
      </w:r>
      <w:r>
        <w:t xml:space="preserve"> </w:t>
      </w:r>
      <w:r>
        <w:t xml:space="preserve">ran through Norman townsmen who could do the arithmetic as well as any</w:t>
      </w:r>
      <w:r>
        <w:t xml:space="preserve"> </w:t>
      </w:r>
      <w:r>
        <w:t xml:space="preserve">captain: why endure a bombardment, and risk the sack that the law of</w:t>
      </w:r>
      <w:r>
        <w:t xml:space="preserve"> </w:t>
      </w:r>
      <w:r>
        <w:t xml:space="preserve">war licensed after a breach, for a garrison that could not hold once</w:t>
      </w:r>
      <w:r>
        <w:t xml:space="preserve"> </w:t>
      </w:r>
      <w:r>
        <w:t xml:space="preserve">the guns arrived? The politics and the ballistics were not rival</w:t>
      </w:r>
      <w:r>
        <w:t xml:space="preserve"> </w:t>
      </w:r>
      <w:r>
        <w:t xml:space="preserve">causes; the politics was the medium through which the ballistics</w:t>
      </w:r>
      <w:r>
        <w:t xml:space="preserve"> </w:t>
      </w:r>
      <w:r>
        <w:t xml:space="preserve">propagated. And the campaign itself supplies the discriminating test.</w:t>
      </w:r>
      <w:r>
        <w:t xml:space="preserve"> </w:t>
      </w:r>
      <w:r>
        <w:t xml:space="preserve">If popular disaffection were the sufficient cause, the reconquest</w:t>
      </w:r>
      <w:r>
        <w:t xml:space="preserve"> </w:t>
      </w:r>
      <w:r>
        <w:t xml:space="preserve">should have stalled where the population was loyal. In 1451 the train</w:t>
      </w:r>
      <w:r>
        <w:t xml:space="preserve"> </w:t>
      </w:r>
      <w:r>
        <w:t xml:space="preserve">moved into Gascony — English for three centuries, and, in Rogers’s</w:t>
      </w:r>
      <w:r>
        <w:t xml:space="preserve"> </w:t>
      </w:r>
      <w:r>
        <w:t xml:space="preserve">words,</w:t>
      </w:r>
      <w:r>
        <w:t xml:space="preserve"> </w:t>
      </w:r>
      <w:r>
        <w:t xml:space="preserve">“</w:t>
      </w:r>
      <w:r>
        <w:t xml:space="preserve">despite the deeply ingrained pro-English sympathies of the</w:t>
      </w:r>
      <w:r>
        <w:t xml:space="preserve"> </w:t>
      </w:r>
      <w:r>
        <w:t xml:space="preserve">inhabitants,</w:t>
      </w:r>
      <w:r>
        <w:t xml:space="preserve">”</w:t>
      </w:r>
      <w:r>
        <w:t xml:space="preserve"> </w:t>
      </w:r>
      <w:r>
        <w:t xml:space="preserve">all of Guienne fell rapidly (Rogers 1993: 266). Fronsac,</w:t>
      </w:r>
      <w:r>
        <w:t xml:space="preserve"> </w:t>
      </w:r>
      <w:r>
        <w:t xml:space="preserve">“</w:t>
      </w:r>
      <w:r>
        <w:t xml:space="preserve">la clef de la Guyenne,</w:t>
      </w:r>
      <w:r>
        <w:t xml:space="preserve">”</w:t>
      </w:r>
      <w:r>
        <w:t xml:space="preserve"> </w:t>
      </w:r>
      <w:r>
        <w:t xml:space="preserve">the strongest English fortress in the duchy,</w:t>
      </w:r>
      <w:r>
        <w:t xml:space="preserve"> </w:t>
      </w:r>
      <w:r>
        <w:t xml:space="preserve">surrendered by composition on 15 June 1451 without an assault; Blaye</w:t>
      </w:r>
      <w:r>
        <w:t xml:space="preserve"> </w:t>
      </w:r>
      <w:r>
        <w:t xml:space="preserve">went in five days; Bordeaux itself treated on 12 June and received</w:t>
      </w:r>
      <w:r>
        <w:t xml:space="preserve"> </w:t>
      </w:r>
      <w:r>
        <w:t xml:space="preserve">Dunois’s army — Jean Bureau riding in the entry — on 30 June, seven</w:t>
      </w:r>
      <w:r>
        <w:t xml:space="preserve"> </w:t>
      </w:r>
      <w:r>
        <w:t xml:space="preserve">thousand three hundred and twenty French troops in the procession</w:t>
      </w:r>
      <w:r>
        <w:t xml:space="preserve"> </w:t>
      </w:r>
      <w:r>
        <w:t xml:space="preserve">(Vale 1969, citing Escouchy i. 356–58). The texture of the Gascon</w:t>
      </w:r>
      <w:r>
        <w:t xml:space="preserve"> </w:t>
      </w:r>
      <w:r>
        <w:t xml:space="preserve">capitulations is worth a moment, because it shows the composition</w:t>
      </w:r>
      <w:r>
        <w:t xml:space="preserve"> </w:t>
      </w:r>
      <w:r>
        <w:t xml:space="preserve">system operating as a market whose prices everyone now knew. Blaye</w:t>
      </w:r>
      <w:r>
        <w:t xml:space="preserve"> </w:t>
      </w:r>
      <w:r>
        <w:t xml:space="preserve">and Bourg —</w:t>
      </w:r>
      <w:r>
        <w:t xml:space="preserve"> </w:t>
      </w:r>
      <w:r>
        <w:t xml:space="preserve">“</w:t>
      </w:r>
      <w:r>
        <w:t xml:space="preserve">the keys to Bordeaux,</w:t>
      </w:r>
      <w:r>
        <w:t xml:space="preserve">”</w:t>
      </w:r>
      <w:r>
        <w:t xml:space="preserve"> </w:t>
      </w:r>
      <w:r>
        <w:t xml:space="preserve">in the contemporary judgement</w:t>
      </w:r>
      <w:r>
        <w:t xml:space="preserve"> </w:t>
      </w:r>
      <w:r>
        <w:t xml:space="preserve">Vale reports —</w:t>
      </w:r>
      <w:r>
        <w:t xml:space="preserve"> </w:t>
      </w:r>
      <w:r>
        <w:t xml:space="preserve">“</w:t>
      </w:r>
      <w:r>
        <w:t xml:space="preserve">surrendered cravenly to Dunois,</w:t>
      </w:r>
      <w:r>
        <w:t xml:space="preserve">”</w:t>
      </w:r>
      <w:r>
        <w:t xml:space="preserve"> </w:t>
      </w:r>
      <w:r>
        <w:t xml:space="preserve">and the terms their</w:t>
      </w:r>
      <w:r>
        <w:t xml:space="preserve"> </w:t>
      </w:r>
      <w:r>
        <w:t xml:space="preserve">defenders extracted included pensions from Charles VII for, among</w:t>
      </w:r>
      <w:r>
        <w:t xml:space="preserve"> </w:t>
      </w:r>
      <w:r>
        <w:t xml:space="preserve">others, Gadifer Shorthose, the</w:t>
      </w:r>
      <w:r>
        <w:t xml:space="preserve"> </w:t>
      </w:r>
      <w:r>
        <w:rPr>
          <w:iCs/>
          <w:i/>
        </w:rPr>
        <w:t xml:space="preserve">English</w:t>
      </w:r>
      <w:r>
        <w:t xml:space="preserve"> </w:t>
      </w:r>
      <w:r>
        <w:t xml:space="preserve">mayor of Bordeaux, with his</w:t>
      </w:r>
      <w:r>
        <w:t xml:space="preserve"> </w:t>
      </w:r>
      <w:r>
        <w:t xml:space="preserve">sub-mayor and three jurats (Vale 1969). Bayonne, the second city of</w:t>
      </w:r>
      <w:r>
        <w:t xml:space="preserve"> </w:t>
      </w:r>
      <w:r>
        <w:t xml:space="preserve">the English south-west, held two weeks in August. The first Bordeaux</w:t>
      </w:r>
      <w:r>
        <w:t xml:space="preserve"> </w:t>
      </w:r>
      <w:r>
        <w:t xml:space="preserve">settlement itself was studiedly generous — privileges confirmed, the</w:t>
      </w:r>
      <w:r>
        <w:t xml:space="preserve"> </w:t>
      </w:r>
      <w:r>
        <w:t xml:space="preserve">city spared the taxes of the French interior, judicial and minting</w:t>
      </w:r>
      <w:r>
        <w:t xml:space="preserve"> </w:t>
      </w:r>
      <w:r>
        <w:t xml:space="preserve">concessions in the tradition’s account [GAP: the 1451 terms are</w:t>
      </w:r>
      <w:r>
        <w:t xml:space="preserve"> </w:t>
      </w:r>
      <w:r>
        <w:t xml:space="preserve">carried at tertiary level; upgrade to Vale’s</w:t>
      </w:r>
      <w:r>
        <w:t xml:space="preserve"> </w:t>
      </w:r>
      <w:r>
        <w:rPr>
          <w:iCs/>
          <w:i/>
        </w:rPr>
        <w:t xml:space="preserve">English Gascony</w:t>
      </w:r>
      <w:r>
        <w:t xml:space="preserve"> </w:t>
      </w:r>
      <w:r>
        <w:t xml:space="preserve">when</w:t>
      </w:r>
      <w:r>
        <w:t xml:space="preserve"> </w:t>
      </w:r>
      <w:r>
        <w:t xml:space="preserve">retrieved] — because in 1451 the crown was buying a province’s</w:t>
      </w:r>
      <w:r>
        <w:t xml:space="preserve"> </w:t>
      </w:r>
      <w:r>
        <w:t xml:space="preserve">acquiescence, and knew the difference between a price worth paying</w:t>
      </w:r>
      <w:r>
        <w:t xml:space="preserve"> </w:t>
      </w:r>
      <w:r>
        <w:t xml:space="preserve">and a precedent worth setting. Loyal populations, hostile</w:t>
      </w:r>
      <w:r>
        <w:t xml:space="preserve"> </w:t>
      </w:r>
      <w:r>
        <w:t xml:space="preserve">politics, same cascade — faster, if anything. And the counter-</w:t>
      </w:r>
      <w:r>
        <w:t xml:space="preserve"> </w:t>
      </w:r>
      <w:r>
        <w:t xml:space="preserve">experiment ran the following year: in October 1452 Talbot appeared</w:t>
      </w:r>
      <w:r>
        <w:t xml:space="preserve"> </w:t>
      </w:r>
      <w:r>
        <w:t xml:space="preserve">before Bordeaux with no siege train at all, the city rose for its old</w:t>
      </w:r>
      <w:r>
        <w:t xml:space="preserve"> </w:t>
      </w:r>
      <w:r>
        <w:t xml:space="preserve">allegiance, and a gate was opened to him on 20 October. Politics</w:t>
      </w:r>
      <w:r>
        <w:t xml:space="preserve"> </w:t>
      </w:r>
      <w:r>
        <w:t xml:space="preserve">alone, it turns out, could open gates. What politics alone could not</w:t>
      </w:r>
      <w:r>
        <w:t xml:space="preserve"> </w:t>
      </w:r>
      <w:r>
        <w:t xml:space="preserve">do — as 1453 would demonstrate — was hold walls against the train.</w:t>
      </w:r>
      <w:r>
        <w:t xml:space="preserve"> </w:t>
      </w:r>
      <w:r>
        <w:t xml:space="preserve">The two Bordeaux reversals, twenty months apart, are as close to a</w:t>
      </w:r>
      <w:r>
        <w:t xml:space="preserve"> </w:t>
      </w:r>
      <w:r>
        <w:t xml:space="preserve">controlled experiment as the fifteenth century offers: the political</w:t>
      </w:r>
      <w:r>
        <w:t xml:space="preserve"> </w:t>
      </w:r>
      <w:r>
        <w:t xml:space="preserve">variable operating without the train in 1452, the train operating</w:t>
      </w:r>
      <w:r>
        <w:t xml:space="preserve"> </w:t>
      </w:r>
      <w:r>
        <w:t xml:space="preserve">against the political variable in 1449–51 and 1453. Each fell to the</w:t>
      </w:r>
      <w:r>
        <w:t xml:space="preserve"> </w:t>
      </w:r>
      <w:r>
        <w:t xml:space="preserve">other’s weapon exactly once.</w:t>
      </w:r>
    </w:p>
    <w:p>
      <w:pPr>
        <w:pStyle w:val="BodyText"/>
      </w:pPr>
      <w:r>
        <w:t xml:space="preserve">The defenders</w:t>
      </w:r>
      <w:r>
        <w:t xml:space="preserve"> </w:t>
      </w:r>
      <w:r>
        <w:t xml:space="preserve">“</w:t>
      </w:r>
      <w:r>
        <w:t xml:space="preserve">afusterrent leur artillerie au lez devers dont véoient</w:t>
      </w:r>
      <w:r>
        <w:t xml:space="preserve"> </w:t>
      </w:r>
      <w:r>
        <w:t xml:space="preserve">venir ledit Talbot</w:t>
      </w:r>
      <w:r>
        <w:t xml:space="preserve">”</w:t>
      </w:r>
      <w:r>
        <w:t xml:space="preserve"> </w:t>
      </w:r>
      <w:r>
        <w:t xml:space="preserve">— trained their guns on the side from which they</w:t>
      </w:r>
      <w:r>
        <w:t xml:space="preserve"> </w:t>
      </w:r>
      <w:r>
        <w:t xml:space="preserve">saw him coming [TRANS. CLAUDE] (Escouchy, ii. 39). The Anglo-Gascon</w:t>
      </w:r>
      <w:r>
        <w:t xml:space="preserve"> </w:t>
      </w:r>
      <w:r>
        <w:t xml:space="preserve">army attacked the park frontally, banners forward, trumpets sounding,</w:t>
      </w:r>
      <w:r>
        <w:t xml:space="preserve"> </w:t>
      </w:r>
      <w:r>
        <w:t xml:space="preserve">the men crying</w:t>
      </w:r>
      <w:r>
        <w:t xml:space="preserve"> </w:t>
      </w:r>
      <w:r>
        <w:t xml:space="preserve">“</w:t>
      </w:r>
      <w:r>
        <w:t xml:space="preserve">Talbot! Talbot! Saint-George!</w:t>
      </w:r>
      <w:r>
        <w:t xml:space="preserve">”</w:t>
      </w:r>
      <w:r>
        <w:t xml:space="preserve"> </w:t>
      </w:r>
      <w:r>
        <w:t xml:space="preserve">— a feudal host doing</w:t>
      </w:r>
      <w:r>
        <w:t xml:space="preserve"> </w:t>
      </w:r>
      <w:r>
        <w:t xml:space="preserve">the bravest thing it knew how to do, into massed artillery firing from</w:t>
      </w:r>
      <w:r>
        <w:t xml:space="preserve"> </w:t>
      </w:r>
      <w:r>
        <w:t xml:space="preserve">prepared positions at close range. It was destroyed in an afternoon.</w:t>
      </w:r>
      <w:r>
        <w:t xml:space="preserve"> </w:t>
      </w:r>
      <w:r>
        <w:t xml:space="preserve">The assault was not</w:t>
      </w:r>
      <w:r>
        <w:t xml:space="preserve"> </w:t>
      </w:r>
      <w:r>
        <w:t xml:space="preserve">instantly hopeless — Pollard’s reconstruction has the attackers</w:t>
      </w:r>
      <w:r>
        <w:t xml:space="preserve"> </w:t>
      </w:r>
      <w:r>
        <w:t xml:space="preserve">establish themselves</w:t>
      </w:r>
      <w:r>
        <w:t xml:space="preserve"> </w:t>
      </w:r>
      <w:r>
        <w:t xml:space="preserve">“</w:t>
      </w:r>
      <w:r>
        <w:t xml:space="preserve">for a moment on the ramparts,</w:t>
      </w:r>
      <w:r>
        <w:t xml:space="preserve">”</w:t>
      </w:r>
      <w:r>
        <w:t xml:space="preserve"> </w:t>
      </w:r>
      <w:r>
        <w:t xml:space="preserve">where the</w:t>
      </w:r>
      <w:r>
        <w:t xml:space="preserve"> </w:t>
      </w:r>
      <w:r>
        <w:t xml:space="preserve">standard-bearer fell planting the standard — and then the</w:t>
      </w:r>
      <w:r>
        <w:t xml:space="preserve"> </w:t>
      </w:r>
      <w:r>
        <w:t xml:space="preserve">counter-attack broke them. Talbot’s horse was brought down; he was</w:t>
      </w:r>
      <w:r>
        <w:t xml:space="preserve"> </w:t>
      </w:r>
      <w:r>
        <w:t xml:space="preserve">killed on the ground, his skull, in Pollard’s account, smashed by an</w:t>
      </w:r>
      <w:r>
        <w:t xml:space="preserve"> </w:t>
      </w:r>
      <w:r>
        <w:t xml:space="preserve">axe — the weapon known, the hand anonymous (Pollard, ch. 1, p. 1);</w:t>
      </w:r>
      <w:r>
        <w:t xml:space="preserve"> </w:t>
      </w:r>
      <w:r>
        <w:t xml:space="preserve">his son Lord Lisle died with him. The town of Castillon</w:t>
      </w:r>
      <w:r>
        <w:t xml:space="preserve"> </w:t>
      </w:r>
      <w:r>
        <w:t xml:space="preserve">surrendered two days later under the continuing fire. What died on the</w:t>
      </w:r>
      <w:r>
        <w:t xml:space="preserve"> </w:t>
      </w:r>
      <w:r>
        <w:t xml:space="preserve">field is easy to name and easier to over-name: not chivalry, which had</w:t>
      </w:r>
      <w:r>
        <w:t xml:space="preserve"> </w:t>
      </w:r>
      <w:r>
        <w:t xml:space="preserve">been dying of other causes for a century, but the assumption that</w:t>
      </w:r>
      <w:r>
        <w:t xml:space="preserve"> </w:t>
      </w:r>
      <w:r>
        <w:t xml:space="preserve">valour could still, on its own, carry a decision. The last great</w:t>
      </w:r>
      <w:r>
        <w:t xml:space="preserve"> </w:t>
      </w:r>
      <w:r>
        <w:t xml:space="preserve">captain of the old</w:t>
      </w:r>
      <w:r>
        <w:t xml:space="preserve"> </w:t>
      </w:r>
      <w:r>
        <w:t xml:space="preserve">war charged the first great instrument of the new one, on the advice</w:t>
      </w:r>
      <w:r>
        <w:t xml:space="preserve"> </w:t>
      </w:r>
      <w:r>
        <w:t xml:space="preserve">of a false report and against the advice of a true one, and the</w:t>
      </w:r>
      <w:r>
        <w:t xml:space="preserve"> </w:t>
      </w:r>
      <w:r>
        <w:t xml:space="preserve">instrument did not care.</w:t>
      </w:r>
    </w:p>
    <w:p>
      <w:pPr>
        <w:pStyle w:val="BodyText"/>
      </w:pPr>
      <w:r>
        <w:t xml:space="preserve">The chapter’s answer is to concede the premise and keep the</w:t>
      </w:r>
      <w:r>
        <w:t xml:space="preserve"> </w:t>
      </w:r>
      <w:r>
        <w:t xml:space="preserve">conclusion. The infantry revolution was real, and it was</w:t>
      </w:r>
      <w:r>
        <w:t xml:space="preserve"> </w:t>
      </w:r>
      <w:r>
        <w:t xml:space="preserve">constitutionally</w:t>
      </w:r>
      <w:r>
        <w:t xml:space="preserve"> </w:t>
      </w:r>
      <w:r>
        <w:rPr>
          <w:iCs/>
          <w:i/>
        </w:rPr>
        <w:t xml:space="preserve">dispersive</w:t>
      </w:r>
      <w:r>
        <w:t xml:space="preserve"> </w:t>
      </w:r>
      <w:r>
        <w:t xml:space="preserve">— which is exactly why Part I’s medieval</w:t>
      </w:r>
      <w:r>
        <w:t xml:space="preserve"> </w:t>
      </w:r>
      <w:r>
        <w:t xml:space="preserve">order looked as it did. Disciplined infantry could be raised by</w:t>
      </w:r>
      <w:r>
        <w:t xml:space="preserve"> </w:t>
      </w:r>
      <w:r>
        <w:t xml:space="preserve">anybody with a valley or a town: the Swiss cantons raised it, the</w:t>
      </w:r>
      <w:r>
        <w:t xml:space="preserve"> </w:t>
      </w:r>
      <w:r>
        <w:t xml:space="preserve">English indentured retinue packaged it, the Italian</w:t>
      </w:r>
      <w:r>
        <w:t xml:space="preserve"> </w:t>
      </w:r>
      <w:r>
        <w:rPr>
          <w:iCs/>
          <w:i/>
        </w:rPr>
        <w:t xml:space="preserve">condottieri</w:t>
      </w:r>
      <w:r>
        <w:t xml:space="preserve"> </w:t>
      </w:r>
      <w:r>
        <w:t xml:space="preserve">companies sold it on the open market — this is Chapters 3 and 4’s</w:t>
      </w:r>
      <w:r>
        <w:t xml:space="preserve"> </w:t>
      </w:r>
      <w:r>
        <w:t xml:space="preserve">material, and it is precisely the military underpinning of the</w:t>
      </w:r>
      <w:r>
        <w:t xml:space="preserve"> </w:t>
      </w:r>
      <w:r>
        <w:t xml:space="preserve">dispersal the book began with. A capability any subject can raise</w:t>
      </w:r>
      <w:r>
        <w:t xml:space="preserve"> </w:t>
      </w:r>
      <w:r>
        <w:t xml:space="preserve">does not concentrate sovereignty. The infantry revolution is</w:t>
      </w:r>
      <w:r>
        <w:t xml:space="preserve"> </w:t>
      </w:r>
      <w:r>
        <w:t xml:space="preserve">therefore not a rival explanation of the consolidation; it is part of</w:t>
      </w:r>
      <w:r>
        <w:t xml:space="preserve"> </w:t>
      </w:r>
      <w:r>
        <w:t xml:space="preserve">what the consolidation had to overcome — the problem to which the</w:t>
      </w:r>
      <w:r>
        <w:t xml:space="preserve"> </w:t>
      </w:r>
      <w:r>
        <w:t xml:space="preserve">artillery revolution was the answer. The distinction that carries the</w:t>
      </w:r>
      <w:r>
        <w:t xml:space="preserve"> </w:t>
      </w:r>
      <w:r>
        <w:t xml:space="preserve">argument is affordability, and the 1442 accounts have already given</w:t>
      </w:r>
      <w:r>
        <w:t xml:space="preserve"> </w:t>
      </w:r>
      <w:r>
        <w:t xml:space="preserve">it a number: a first-rate siege train cost more than a government’s</w:t>
      </w:r>
      <w:r>
        <w:t xml:space="preserve"> </w:t>
      </w:r>
      <w:r>
        <w:t xml:space="preserve">entire traditional arsenal, and the cost recurred — powder, wages,</w:t>
      </w:r>
      <w:r>
        <w:t xml:space="preserve"> </w:t>
      </w:r>
      <w:r>
        <w:t xml:space="preserve">carriage, foundry — in a way no campaign-season improvisation could</w:t>
      </w:r>
      <w:r>
        <w:t xml:space="preserve"> </w:t>
      </w:r>
      <w:r>
        <w:t xml:space="preserve">meet. Infantry was a capability; the train was an</w:t>
      </w:r>
      <w:r>
        <w:t xml:space="preserve"> </w:t>
      </w:r>
      <w:r>
        <w:rPr>
          <w:iCs/>
          <w:i/>
        </w:rPr>
        <w:t xml:space="preserve">establishment</w:t>
      </w:r>
      <w:r>
        <w:t xml:space="preserve">. And</w:t>
      </w:r>
      <w:r>
        <w:t xml:space="preserve"> </w:t>
      </w:r>
      <w:r>
        <w:t xml:space="preserve">here the objection folds into testimony, because Rogers himself</w:t>
      </w:r>
      <w:r>
        <w:t xml:space="preserve"> </w:t>
      </w:r>
      <w:r>
        <w:t xml:space="preserve">supplies the constitutional consequence: the central governments of</w:t>
      </w:r>
      <w:r>
        <w:t xml:space="preserve"> </w:t>
      </w:r>
      <w:r>
        <w:t xml:space="preserve">large states could afford siege trains;</w:t>
      </w:r>
      <w:r>
        <w:t xml:space="preserve"> </w:t>
      </w:r>
      <w:r>
        <w:t xml:space="preserve">“</w:t>
      </w:r>
      <w:r>
        <w:t xml:space="preserve">their subjects and smaller</w:t>
      </w:r>
      <w:r>
        <w:t xml:space="preserve"> </w:t>
      </w:r>
      <w:r>
        <w:t xml:space="preserve">neighbors, in general, could not</w:t>
      </w:r>
      <w:r>
        <w:t xml:space="preserve">”</w:t>
      </w:r>
      <w:r>
        <w:t xml:space="preserve"> </w:t>
      </w:r>
      <w:r>
        <w:t xml:space="preserve">— and the governments that acquired</w:t>
      </w:r>
      <w:r>
        <w:t xml:space="preserve"> </w:t>
      </w:r>
      <w:r>
        <w:t xml:space="preserve">them suppressed regional powers, raised taxes, and expanded the trains</w:t>
      </w:r>
      <w:r>
        <w:t xml:space="preserve"> </w:t>
      </w:r>
      <w:r>
        <w:t xml:space="preserve">further, in a cycle he describes and this book merely names (Rogers</w:t>
      </w:r>
      <w:r>
        <w:t xml:space="preserve"> </w:t>
      </w:r>
      <w:r>
        <w:t xml:space="preserve">1993). The disagreement that remains is a ranking of revolutions —</w:t>
      </w:r>
      <w:r>
        <w:t xml:space="preserve"> </w:t>
      </w:r>
      <w:r>
        <w:t xml:space="preserve">which movement of the symphony matters most — and the chapter declines</w:t>
      </w:r>
      <w:r>
        <w:t xml:space="preserve"> </w:t>
      </w:r>
      <w:r>
        <w:t xml:space="preserve">the contest, because it does not need to win it. It needs only the</w:t>
      </w:r>
      <w:r>
        <w:t xml:space="preserve"> </w:t>
      </w:r>
      <w:r>
        <w:t xml:space="preserve">narrower claim its sternest witness has already granted: that the</w:t>
      </w:r>
      <w:r>
        <w:t xml:space="preserve"> </w:t>
      </w:r>
      <w:r>
        <w:t xml:space="preserve">artillery revolution was the step which put the price of decisive</w:t>
      </w:r>
      <w:r>
        <w:t xml:space="preserve"> </w:t>
      </w:r>
      <w:r>
        <w:t xml:space="preserve">force above what any subject could pay. (One apparent counter-example</w:t>
      </w:r>
      <w:r>
        <w:t xml:space="preserve"> </w:t>
      </w:r>
      <w:r>
        <w:t xml:space="preserve">— the magnificent Burgundian train of Charles the Bold — is deferred</w:t>
      </w:r>
      <w:r>
        <w:t xml:space="preserve"> </w:t>
      </w:r>
      <w:r>
        <w:t xml:space="preserve">to Chapter 10, where it belongs; the short answer is that Burgundy</w:t>
      </w:r>
      <w:r>
        <w:t xml:space="preserve"> </w:t>
      </w:r>
      <w:r>
        <w:t xml:space="preserve">was not a subject but a rival consolidator, and that its train did</w:t>
      </w:r>
      <w:r>
        <w:t xml:space="preserve"> </w:t>
      </w:r>
      <w:r>
        <w:t xml:space="preserve">not save it.)</w:t>
      </w:r>
    </w:p>
    <w:p>
      <w:pPr>
        <w:pStyle w:val="BodyText"/>
      </w:pPr>
      <w:r>
        <w:t xml:space="preserve">What the tempo teaches is the chapter’s bequest to the rest of the</w:t>
      </w:r>
      <w:r>
        <w:t xml:space="preserve"> </w:t>
      </w:r>
      <w:r>
        <w:t xml:space="preserve">book. The reconquest looked, to those inside it, like weather — a</w:t>
      </w:r>
      <w:r>
        <w:t xml:space="preserve"> </w:t>
      </w:r>
      <w:r>
        <w:t xml:space="preserve">cascade with no author. But the cascade had a cause with a budget</w:t>
      </w:r>
      <w:r>
        <w:t xml:space="preserve"> </w:t>
      </w:r>
      <w:r>
        <w:t xml:space="preserve">line. The train that collapsed the time value of fortification was</w:t>
      </w:r>
      <w:r>
        <w:t xml:space="preserve"> </w:t>
      </w:r>
      <w:r>
        <w:t xml:space="preserve">not deployable by great magnates, because great magnates could not</w:t>
      </w:r>
      <w:r>
        <w:t xml:space="preserve"> </w:t>
      </w:r>
      <w:r>
        <w:t xml:space="preserve">afford it; it presupposed the</w:t>
      </w:r>
      <w:r>
        <w:t xml:space="preserve"> </w:t>
      </w:r>
      <w:r>
        <w:rPr>
          <w:iCs/>
          <w:i/>
        </w:rPr>
        <w:t xml:space="preserve">taille</w:t>
      </w:r>
      <w:r>
        <w:t xml:space="preserve"> </w:t>
      </w:r>
      <w:r>
        <w:t xml:space="preserve">levied on a kingdom and a</w:t>
      </w:r>
      <w:r>
        <w:t xml:space="preserve"> </w:t>
      </w:r>
      <w:r>
        <w:t xml:space="preserve">salaried technical corps to serve it — fiscal and administrative</w:t>
      </w:r>
      <w:r>
        <w:t xml:space="preserve"> </w:t>
      </w:r>
      <w:r>
        <w:t xml:space="preserve">capacities that had existed before the guns and had not, before the</w:t>
      </w:r>
      <w:r>
        <w:t xml:space="preserve"> </w:t>
      </w:r>
      <w:r>
        <w:t xml:space="preserve">guns, been decisive. Artillery made them decisive. The contemporaries</w:t>
      </w:r>
      <w:r>
        <w:t xml:space="preserve"> </w:t>
      </w:r>
      <w:r>
        <w:t xml:space="preserve">saw the coupling plainly enough: Charles VII, in DeVries’s summary of</w:t>
      </w:r>
      <w:r>
        <w:t xml:space="preserve"> </w:t>
      </w:r>
      <w:r>
        <w:t xml:space="preserve">the reconquest’s finance,</w:t>
      </w:r>
      <w:r>
        <w:t xml:space="preserve"> </w:t>
      </w:r>
      <w:r>
        <w:t xml:space="preserve">“</w:t>
      </w:r>
      <w:r>
        <w:t xml:space="preserve">increased the royal budget to procure a</w:t>
      </w:r>
      <w:r>
        <w:t xml:space="preserve"> </w:t>
      </w:r>
      <w:r>
        <w:t xml:space="preserve">larger number of new guns, and he added heavier new taxes to his</w:t>
      </w:r>
      <w:r>
        <w:t xml:space="preserve"> </w:t>
      </w:r>
      <w:r>
        <w:t xml:space="preserve">kingdom’s inhabitants to pay for this increase</w:t>
      </w:r>
      <w:r>
        <w:t xml:space="preserve">”</w:t>
      </w:r>
      <w:r>
        <w:t xml:space="preserve"> </w:t>
      </w:r>
      <w:r>
        <w:t xml:space="preserve">(DeVries 1998: 132) —</w:t>
      </w:r>
      <w:r>
        <w:t xml:space="preserve"> </w:t>
      </w:r>
      <w:r>
        <w:t xml:space="preserve">guns requiring taxes, taxes requiring the administration to assess</w:t>
      </w:r>
      <w:r>
        <w:t xml:space="preserve"> </w:t>
      </w:r>
      <w:r>
        <w:t xml:space="preserve">and collect them, the administration protected by the guns. Rogers</w:t>
      </w:r>
      <w:r>
        <w:t xml:space="preserve"> </w:t>
      </w:r>
      <w:r>
        <w:t xml:space="preserve">describes the same figure as a cycle: governments that acquired</w:t>
      </w:r>
      <w:r>
        <w:t xml:space="preserve"> </w:t>
      </w:r>
      <w:r>
        <w:t xml:space="preserve">artillery suppressed regional powers, raised revenue from the</w:t>
      </w:r>
      <w:r>
        <w:t xml:space="preserve"> </w:t>
      </w:r>
      <w:r>
        <w:t xml:space="preserve">territory thereby subdued, and spent the revenue expanding the train</w:t>
      </w:r>
      <w:r>
        <w:t xml:space="preserve"> </w:t>
      </w:r>
      <w:r>
        <w:t xml:space="preserve">and the army that marched with it (Rogers 1993). A flywheel of this</w:t>
      </w:r>
      <w:r>
        <w:t xml:space="preserve"> </w:t>
      </w:r>
      <w:r>
        <w:t xml:space="preserve">kind, once spinning, does not stop at a frontier, and Chapter 10</w:t>
      </w:r>
      <w:r>
        <w:t xml:space="preserve"> </w:t>
      </w:r>
      <w:r>
        <w:t xml:space="preserve">will follow it into the institutions it built. That inversion —</w:t>
      </w:r>
      <w:r>
        <w:t xml:space="preserve"> </w:t>
      </w:r>
      <w:r>
        <w:t xml:space="preserve">the moment at which the sinews of administration became the sinews of</w:t>
      </w:r>
      <w:r>
        <w:t xml:space="preserve"> </w:t>
      </w:r>
      <w:r>
        <w:t xml:space="preserve">war, rather than the reverse — is Chapter 10’s subject, and the</w:t>
      </w:r>
      <w:r>
        <w:t xml:space="preserve"> </w:t>
      </w:r>
      <w:r>
        <w:t xml:space="preserve">reader now holds its premise: after 1450, sovereignty had a minimum</w:t>
      </w:r>
      <w:r>
        <w:t xml:space="preserve"> </w:t>
      </w:r>
      <w:r>
        <w:t xml:space="preserve">price, denominated in guns, wages and taxes, and the only entities</w:t>
      </w:r>
      <w:r>
        <w:t xml:space="preserve"> </w:t>
      </w:r>
      <w:r>
        <w:t xml:space="preserve">that could pay it were the ones we would shortly begin calling</w:t>
      </w:r>
      <w:r>
        <w:t xml:space="preserve"> </w:t>
      </w:r>
      <w:r>
        <w:t xml:space="preserve">states.</w:t>
      </w:r>
    </w:p>
    <w:bookmarkEnd w:id="117"/>
    <w:bookmarkEnd w:id="118"/>
    <w:bookmarkStart w:id="121" w:name="X7b51784a9cdc3ead56e7186f252a390851aba65"/>
    <w:p>
      <w:pPr>
        <w:pStyle w:val="Heading2"/>
      </w:pPr>
      <w:r>
        <w:t xml:space="preserve">ch07 — Revisions 2 (Bohna upgrade) (ch07/draft.md)</w:t>
      </w:r>
    </w:p>
    <w:bookmarkStart w:id="119" w:name="the-revisions-notes-2"/>
    <w:p>
      <w:pPr>
        <w:pStyle w:val="Heading3"/>
      </w:pPr>
      <w:r>
        <w:t xml:space="preserve">The Revisions note(s)</w:t>
      </w:r>
    </w:p>
    <w:p>
      <w:pPr>
        <w:numPr>
          <w:ilvl w:val="0"/>
          <w:numId w:val="1048"/>
        </w:numPr>
      </w:pPr>
      <w:r>
        <w:rPr>
          <w:bCs/>
          <w:b/>
        </w:rPr>
        <w:t xml:space="preserve">(2026-08-04.)</w:t>
      </w:r>
      <w:r>
        <w:t xml:space="preserve"> </w:t>
      </w:r>
      <w:r>
        <w:t xml:space="preserve">§I’s Bohna citation upgraded from abstract level</w:t>
      </w:r>
      <w:r>
        <w:t xml:space="preserve"> </w:t>
      </w:r>
      <w:r>
        <w:t xml:space="preserve">to the article at page level: the exact sentences, the</w:t>
      </w:r>
      <w:r>
        <w:t xml:space="preserve"> </w:t>
      </w:r>
      <w:r>
        <w:t xml:space="preserve">53-constables/31-hundreds quantification, and the</w:t>
      </w:r>
      <w:r>
        <w:t xml:space="preserve"> </w:t>
      </w:r>
      <w:r>
        <w:t xml:space="preserve">sub-units/chain-of-command thesis (memo Revisions 9). Changed</w:t>
      </w:r>
      <w:r>
        <w:t xml:space="preserve"> </w:t>
      </w:r>
      <w:r>
        <w:t xml:space="preserve">passage PENDING HUMAN REVIEW within the otherwise reviewed draft.</w:t>
      </w:r>
    </w:p>
    <w:p>
      <w:pPr>
        <w:numPr>
          <w:ilvl w:val="0"/>
          <w:numId w:val="1048"/>
        </w:numPr>
      </w:pPr>
      <w:r>
        <w:rPr>
          <w:bCs/>
          <w:b/>
        </w:rPr>
        <w:t xml:space="preserve">(2026-08-04.)</w:t>
      </w:r>
      <w:r>
        <w:t xml:space="preserve"> </w:t>
      </w:r>
      <w:r>
        <w:t xml:space="preserve">§I’s Bohna citation upgraded from abstract level</w:t>
      </w:r>
      <w:r>
        <w:t xml:space="preserve"> </w:t>
      </w:r>
      <w:r>
        <w:t xml:space="preserve">to the article at page level: the exact sentences, the</w:t>
      </w:r>
      <w:r>
        <w:t xml:space="preserve"> </w:t>
      </w:r>
      <w:r>
        <w:t xml:space="preserve">53-constables/31-hundreds quantification, and the</w:t>
      </w:r>
      <w:r>
        <w:t xml:space="preserve"> </w:t>
      </w:r>
      <w:r>
        <w:t xml:space="preserve">sub-units/chain-of-command thesis (memo Revisions 9). Changed</w:t>
      </w:r>
      <w:r>
        <w:t xml:space="preserve"> </w:t>
      </w:r>
      <w:r>
        <w:t xml:space="preserve">passage PENDING HUMAN REVIEW within the otherwise reviewed draft.</w:t>
      </w:r>
    </w:p>
    <w:p>
      <w:r>
        <w:pict>
          <v:rect style="width:0;height:1.5pt" o:hralign="center" o:hrstd="t" o:hr="t"/>
        </w:pict>
      </w:r>
    </w:p>
    <w:p>
      <w:pPr>
        <w:pStyle w:val="FirstParagraph"/>
      </w:pPr>
      <w:r>
        <w:t xml:space="preserve">STATUS: REVIEWED (Roderick, 2026-08-01) — approved with revision</w:t>
      </w:r>
      <w:r>
        <w:t xml:space="preserve"> </w:t>
      </w:r>
      <w:r>
        <w:t xml:space="preserve">applied; Revisions 2 (Bohna upgrade) PENDING HUMAN REVIEW</w:t>
      </w:r>
    </w:p>
    <w:bookmarkEnd w:id="119"/>
    <w:bookmarkStart w:id="120" w:name="X06853644b25c223c1bbbdc73d06d5538fedb776"/>
    <w:p>
      <w:pPr>
        <w:pStyle w:val="Heading3"/>
      </w:pPr>
      <w:r>
        <w:t xml:space="preserve">The passages as they now read (located by the terms the note names — the draft carries no in-text marker)</w:t>
      </w:r>
    </w:p>
    <w:p>
      <w:pPr>
        <w:pStyle w:val="FirstParagraph"/>
      </w:pPr>
      <w:r>
        <w:t xml:space="preserve">They did not call themselves rebels. They were, by their own document,</w:t>
      </w:r>
      <w:r>
        <w:t xml:space="preserve"> </w:t>
      </w:r>
      <w:r>
        <w:t xml:space="preserve">the</w:t>
      </w:r>
      <w:r>
        <w:t xml:space="preserve"> </w:t>
      </w:r>
      <w:r>
        <w:t xml:space="preserve">“</w:t>
      </w:r>
      <w:r>
        <w:t xml:space="preserve">poor commons of Kent,</w:t>
      </w:r>
      <w:r>
        <w:t xml:space="preserve">”</w:t>
      </w:r>
      <w:r>
        <w:t xml:space="preserve"> </w:t>
      </w:r>
      <w:r>
        <w:t xml:space="preserve">and their captain — a man of obscure origin</w:t>
      </w:r>
      <w:r>
        <w:t xml:space="preserve"> </w:t>
      </w:r>
      <w:r>
        <w:t xml:space="preserve">who gave his name as John Mortimer, and whom the government would</w:t>
      </w:r>
      <w:r>
        <w:t xml:space="preserve"> </w:t>
      </w:r>
      <w:r>
        <w:t xml:space="preserve">insist, then and after, was an Irish adventurer named Jack Cade — styled</w:t>
      </w:r>
      <w:r>
        <w:t xml:space="preserve"> </w:t>
      </w:r>
      <w:r>
        <w:t xml:space="preserve">himself Captain of Kent. The men behind him had not gathered as a mob</w:t>
      </w:r>
      <w:r>
        <w:t xml:space="preserve"> </w:t>
      </w:r>
      <w:r>
        <w:t xml:space="preserve">gathers. The county had assembled itself:</w:t>
      </w:r>
      <w:r>
        <w:t xml:space="preserve"> </w:t>
      </w:r>
      <w:r>
        <w:t xml:space="preserve">“</w:t>
      </w:r>
      <w:r>
        <w:t xml:space="preserve">the power of the county</w:t>
      </w:r>
      <w:r>
        <w:t xml:space="preserve"> </w:t>
      </w:r>
      <w:r>
        <w:t xml:space="preserve">of Kent assembled in arms under its elected constables… Having</w:t>
      </w:r>
      <w:r>
        <w:t xml:space="preserve"> </w:t>
      </w:r>
      <w:r>
        <w:t xml:space="preserve">mustered themselves at the gathering places traditionally used by</w:t>
      </w:r>
      <w:r>
        <w:t xml:space="preserve"> </w:t>
      </w:r>
      <w:r>
        <w:t xml:space="preserve">each hundred</w:t>
      </w:r>
      <w:r>
        <w:t xml:space="preserve">”</w:t>
      </w:r>
      <w:r>
        <w:t xml:space="preserve"> </w:t>
      </w:r>
      <w:r>
        <w:t xml:space="preserve">(Bohna 2003: 563) — the same constable-and-muster</w:t>
      </w:r>
      <w:r>
        <w:t xml:space="preserve"> </w:t>
      </w:r>
      <w:r>
        <w:t xml:space="preserve">machinery by which the crown itself raised Kent for war, operated,</w:t>
      </w:r>
      <w:r>
        <w:t xml:space="preserve"> </w:t>
      </w:r>
      <w:r>
        <w:t xml:space="preserve">as it turned out, against the men who normally did the operating.</w:t>
      </w:r>
      <w:r>
        <w:t xml:space="preserve"> </w:t>
      </w:r>
      <w:r>
        <w:t xml:space="preserve">The pardon rolls quantify the machinery: fifty-three constables from</w:t>
      </w:r>
      <w:r>
        <w:t xml:space="preserve"> </w:t>
      </w:r>
      <w:r>
        <w:t xml:space="preserve">thirty-one of Kent’s sixty-eight hundreds headed their named</w:t>
      </w:r>
      <w:r>
        <w:t xml:space="preserve"> </w:t>
      </w:r>
      <w:r>
        <w:t xml:space="preserve">contingents,</w:t>
      </w:r>
      <w:r>
        <w:t xml:space="preserve"> </w:t>
      </w:r>
      <w:r>
        <w:t xml:space="preserve">“</w:t>
      </w:r>
      <w:r>
        <w:t xml:space="preserve">sometimes followed by the note</w:t>
      </w:r>
      <w:r>
        <w:t xml:space="preserve"> </w:t>
      </w:r>
      <w:r>
        <w:t xml:space="preserve">‘</w:t>
      </w:r>
      <w:r>
        <w:t xml:space="preserve">and all others of the</w:t>
      </w:r>
      <w:r>
        <w:t xml:space="preserve"> </w:t>
      </w:r>
      <w:r>
        <w:t xml:space="preserve">said hundred</w:t>
      </w:r>
      <w:r>
        <w:t xml:space="preserve">’</w:t>
      </w:r>
      <w:r>
        <w:t xml:space="preserve">”</w:t>
      </w:r>
      <w:r>
        <w:t xml:space="preserve"> </w:t>
      </w:r>
      <w:r>
        <w:t xml:space="preserve">(Bohna 2003: ~566). This was, in Bohna’s verdict,</w:t>
      </w:r>
      <w:r>
        <w:t xml:space="preserve"> </w:t>
      </w:r>
      <w:r>
        <w:t xml:space="preserve">“</w:t>
      </w:r>
      <w:r>
        <w:t xml:space="preserve">not a jacquerie, not an act of disorganized undirected violence</w:t>
      </w:r>
      <w:r>
        <w:t xml:space="preserve">”</w:t>
      </w:r>
      <w:r>
        <w:t xml:space="preserve"> </w:t>
      </w:r>
      <w:r>
        <w:t xml:space="preserve">but</w:t>
      </w:r>
      <w:r>
        <w:t xml:space="preserve"> </w:t>
      </w:r>
      <w:r>
        <w:t xml:space="preserve">“</w:t>
      </w:r>
      <w:r>
        <w:t xml:space="preserve">a demonstration of dissent by rural society embodied as the</w:t>
      </w:r>
      <w:r>
        <w:t xml:space="preserve"> </w:t>
      </w:r>
      <w:r>
        <w:t xml:space="preserve">militia of the county</w:t>
      </w:r>
      <w:r>
        <w:t xml:space="preserve">”</w:t>
      </w:r>
      <w:r>
        <w:t xml:space="preserve"> </w:t>
      </w:r>
      <w:r>
        <w:t xml:space="preserve">(~564) — the array and the posse providing</w:t>
      </w:r>
      <w:r>
        <w:t xml:space="preserve"> </w:t>
      </w:r>
      <w:r>
        <w:t xml:space="preserve">“</w:t>
      </w:r>
      <w:r>
        <w:t xml:space="preserve">a ready military organization for revolt, complete with sub-units,</w:t>
      </w:r>
      <w:r>
        <w:t xml:space="preserve"> </w:t>
      </w:r>
      <w:r>
        <w:t xml:space="preserve">chain of command and provision for emergency communications between</w:t>
      </w:r>
      <w:r>
        <w:t xml:space="preserve"> </w:t>
      </w:r>
      <w:r>
        <w:t xml:space="preserve">districts</w:t>
      </w:r>
      <w:r>
        <w:t xml:space="preserve">”</w:t>
      </w:r>
      <w:r>
        <w:t xml:space="preserve"> </w:t>
      </w:r>
      <w:r>
        <w:t xml:space="preserve">(~576). Among the</w:t>
      </w:r>
      <w:r>
        <w:t xml:space="preserve"> </w:t>
      </w:r>
      <w:r>
        <w:t xml:space="preserve">thousands who would later sue out pardons were a knight, two members of</w:t>
      </w:r>
      <w:r>
        <w:t xml:space="preserve"> </w:t>
      </w:r>
      <w:r>
        <w:t xml:space="preserve">Parliament, eighteen squires, gentlemen in numbers, yeomen,</w:t>
      </w:r>
      <w:r>
        <w:t xml:space="preserve"> </w:t>
      </w:r>
      <w:r>
        <w:t xml:space="preserve">husbandmen, craftsmen, village constables — the office-holding,</w:t>
      </w:r>
      <w:r>
        <w:t xml:space="preserve"> </w:t>
      </w:r>
      <w:r>
        <w:t xml:space="preserve">property-holding middle of one of England’s richest counties (Kriehn</w:t>
      </w:r>
      <w:r>
        <w:t xml:space="preserve"> </w:t>
      </w:r>
      <w:r>
        <w:t xml:space="preserve">1892: 5; the gentry skeleton is carried with attribution to Griffiths,</w:t>
      </w:r>
      <w:r>
        <w:t xml:space="preserve"> </w:t>
      </w:r>
      <w:r>
        <w:t xml:space="preserve">pp. 619–20 [GAP: confirm at page level]; the finer occupational</w:t>
      </w:r>
      <w:r>
        <w:t xml:space="preserve"> </w:t>
      </w:r>
      <w:r>
        <w:t xml:space="preserve">percentages await Harvey’s pardon-roll analysis and are not printed</w:t>
      </w:r>
      <w:r>
        <w:t xml:space="preserve"> </w:t>
      </w:r>
      <w:r>
        <w:t xml:space="preserve">here). Kriehn, who worked through the pardon lists in the 1890s and</w:t>
      </w:r>
      <w:r>
        <w:t xml:space="preserve"> </w:t>
      </w:r>
      <w:r>
        <w:t xml:space="preserve">counted</w:t>
      </w:r>
      <w:r>
        <w:t xml:space="preserve"> </w:t>
      </w:r>
      <w:r>
        <w:t xml:space="preserve">“</w:t>
      </w:r>
      <w:r>
        <w:t xml:space="preserve">about 2203 names of the men of Kent and Sussex alone,</w:t>
      </w:r>
      <w:r>
        <w:t xml:space="preserve">”</w:t>
      </w:r>
      <w:r>
        <w:t xml:space="preserve"> </w:t>
      </w:r>
      <w:r>
        <w:t xml:space="preserve">put</w:t>
      </w:r>
      <w:r>
        <w:t xml:space="preserve"> </w:t>
      </w:r>
      <w:r>
        <w:t xml:space="preserve">the finding in a sentence the modern scholarship has refined but not</w:t>
      </w:r>
      <w:r>
        <w:t xml:space="preserve"> </w:t>
      </w:r>
      <w:r>
        <w:t xml:space="preserve">reversed:</w:t>
      </w:r>
      <w:r>
        <w:t xml:space="preserve"> </w:t>
      </w:r>
      <w:r>
        <w:t xml:space="preserve">“</w:t>
      </w:r>
      <w:r>
        <w:t xml:space="preserve">Cade’s rebels were not drawn from the lower classes alone,</w:t>
      </w:r>
      <w:r>
        <w:t xml:space="preserve"> </w:t>
      </w:r>
      <w:r>
        <w:t xml:space="preserve">but from the middle classes, the gentry and even from the nobility</w:t>
      </w:r>
      <w:r>
        <w:t xml:space="preserve">”</w:t>
      </w:r>
      <w:r>
        <w:t xml:space="preserve"> </w:t>
      </w:r>
      <w:r>
        <w:t xml:space="preserve">(Kriehn 1892: 5).</w:t>
      </w:r>
    </w:p>
    <w:p>
      <w:pPr>
        <w:pStyle w:val="BodyText"/>
      </w:pPr>
      <w:r>
        <w:rPr>
          <w:iCs/>
          <w:i/>
        </w:rPr>
        <w:t xml:space="preserve">Draft ends. Word count ~4,900 (memo-limited; Harvey, Bohna, Virgoe,</w:t>
      </w:r>
      <w:r>
        <w:rPr>
          <w:iCs/>
          <w:i/>
        </w:rPr>
        <w:t xml:space="preserve"> </w:t>
      </w:r>
      <w:r>
        <w:rPr>
          <w:iCs/>
          <w:i/>
        </w:rPr>
        <w:t xml:space="preserve">Najemy, Contamine-on-the-Praguerie and the German programmes will</w:t>
      </w:r>
      <w:r>
        <w:rPr>
          <w:iCs/>
          <w:i/>
        </w:rPr>
        <w:t xml:space="preserve"> </w:t>
      </w:r>
      <w:r>
        <w:rPr>
          <w:iCs/>
          <w:i/>
        </w:rPr>
        <w:t xml:space="preserve">thicken §§II–V at the upgrade pass). Voice-discipline ledger: coined</w:t>
      </w:r>
      <w:r>
        <w:rPr>
          <w:iCs/>
          <w:i/>
        </w:rPr>
        <w:t xml:space="preserve"> </w:t>
      </w:r>
      <w:r>
        <w:rPr>
          <w:iCs/>
          <w:i/>
        </w:rPr>
        <w:t xml:space="preserve">concept — the</w:t>
      </w:r>
      <w:r>
        <w:t xml:space="preserve"> </w:t>
      </w:r>
      <w:r>
        <w:t xml:space="preserve">propertied-anxious revolt</w:t>
      </w:r>
      <w:r>
        <w:t xml:space="preserve"> </w:t>
      </w:r>
      <w:r>
        <w:rPr>
          <w:iCs/>
          <w:i/>
        </w:rPr>
        <w:t xml:space="preserve">(§I, the chapter’s</w:t>
      </w:r>
      <w:r>
        <w:rPr>
          <w:iCs/>
          <w:i/>
        </w:rPr>
        <w:t xml:space="preserve"> </w:t>
      </w:r>
      <w:r>
        <w:rPr>
          <w:iCs/>
          <w:i/>
        </w:rPr>
        <w:t xml:space="preserve">organising term); vivid image — the county’s muster machinery</w:t>
      </w:r>
      <w:r>
        <w:rPr>
          <w:iCs/>
          <w:i/>
        </w:rPr>
        <w:t xml:space="preserve"> </w:t>
      </w:r>
      <w:r>
        <w:rPr>
          <w:iCs/>
          <w:i/>
        </w:rPr>
        <w:t xml:space="preserve">“</w:t>
      </w:r>
      <w:r>
        <w:rPr>
          <w:iCs/>
          <w:i/>
        </w:rPr>
        <w:t xml:space="preserve">operated from below</w:t>
      </w:r>
      <w:r>
        <w:rPr>
          <w:iCs/>
          <w:i/>
        </w:rPr>
        <w:t xml:space="preserve">”</w:t>
      </w:r>
      <w:r>
        <w:rPr>
          <w:iCs/>
          <w:i/>
        </w:rPr>
        <w:t xml:space="preserve"> </w:t>
      </w:r>
      <w:r>
        <w:rPr>
          <w:iCs/>
          <w:i/>
        </w:rPr>
        <w:t xml:space="preserve">is carried structurally rather than as a</w:t>
      </w:r>
      <w:r>
        <w:rPr>
          <w:iCs/>
          <w:i/>
        </w:rPr>
        <w:t xml:space="preserve"> </w:t>
      </w:r>
      <w:r>
        <w:rPr>
          <w:iCs/>
          <w:i/>
        </w:rPr>
        <w:t xml:space="preserve">figure; the chapter’s one image is the form standing out</w:t>
      </w:r>
      <w:r>
        <w:rPr>
          <w:iCs/>
          <w:i/>
        </w:rPr>
        <w:t xml:space="preserve"> </w:t>
      </w:r>
      <w:r>
        <w:rPr>
          <w:iCs/>
          <w:i/>
        </w:rPr>
        <w:t xml:space="preserve">“</w:t>
      </w:r>
      <w:r>
        <w:rPr>
          <w:iCs/>
          <w:i/>
        </w:rPr>
        <w:t xml:space="preserve">like a</w:t>
      </w:r>
      <w:r>
        <w:rPr>
          <w:iCs/>
          <w:i/>
        </w:rPr>
        <w:t xml:space="preserve"> </w:t>
      </w:r>
      <w:r>
        <w:rPr>
          <w:iCs/>
          <w:i/>
        </w:rPr>
        <w:t xml:space="preserve">watermark</w:t>
      </w:r>
      <w:r>
        <w:rPr>
          <w:iCs/>
          <w:i/>
        </w:rPr>
        <w:t xml:space="preserve">”</w:t>
      </w:r>
      <w:r>
        <w:rPr>
          <w:iCs/>
          <w:i/>
        </w:rPr>
        <w:t xml:space="preserve"> </w:t>
      </w:r>
      <w:r>
        <w:rPr>
          <w:iCs/>
          <w:i/>
        </w:rPr>
        <w:t xml:space="preserve">(§V); aphoristic line —</w:t>
      </w:r>
      <w:r>
        <w:rPr>
          <w:iCs/>
          <w:i/>
        </w:rPr>
        <w:t xml:space="preserve"> </w:t>
      </w:r>
      <w:r>
        <w:rPr>
          <w:iCs/>
          <w:i/>
        </w:rPr>
        <w:t xml:space="preserve">“</w:t>
      </w:r>
      <w:r>
        <w:rPr>
          <w:iCs/>
          <w:i/>
        </w:rPr>
        <w:t xml:space="preserve">It is</w:t>
      </w:r>
      <w:r>
        <w:rPr>
          <w:iCs/>
          <w:i/>
        </w:rPr>
        <w:t xml:space="preserve"> </w:t>
      </w:r>
      <w:r>
        <w:rPr>
          <w:iCs/>
          <w:i/>
        </w:rPr>
        <w:t xml:space="preserve">the political expression of collateral</w:t>
      </w:r>
      <w:r>
        <w:rPr>
          <w:iCs/>
          <w:i/>
        </w:rPr>
        <w:t xml:space="preserve">”</w:t>
      </w:r>
      <w:r>
        <w:rPr>
          <w:iCs/>
          <w:i/>
        </w:rPr>
        <w:t xml:space="preserve"> </w:t>
      </w:r>
      <w:r>
        <w:rPr>
          <w:iCs/>
          <w:i/>
        </w:rPr>
        <w:t xml:space="preserve">(§V close; the §VII</w:t>
      </w:r>
      <w:r>
        <w:rPr>
          <w:iCs/>
          <w:i/>
        </w:rPr>
        <w:t xml:space="preserve"> </w:t>
      </w:r>
      <w:r>
        <w:rPr>
          <w:iCs/>
          <w:i/>
        </w:rPr>
        <w:t xml:space="preserve">candidate demoted to plain prose per the 2026-08-01 review — the</w:t>
      </w:r>
      <w:r>
        <w:rPr>
          <w:iCs/>
          <w:i/>
        </w:rPr>
        <w:t xml:space="preserve"> </w:t>
      </w:r>
      <w:r>
        <w:rPr>
          <w:iCs/>
          <w:i/>
        </w:rPr>
        <w:t xml:space="preserve">ledger now counts every quotable sentence produced, not intended,</w:t>
      </w:r>
      <w:r>
        <w:rPr>
          <w:iCs/>
          <w:i/>
        </w:rPr>
        <w:t xml:space="preserve"> </w:t>
      </w:r>
      <w:r>
        <w:rPr>
          <w:iCs/>
          <w:i/>
        </w:rPr>
        <w:t xml:space="preserve">per the doctrine addition of that date). One</w:t>
      </w:r>
      <w:r>
        <w:rPr>
          <w:iCs/>
          <w:i/>
        </w:rPr>
        <w:t xml:space="preserve"> </w:t>
      </w:r>
      <w:r>
        <w:rPr>
          <w:iCs/>
          <w:i/>
        </w:rPr>
        <w:t xml:space="preserve">[BRIDGE] section (§VI, fenced). [GAP] flags: Bohna full text;</w:t>
      </w:r>
      <w:r>
        <w:rPr>
          <w:iCs/>
          <w:i/>
        </w:rPr>
        <w:t xml:space="preserve"> </w:t>
      </w:r>
      <w:r>
        <w:rPr>
          <w:iCs/>
          <w:i/>
        </w:rPr>
        <w:t xml:space="preserve">Griffiths pp. 619–20; Harvey percentages; Contamine on the</w:t>
      </w:r>
      <w:r>
        <w:rPr>
          <w:iCs/>
          <w:i/>
        </w:rPr>
        <w:t xml:space="preserve"> </w:t>
      </w:r>
      <w:r>
        <w:rPr>
          <w:iCs/>
          <w:i/>
        </w:rPr>
        <w:t xml:space="preserve">Praguerie; Najemy’s framing. The Complaint quotations are from the</w:t>
      </w:r>
      <w:r>
        <w:rPr>
          <w:iCs/>
          <w:i/>
        </w:rPr>
        <w:t xml:space="preserve"> </w:t>
      </w:r>
      <w:r>
        <w:rPr>
          <w:iCs/>
          <w:i/>
        </w:rPr>
        <w:t xml:space="preserve">open Stow transcription (T1); Kriehn, Curry, Watts, N&amp;I (pre-pub</w:t>
      </w:r>
      <w:r>
        <w:rPr>
          <w:iCs/>
          <w:i/>
        </w:rPr>
        <w:t xml:space="preserve"> </w:t>
      </w:r>
      <w:r>
        <w:rPr>
          <w:iCs/>
          <w:i/>
        </w:rPr>
        <w:t xml:space="preserve">caveat), Green &amp; Pahontu, Girardi, Douenne &amp; Fabre, Funke et al.,</w:t>
      </w:r>
      <w:r>
        <w:rPr>
          <w:iCs/>
          <w:i/>
        </w:rPr>
        <w:t xml:space="preserve"> </w:t>
      </w:r>
      <w:r>
        <w:rPr>
          <w:iCs/>
          <w:i/>
        </w:rPr>
        <w:t xml:space="preserve">OBR are as pinned in the reviewed memo. No claim beyond the</w:t>
      </w:r>
      <w:r>
        <w:rPr>
          <w:iCs/>
          <w:i/>
        </w:rPr>
        <w:t xml:space="preserve"> </w:t>
      </w:r>
      <w:r>
        <w:rPr>
          <w:iCs/>
          <w:i/>
        </w:rPr>
        <w:t xml:space="preserve">reviewed record.</w:t>
      </w:r>
    </w:p>
    <w:bookmarkEnd w:id="120"/>
    <w:bookmarkEnd w:id="121"/>
    <w:bookmarkStart w:id="124" w:name="Xea0477441ea8638d81753441269384d0a40457f"/>
    <w:p>
      <w:pPr>
        <w:pStyle w:val="Heading2"/>
      </w:pPr>
      <w:r>
        <w:t xml:space="preserve">ch11 — Revisions 1 (Wolffe upgrade) (ch11/draft.md)</w:t>
      </w:r>
    </w:p>
    <w:bookmarkStart w:id="122" w:name="the-revisions-notes-3"/>
    <w:p>
      <w:pPr>
        <w:pStyle w:val="Heading3"/>
      </w:pPr>
      <w:r>
        <w:t xml:space="preserve">The Revisions note(s)</w:t>
      </w:r>
    </w:p>
    <w:p>
      <w:pPr>
        <w:numPr>
          <w:ilvl w:val="0"/>
          <w:numId w:val="1049"/>
        </w:numPr>
      </w:pPr>
      <w:r>
        <w:rPr>
          <w:bCs/>
          <w:b/>
        </w:rPr>
        <w:t xml:space="preserve">(2026-08-04.)</w:t>
      </w:r>
      <w:r>
        <w:t xml:space="preserve"> </w:t>
      </w:r>
      <w:r>
        <w:t xml:space="preserve">§II’s chamber-finance passage upgraded from the</w:t>
      </w:r>
      <w:r>
        <w:t xml:space="preserve"> </w:t>
      </w:r>
      <w:r>
        <w:t xml:space="preserve">hedged tertiary arc to Wolffe’s table at p. 237 (memo Revisions 1);</w:t>
      </w:r>
      <w:r>
        <w:t xml:space="preserve"> </w:t>
      </w:r>
      <w:r>
        <w:t xml:space="preserve">the Yorkist-continuity sentence added verbatim. Changed passage</w:t>
      </w:r>
      <w:r>
        <w:t xml:space="preserve"> </w:t>
      </w:r>
      <w:r>
        <w:t xml:space="preserve">PENDING HUMAN REVIEW within the otherwise reviewed draft.</w:t>
      </w:r>
    </w:p>
    <w:p>
      <w:pPr>
        <w:numPr>
          <w:ilvl w:val="0"/>
          <w:numId w:val="1049"/>
        </w:numPr>
      </w:pPr>
      <w:r>
        <w:rPr>
          <w:bCs/>
          <w:b/>
        </w:rPr>
        <w:t xml:space="preserve">(2026-08-04.)</w:t>
      </w:r>
      <w:r>
        <w:t xml:space="preserve"> </w:t>
      </w:r>
      <w:r>
        <w:t xml:space="preserve">§II’s chamber-finance passage upgraded from the</w:t>
      </w:r>
      <w:r>
        <w:t xml:space="preserve"> </w:t>
      </w:r>
      <w:r>
        <w:t xml:space="preserve">hedged tertiary arc to Wolffe’s table at p. 237 (memo Revisions 1);</w:t>
      </w:r>
      <w:r>
        <w:t xml:space="preserve"> </w:t>
      </w:r>
      <w:r>
        <w:t xml:space="preserve">the Yorkist-continuity sentence added verbatim. Changed passage</w:t>
      </w:r>
      <w:r>
        <w:t xml:space="preserve"> </w:t>
      </w:r>
      <w:r>
        <w:t xml:space="preserve">PENDING HUMAN REVIEW within the otherwise reviewed draft.</w:t>
      </w:r>
    </w:p>
    <w:p>
      <w:r>
        <w:pict>
          <v:rect style="width:0;height:1.5pt" o:hralign="center" o:hrstd="t" o:hr="t"/>
        </w:pict>
      </w:r>
    </w:p>
    <w:p>
      <w:pPr>
        <w:pStyle w:val="FirstParagraph"/>
      </w:pPr>
      <w:r>
        <w:t xml:space="preserve">STATUS: REVIEWED (Roderick, 2026-08-02) — approved as drafted;</w:t>
      </w:r>
      <w:r>
        <w:t xml:space="preserve"> </w:t>
      </w:r>
      <w:r>
        <w:t xml:space="preserve">Revisions 1 (Wolffe upgrade) PENDING HUMAN REVIEW</w:t>
      </w:r>
    </w:p>
    <w:bookmarkEnd w:id="122"/>
    <w:bookmarkStart w:id="123" w:name="X9e96c0864878de55c40c90dbe3e0128c0231e18"/>
    <w:p>
      <w:pPr>
        <w:pStyle w:val="Heading3"/>
      </w:pPr>
      <w:r>
        <w:t xml:space="preserve">The passages as they now read (located by the terms the note names — the draft carries no in-text marker)</w:t>
      </w:r>
    </w:p>
    <w:p>
      <w:pPr>
        <w:pStyle w:val="FirstParagraph"/>
      </w:pPr>
      <w:r>
        <w:t xml:space="preserve">The fiscal move, in its English form, was the Chamber: from about</w:t>
      </w:r>
      <w:r>
        <w:t xml:space="preserve"> </w:t>
      </w:r>
      <w:r>
        <w:t xml:space="preserve">1487 the King’s Chamber displaced the Exchequer as the working</w:t>
      </w:r>
      <w:r>
        <w:t xml:space="preserve"> </w:t>
      </w:r>
      <w:r>
        <w:t xml:space="preserve">treasury of the realm —</w:t>
      </w:r>
      <w:r>
        <w:t xml:space="preserve"> </w:t>
      </w:r>
      <w:r>
        <w:t xml:space="preserve">“</w:t>
      </w:r>
      <w:r>
        <w:t xml:space="preserve">in effect, a national treasury,</w:t>
      </w:r>
      <w:r>
        <w:t xml:space="preserve">”</w:t>
      </w:r>
      <w:r>
        <w:t xml:space="preserve"> </w:t>
      </w:r>
      <w:r>
        <w:t xml:space="preserve">in the</w:t>
      </w:r>
      <w:r>
        <w:t xml:space="preserve"> </w:t>
      </w:r>
      <w:r>
        <w:t xml:space="preserve">modern project’s description — under treasurers Lovell and then</w:t>
      </w:r>
      <w:r>
        <w:t xml:space="preserve"> </w:t>
      </w:r>
      <w:r>
        <w:t xml:space="preserve">Heron, with the distinguishing feature that the king audited it</w:t>
      </w:r>
      <w:r>
        <w:t xml:space="preserve"> </w:t>
      </w:r>
      <w:r>
        <w:t xml:space="preserve">personally: Henry’s own sign manual runs through the account books,</w:t>
      </w:r>
      <w:r>
        <w:t xml:space="preserve"> </w:t>
      </w:r>
      <w:r>
        <w:t xml:space="preserve">signing off payments weekly, the sovereign as his own comptroller</w:t>
      </w:r>
      <w:r>
        <w:t xml:space="preserve"> </w:t>
      </w:r>
      <w:r>
        <w:t xml:space="preserve">(Tudor Chamber Books project) — and the revenue arc is now</w:t>
      </w:r>
      <w:r>
        <w:t xml:space="preserve"> </w:t>
      </w:r>
      <w:r>
        <w:t xml:space="preserve">Wolffe’s table, printed from the source: chamber receipts averaging</w:t>
      </w:r>
      <w:r>
        <w:t xml:space="preserve"> </w:t>
      </w:r>
      <w:r>
        <w:t xml:space="preserve">£17,000 a year in 1487–89, £27,000 in 1492–95, and £105,000 by the</w:t>
      </w:r>
      <w:r>
        <w:t xml:space="preserve"> </w:t>
      </w:r>
      <w:r>
        <w:t xml:space="preserve">period ending 1505, with the land-revenue line inside them rising</w:t>
      </w:r>
      <w:r>
        <w:t xml:space="preserve"> </w:t>
      </w:r>
      <w:r>
        <w:t xml:space="preserve">from £3,000 to £40,000 (Wolffe 1964: 237). Wolffe’s own corrective</w:t>
      </w:r>
      <w:r>
        <w:t xml:space="preserve"> </w:t>
      </w:r>
      <w:r>
        <w:t xml:space="preserve">rides with the figures:</w:t>
      </w:r>
      <w:r>
        <w:t xml:space="preserve"> </w:t>
      </w:r>
      <w:r>
        <w:t xml:space="preserve">“</w:t>
      </w:r>
      <w:r>
        <w:t xml:space="preserve">even after ten years of Tudor rule the</w:t>
      </w:r>
      <w:r>
        <w:t xml:space="preserve"> </w:t>
      </w:r>
      <w:r>
        <w:t xml:space="preserve">scale of chamber activity was still smaller than it had been at the</w:t>
      </w:r>
      <w:r>
        <w:t xml:space="preserve"> </w:t>
      </w:r>
      <w:r>
        <w:t xml:space="preserve">end of the Yorkist period</w:t>
      </w:r>
      <w:r>
        <w:t xml:space="preserve">”</w:t>
      </w:r>
      <w:r>
        <w:t xml:space="preserve"> </w:t>
      </w:r>
      <w:r>
        <w:t xml:space="preserve">(p. 237) — the machine was inherited and</w:t>
      </w:r>
      <w:r>
        <w:t xml:space="preserve"> </w:t>
      </w:r>
      <w:r>
        <w:t xml:space="preserve">enlarged, not invented [GAP: Chrimes, for the institutional</w:t>
      </w:r>
      <w:r>
        <w:t xml:space="preserve"> </w:t>
      </w:r>
      <w:r>
        <w:t xml:space="preserve">narrative]. The paradox is the</w:t>
      </w:r>
      <w:r>
        <w:t xml:space="preserve"> </w:t>
      </w:r>
      <w:r>
        <w:t xml:space="preserve">chapter’s first lesson: the fisc was</w:t>
      </w:r>
      <w:r>
        <w:t xml:space="preserve"> </w:t>
      </w:r>
      <w:r>
        <w:rPr>
          <w:iCs/>
          <w:i/>
        </w:rPr>
        <w:t xml:space="preserve">personalised</w:t>
      </w:r>
      <w:r>
        <w:t xml:space="preserve"> </w:t>
      </w:r>
      <w:r>
        <w:t xml:space="preserve">— routed</w:t>
      </w:r>
      <w:r>
        <w:t xml:space="preserve"> </w:t>
      </w:r>
      <w:r>
        <w:t xml:space="preserve">through the king’s private rooms — precisely in order to be</w:t>
      </w:r>
      <w:r>
        <w:t xml:space="preserve"> </w:t>
      </w:r>
      <w:r>
        <w:t xml:space="preserve">institutionalised, pulled out of the old departmental inertia into</w:t>
      </w:r>
      <w:r>
        <w:t xml:space="preserve"> </w:t>
      </w:r>
      <w:r>
        <w:t xml:space="preserve">an apparatus the centre could actually steer.</w:t>
      </w:r>
    </w:p>
    <w:p>
      <w:pPr>
        <w:pStyle w:val="BodyText"/>
      </w:pPr>
      <w:r>
        <w:rPr>
          <w:iCs/>
          <w:i/>
        </w:rPr>
        <w:t xml:space="preserve">Draft ends. Word count ~3,900 against a ~13,000 chapter</w:t>
      </w:r>
      <w:r>
        <w:rPr>
          <w:iCs/>
          <w:i/>
        </w:rPr>
        <w:t xml:space="preserve"> </w:t>
      </w:r>
      <w:r>
        <w:rPr>
          <w:iCs/>
          <w:i/>
        </w:rPr>
        <w:t xml:space="preserve">weight (memo-limited at the gated dependencies: Wolffe/Chrimes,</w:t>
      </w:r>
      <w:r>
        <w:rPr>
          <w:iCs/>
          <w:i/>
        </w:rPr>
        <w:t xml:space="preserve"> </w:t>
      </w:r>
      <w:r>
        <w:rPr>
          <w:iCs/>
          <w:i/>
        </w:rPr>
        <w:t xml:space="preserve">Lander exact tallies, Elliott/Ladero, İnalcık/Kafadar, Febvre &amp;</w:t>
      </w:r>
      <w:r>
        <w:rPr>
          <w:iCs/>
          <w:i/>
        </w:rPr>
        <w:t xml:space="preserve"> </w:t>
      </w:r>
      <w:r>
        <w:rPr>
          <w:iCs/>
          <w:i/>
        </w:rPr>
        <w:t xml:space="preserve">Martin; and §VI compressed pending Roderick’s [BRIDGE]</w:t>
      </w:r>
      <w:r>
        <w:rPr>
          <w:iCs/>
          <w:i/>
        </w:rPr>
        <w:t xml:space="preserve"> </w:t>
      </w:r>
      <w:r>
        <w:rPr>
          <w:iCs/>
          <w:i/>
        </w:rPr>
        <w:t xml:space="preserve">development). Voice-discipline ledger (counted as produced):</w:t>
      </w:r>
      <w:r>
        <w:rPr>
          <w:iCs/>
          <w:i/>
        </w:rPr>
        <w:t xml:space="preserve"> </w:t>
      </w:r>
      <w:r>
        <w:rPr>
          <w:iCs/>
          <w:i/>
        </w:rPr>
        <w:t xml:space="preserve">coined concept — NONE (</w:t>
      </w:r>
      <w:r>
        <w:rPr>
          <w:iCs/>
          <w:i/>
        </w:rPr>
        <w:t xml:space="preserve">“</w:t>
      </w:r>
      <w:r>
        <w:rPr>
          <w:iCs/>
          <w:i/>
        </w:rPr>
        <w:t xml:space="preserve">New Monarchy</w:t>
      </w:r>
      <w:r>
        <w:rPr>
          <w:iCs/>
          <w:i/>
        </w:rPr>
        <w:t xml:space="preserve">”</w:t>
      </w:r>
      <w:r>
        <w:rPr>
          <w:iCs/>
          <w:i/>
        </w:rPr>
        <w:t xml:space="preserve"> </w:t>
      </w:r>
      <w:r>
        <w:rPr>
          <w:iCs/>
          <w:i/>
        </w:rPr>
        <w:t xml:space="preserve">is Green’s, quoted at</w:t>
      </w:r>
      <w:r>
        <w:rPr>
          <w:iCs/>
          <w:i/>
        </w:rPr>
        <w:t xml:space="preserve"> </w:t>
      </w:r>
      <w:r>
        <w:rPr>
          <w:iCs/>
          <w:i/>
        </w:rPr>
        <w:t xml:space="preserve">T1; the five-move schema is (c) but not a coinage); vivid image</w:t>
      </w:r>
      <w:r>
        <w:rPr>
          <w:iCs/>
          <w:i/>
        </w:rPr>
        <w:t xml:space="preserve"> </w:t>
      </w:r>
      <w:r>
        <w:rPr>
          <w:iCs/>
          <w:i/>
        </w:rPr>
        <w:t xml:space="preserve">— absorption</w:t>
      </w:r>
      <w:r>
        <w:rPr>
          <w:iCs/>
          <w:i/>
        </w:rPr>
        <w:t xml:space="preserve"> </w:t>
      </w:r>
      <w:r>
        <w:rPr>
          <w:iCs/>
          <w:i/>
        </w:rPr>
        <w:t xml:space="preserve">“</w:t>
      </w:r>
      <w:r>
        <w:rPr>
          <w:iCs/>
          <w:i/>
        </w:rPr>
        <w:t xml:space="preserve">performed with the Church’s own silverware</w:t>
      </w:r>
      <w:r>
        <w:rPr>
          <w:iCs/>
          <w:i/>
        </w:rPr>
        <w:t xml:space="preserve">”</w:t>
      </w:r>
      <w:r>
        <w:rPr>
          <w:iCs/>
          <w:i/>
        </w:rPr>
        <w:t xml:space="preserve"> </w:t>
      </w:r>
      <w:r>
        <w:rPr>
          <w:iCs/>
          <w:i/>
        </w:rPr>
        <w:t xml:space="preserve">(§III); aphoristic line —</w:t>
      </w:r>
      <w:r>
        <w:rPr>
          <w:iCs/>
          <w:i/>
        </w:rPr>
        <w:t xml:space="preserve"> </w:t>
      </w:r>
      <w:r>
        <w:rPr>
          <w:iCs/>
          <w:i/>
        </w:rPr>
        <w:t xml:space="preserve">“</w:t>
      </w:r>
      <w:r>
        <w:rPr>
          <w:iCs/>
          <w:i/>
        </w:rPr>
        <w:t xml:space="preserve">a fine never meant to be collected,</w:t>
      </w:r>
      <w:r>
        <w:rPr>
          <w:iCs/>
          <w:i/>
        </w:rPr>
        <w:t xml:space="preserve"> </w:t>
      </w:r>
      <w:r>
        <w:rPr>
          <w:iCs/>
          <w:i/>
        </w:rPr>
        <w:t xml:space="preserve">only to convert a magnate into a bondholder of his own</w:t>
      </w:r>
      <w:r>
        <w:rPr>
          <w:iCs/>
          <w:i/>
        </w:rPr>
        <w:t xml:space="preserve"> </w:t>
      </w:r>
      <w:r>
        <w:rPr>
          <w:iCs/>
          <w:i/>
        </w:rPr>
        <w:t xml:space="preserve">obedience</w:t>
      </w:r>
      <w:r>
        <w:rPr>
          <w:iCs/>
          <w:i/>
        </w:rPr>
        <w:t xml:space="preserve">”</w:t>
      </w:r>
      <w:r>
        <w:rPr>
          <w:iCs/>
          <w:i/>
        </w:rPr>
        <w:t xml:space="preserve"> </w:t>
      </w:r>
      <w:r>
        <w:rPr>
          <w:iCs/>
          <w:i/>
        </w:rPr>
        <w:t xml:space="preserve">(§I, the memo’s reviewed candidate). One [BRIDGE]</w:t>
      </w:r>
      <w:r>
        <w:rPr>
          <w:iCs/>
          <w:i/>
        </w:rPr>
        <w:t xml:space="preserve"> </w:t>
      </w:r>
      <w:r>
        <w:rPr>
          <w:iCs/>
          <w:i/>
        </w:rPr>
        <w:t xml:space="preserve">section (§VI), carrying [RE-CHECK AT PRESS] entire. [GAP]</w:t>
      </w:r>
      <w:r>
        <w:rPr>
          <w:iCs/>
          <w:i/>
        </w:rPr>
        <w:t xml:space="preserve"> </w:t>
      </w:r>
      <w:r>
        <w:rPr>
          <w:iCs/>
          <w:i/>
        </w:rPr>
        <w:t xml:space="preserve">flags: Wolffe/Chrimes; Lander; Elliott/Kamen; İnalcık; Febvre</w:t>
      </w:r>
      <w:r>
        <w:rPr>
          <w:iCs/>
          <w:i/>
        </w:rPr>
        <w:t xml:space="preserve"> </w:t>
      </w:r>
      <w:r>
        <w:rPr>
          <w:iCs/>
          <w:i/>
        </w:rPr>
        <w:t xml:space="preserve">&amp; Martin. Corrections carried: Lander 36/62 not two-thirds;</w:t>
      </w:r>
      <w:r>
        <w:rPr>
          <w:iCs/>
          <w:i/>
        </w:rPr>
        <w:t xml:space="preserve"> </w:t>
      </w:r>
      <w:r>
        <w:rPr>
          <w:iCs/>
          <w:i/>
        </w:rPr>
        <w:t xml:space="preserve">Bergavenny assessed-commuted-cancelled per Ross; Santiago</w:t>
      </w:r>
      <w:r>
        <w:rPr>
          <w:iCs/>
          <w:i/>
        </w:rPr>
        <w:t xml:space="preserve"> </w:t>
      </w:r>
      <w:r>
        <w:rPr>
          <w:iCs/>
          <w:i/>
        </w:rPr>
        <w:t xml:space="preserve">1499; annexation 1523; janissary range hedged; kanunname</w:t>
      </w:r>
      <w:r>
        <w:rPr>
          <w:iCs/>
          <w:i/>
        </w:rPr>
        <w:t xml:space="preserve"> </w:t>
      </w:r>
      <w:r>
        <w:rPr>
          <w:iCs/>
          <w:i/>
        </w:rPr>
        <w:t xml:space="preserve">debate staged; Özel caveat; the Pillar Two carve-out, FTC</w:t>
      </w:r>
      <w:r>
        <w:rPr>
          <w:iCs/>
          <w:i/>
        </w:rPr>
        <w:t xml:space="preserve"> </w:t>
      </w:r>
      <w:r>
        <w:rPr>
          <w:iCs/>
          <w:i/>
        </w:rPr>
        <w:t xml:space="preserve">loss, and Anthropic reversal printed, not smoothed. No claim</w:t>
      </w:r>
      <w:r>
        <w:rPr>
          <w:iCs/>
          <w:i/>
        </w:rPr>
        <w:t xml:space="preserve"> </w:t>
      </w:r>
      <w:r>
        <w:rPr>
          <w:iCs/>
          <w:i/>
        </w:rPr>
        <w:t xml:space="preserve">beyond the reviewed memo.</w:t>
      </w:r>
    </w:p>
    <w:bookmarkEnd w:id="123"/>
    <w:bookmarkEnd w:id="124"/>
    <w:bookmarkStart w:id="127" w:name="X285cb1ad71a58ae2efc83079bd1856b228a54dd"/>
    <w:p>
      <w:pPr>
        <w:pStyle w:val="Heading2"/>
      </w:pPr>
      <w:r>
        <w:t xml:space="preserve">ch12 — Revisions 3 (SPINE-directed insertions: §IV Rockefeller/licensing; §V nuclear overhang) and 5 (Jeddah, Proclamation 11002, CRS R48887 corrections) (ch12/draft.md)</w:t>
      </w:r>
    </w:p>
    <w:bookmarkStart w:id="125" w:name="the-revisions-notes-4"/>
    <w:p>
      <w:pPr>
        <w:pStyle w:val="Heading3"/>
      </w:pPr>
      <w:r>
        <w:t xml:space="preserve">The Revisions note(s)</w:t>
      </w:r>
    </w:p>
    <w:p>
      <w:pPr>
        <w:numPr>
          <w:ilvl w:val="0"/>
          <w:numId w:val="1050"/>
        </w:numPr>
      </w:pPr>
      <w:r>
        <w:rPr>
          <w:bCs/>
          <w:b/>
        </w:rPr>
        <w:t xml:space="preserve">(2026-08-03, per instruction.)</w:t>
      </w:r>
      <w:r>
        <w:t xml:space="preserve"> </w:t>
      </w:r>
      <w:r>
        <w:t xml:space="preserve">The two SPINE-directed</w:t>
      </w:r>
      <w:r>
        <w:t xml:space="preserve"> </w:t>
      </w:r>
      <w:r>
        <w:t xml:space="preserve">insertions of Revisions 3 (the §IV Rockefeller/licensing</w:t>
      </w:r>
      <w:r>
        <w:t xml:space="preserve"> </w:t>
      </w:r>
      <w:r>
        <w:t xml:space="preserve">observation; the §V nuclear-overhang paragraph) are additions the</w:t>
      </w:r>
      <w:r>
        <w:t xml:space="preserve"> </w:t>
      </w:r>
      <w:r>
        <w:t xml:space="preserve">SPINE ordered, not reviewed rewrites: their wording stands</w:t>
      </w:r>
      <w:r>
        <w:t xml:space="preserve"> </w:t>
      </w:r>
      <w:r>
        <w:rPr>
          <w:bCs/>
          <w:b/>
        </w:rPr>
        <w:t xml:space="preserve">PENDING HUMAN REVIEW</w:t>
      </w:r>
      <w:r>
        <w:t xml:space="preserve"> </w:t>
      </w:r>
      <w:r>
        <w:t xml:space="preserve">within an otherwise REVIEWED draft. No</w:t>
      </w:r>
      <w:r>
        <w:t xml:space="preserve"> </w:t>
      </w:r>
      <w:r>
        <w:t xml:space="preserve">other passage was touched.</w:t>
      </w:r>
    </w:p>
    <w:p>
      <w:pPr>
        <w:numPr>
          <w:ilvl w:val="0"/>
          <w:numId w:val="1050"/>
        </w:numPr>
      </w:pPr>
      <w:r>
        <w:rPr>
          <w:bCs/>
          <w:b/>
        </w:rPr>
        <w:t xml:space="preserve">(2026-08-03 — the three browser pulls arrived; pins executed.)</w:t>
      </w:r>
    </w:p>
    <w:p>
      <w:pPr>
        <w:numPr>
          <w:ilvl w:val="1"/>
          <w:numId w:val="1051"/>
        </w:numPr>
        <w:pStyle w:val="Compact"/>
      </w:pPr>
      <w:r>
        <w:t xml:space="preserve">The Jeddah statement (president.gov.ua print, in repo): §I’s</w:t>
      </w:r>
      <w:r>
        <w:t xml:space="preserve"> </w:t>
      </w:r>
      <w:r>
        <w:t xml:space="preserve">[GAP] closed with the verbatim sentence (</w:t>
      </w:r>
      <w:r>
        <w:t xml:space="preserve">“</w:t>
      </w:r>
      <w:r>
        <w:t xml:space="preserve">The United States will</w:t>
      </w:r>
      <w:r>
        <w:t xml:space="preserve"> </w:t>
      </w:r>
      <w:r>
        <w:t xml:space="preserve">immediately lift the pause on intelligence sharing and resume</w:t>
      </w:r>
      <w:r>
        <w:t xml:space="preserve"> </w:t>
      </w:r>
      <w:r>
        <w:t xml:space="preserve">security assistance to Ukraine,</w:t>
      </w:r>
      <w:r>
        <w:t xml:space="preserve">”</w:t>
      </w:r>
      <w:r>
        <w:t xml:space="preserve"> </w:t>
      </w:r>
      <w:r>
        <w:t xml:space="preserve">11 March 2025). (b) The Section</w:t>
      </w:r>
      <w:r>
        <w:t xml:space="preserve"> </w:t>
      </w:r>
      <w:r>
        <w:t xml:space="preserve">232 instrument identified and cited at T1: Proclamation 11002 of</w:t>
      </w:r>
      <w:r>
        <w:t xml:space="preserve"> </w:t>
      </w:r>
      <w:r>
        <w:t xml:space="preserve">14 January 2026 (91 FR 2443) — 25% ad valorem on covered</w:t>
      </w:r>
      <w:r>
        <w:t xml:space="preserve"> </w:t>
      </w:r>
      <w:r>
        <w:t xml:space="preserve">semiconductor imports, first phase, offset programme recommended</w:t>
      </w:r>
      <w:r>
        <w:t xml:space="preserve"> </w:t>
      </w:r>
      <w:r>
        <w:t xml:space="preserve">for the second; the §II claim upgraded from T3/T4. (c) CRS R48887</w:t>
      </w:r>
      <w:r>
        <w:t xml:space="preserve"> </w:t>
      </w:r>
      <w:r>
        <w:t xml:space="preserve">original in repo: the mirror citation retired; two attribution</w:t>
      </w:r>
      <w:r>
        <w:t xml:space="preserve"> </w:t>
      </w:r>
      <w:r>
        <w:t xml:space="preserve">corrections from the original — the $11.3bn figure is NYT-reported</w:t>
      </w:r>
      <w:r>
        <w:t xml:space="preserve"> </w:t>
      </w:r>
      <w:r>
        <w:t xml:space="preserve">Pentagon briefing material and explicitly partial (not</w:t>
      </w:r>
      <w:r>
        <w:t xml:space="preserve"> </w:t>
      </w:r>
      <w:r>
        <w:t xml:space="preserve">“</w:t>
      </w:r>
      <w:r>
        <w:t xml:space="preserve">the</w:t>
      </w:r>
      <w:r>
        <w:t xml:space="preserve"> </w:t>
      </w:r>
      <w:r>
        <w:t xml:space="preserve">official figure</w:t>
      </w:r>
      <w:r>
        <w:t xml:space="preserve">”</w:t>
      </w:r>
      <w:r>
        <w:t xml:space="preserve"> </w:t>
      </w:r>
      <w:r>
        <w:t xml:space="preserve">as the mirror-based text had it), the operation</w:t>
      </w:r>
      <w:r>
        <w:t xml:space="preserve"> </w:t>
      </w:r>
      <w:r>
        <w:t xml:space="preserve">is named (Epic Fury), and the reported-fatalities category now</w:t>
      </w:r>
      <w:r>
        <w:t xml:space="preserve"> </w:t>
      </w:r>
      <w:r>
        <w:t xml:space="preserve">includes the &gt;1,000 Lebanon figure. All changed passages PENDING</w:t>
      </w:r>
      <w:r>
        <w:t xml:space="preserve"> </w:t>
      </w:r>
      <w:r>
        <w:t xml:space="preserve">HUMAN REVIEW; [RE-CHECK AT PRESS] retained (events ongoing at the</w:t>
      </w:r>
      <w:r>
        <w:t xml:space="preserve"> </w:t>
      </w:r>
      <w:r>
        <w:t xml:space="preserve">report’s date).</w:t>
      </w:r>
    </w:p>
    <w:p>
      <w:r>
        <w:pict>
          <v:rect style="width:0;height:1.5pt" o:hralign="center" o:hrstd="t" o:hr="t"/>
        </w:pict>
      </w:r>
    </w:p>
    <w:p>
      <w:pPr>
        <w:pStyle w:val="FirstParagraph"/>
      </w:pPr>
      <w:r>
        <w:t xml:space="preserve">STATUS: REVIEWED (Roderick, 2026-08-02) — approved with revisions</w:t>
      </w:r>
      <w:r>
        <w:t xml:space="preserve"> </w:t>
      </w:r>
      <w:r>
        <w:t xml:space="preserve">applied. The SPINE-directed insertions (Revisions 3) and the</w:t>
      </w:r>
      <w:r>
        <w:t xml:space="preserve"> </w:t>
      </w:r>
      <w:r>
        <w:t xml:space="preserve">Revisions 5 pin corrections are PENDING HUMAN REVIEW; the remainder</w:t>
      </w:r>
      <w:r>
        <w:t xml:space="preserve"> </w:t>
      </w:r>
      <w:r>
        <w:t xml:space="preserve">of the draft is reviewed.</w:t>
      </w:r>
    </w:p>
    <w:bookmarkEnd w:id="125"/>
    <w:bookmarkStart w:id="126" w:name="X958fafea4423b8e07cc1b251a1a6c8a3d94248f"/>
    <w:p>
      <w:pPr>
        <w:pStyle w:val="Heading3"/>
      </w:pPr>
      <w:r>
        <w:t xml:space="preserve">The passages as they now read (located by the terms the note names — the draft carries no in-text marker)</w:t>
      </w:r>
    </w:p>
    <w:p>
      <w:pPr>
        <w:pStyle w:val="FirstParagraph"/>
      </w:pPr>
      <w:r>
        <w:t xml:space="preserve">The sequence ran inside a single week, and it is drafted here as the</w:t>
      </w:r>
      <w:r>
        <w:t xml:space="preserve"> </w:t>
      </w:r>
      <w:r>
        <w:t xml:space="preserve">dated episode it was: on 3 March the United States suspended military</w:t>
      </w:r>
      <w:r>
        <w:t xml:space="preserve"> </w:t>
      </w:r>
      <w:r>
        <w:t xml:space="preserve">aid to Ukraine; on or about the 5th, intelligence sharing was paused —</w:t>
      </w:r>
      <w:r>
        <w:t xml:space="preserve"> </w:t>
      </w:r>
      <w:r>
        <w:t xml:space="preserve">the CIA director’s own word; on the 8th, the National</w:t>
      </w:r>
      <w:r>
        <w:t xml:space="preserve"> </w:t>
      </w:r>
      <w:r>
        <w:t xml:space="preserve">Geospatial-Intelligence Agency cut Ukrainian access to US-purchased</w:t>
      </w:r>
      <w:r>
        <w:t xml:space="preserve"> </w:t>
      </w:r>
      <w:r>
        <w:t xml:space="preserve">commercial satellite imagery. Within days the effects were tactical</w:t>
      </w:r>
      <w:r>
        <w:t xml:space="preserve"> </w:t>
      </w:r>
      <w:r>
        <w:t xml:space="preserve">and specific: HIMARS targeting degraded, Patriot cueing impaired — the</w:t>
      </w:r>
      <w:r>
        <w:t xml:space="preserve"> </w:t>
      </w:r>
      <w:r>
        <w:t xml:space="preserve">precision instruments of a military that had made itself the world’s</w:t>
      </w:r>
      <w:r>
        <w:t xml:space="preserve"> </w:t>
      </w:r>
      <w:r>
        <w:t xml:space="preserve">laboratory of drone warfare, blunted not by any enemy action but by a</w:t>
      </w:r>
      <w:r>
        <w:t xml:space="preserve"> </w:t>
      </w:r>
      <w:r>
        <w:t xml:space="preserve">patron’s pause. Restoration followed the Jeddah joint statement of 11 March, in</w:t>
      </w:r>
      <w:r>
        <w:t xml:space="preserve"> </w:t>
      </w:r>
      <w:r>
        <w:t xml:space="preserve">wording now quoted from the document:</w:t>
      </w:r>
      <w:r>
        <w:t xml:space="preserve"> </w:t>
      </w:r>
      <w:r>
        <w:t xml:space="preserve">“</w:t>
      </w:r>
      <w:r>
        <w:t xml:space="preserve">The United States will</w:t>
      </w:r>
      <w:r>
        <w:t xml:space="preserve"> </w:t>
      </w:r>
      <w:r>
        <w:t xml:space="preserve">immediately lift the pause on intelligence sharing and resume</w:t>
      </w:r>
      <w:r>
        <w:t xml:space="preserve"> </w:t>
      </w:r>
      <w:r>
        <w:t xml:space="preserve">security assistance to Ukraine</w:t>
      </w:r>
      <w:r>
        <w:t xml:space="preserve">”</w:t>
      </w:r>
      <w:r>
        <w:t xml:space="preserve"> </w:t>
      </w:r>
      <w:r>
        <w:t xml:space="preserve">(Joint Statement, Jeddah, 11 March</w:t>
      </w:r>
      <w:r>
        <w:t xml:space="preserve"> </w:t>
      </w:r>
      <w:r>
        <w:t xml:space="preserve">2025, primary, in repo) — a patron’s pause, lifted by treaty</w:t>
      </w:r>
      <w:r>
        <w:t xml:space="preserve"> </w:t>
      </w:r>
      <w:r>
        <w:t xml:space="preserve">language, eight days after it began. Ukraine flew its millions of</w:t>
      </w:r>
      <w:r>
        <w:t xml:space="preserve"> </w:t>
      </w:r>
      <w:r>
        <w:t xml:space="preserve">drones that week as before. What the week demonstrated was the layer</w:t>
      </w:r>
      <w:r>
        <w:t xml:space="preserve"> </w:t>
      </w:r>
      <w:r>
        <w:t xml:space="preserve">the drones fly</w:t>
      </w:r>
      <w:r>
        <w:t xml:space="preserve"> </w:t>
      </w:r>
      <w:r>
        <w:rPr>
          <w:iCs/>
          <w:i/>
        </w:rPr>
        <w:t xml:space="preserve">within</w:t>
      </w:r>
      <w:r>
        <w:t xml:space="preserve">: the communications backbone (some 42,000</w:t>
      </w:r>
      <w:r>
        <w:t xml:space="preserve"> </w:t>
      </w:r>
      <w:r>
        <w:t xml:space="preserve">Starlink terminals,</w:t>
      </w:r>
      <w:r>
        <w:t xml:space="preserve"> </w:t>
      </w:r>
      <w:r>
        <w:t xml:space="preserve">“</w:t>
      </w:r>
      <w:r>
        <w:t xml:space="preserve">the essential backbone</w:t>
      </w:r>
      <w:r>
        <w:t xml:space="preserve">”</w:t>
      </w:r>
      <w:r>
        <w:t xml:space="preserve"> </w:t>
      </w:r>
      <w:r>
        <w:t xml:space="preserve">in the standard</w:t>
      </w:r>
      <w:r>
        <w:t xml:space="preserve"> </w:t>
      </w:r>
      <w:r>
        <w:t xml:space="preserve">description), the satellite reconnaissance, the interceptor stocks,</w:t>
      </w:r>
      <w:r>
        <w:t xml:space="preserve"> </w:t>
      </w:r>
      <w:r>
        <w:t xml:space="preserve">the deep-strike permissions granted in November 2024 and revocable at</w:t>
      </w:r>
      <w:r>
        <w:t xml:space="preserve"> </w:t>
      </w:r>
      <w:r>
        <w:t xml:space="preserve">will — all of it another polity’s property. A drone-rich army learned,</w:t>
      </w:r>
      <w:r>
        <w:t xml:space="preserve"> </w:t>
      </w:r>
      <w:r>
        <w:t xml:space="preserve">in one week, that its cheap strike complex aimed through an ally’s</w:t>
      </w:r>
      <w:r>
        <w:t xml:space="preserve"> </w:t>
      </w:r>
      <w:r>
        <w:t xml:space="preserve">targeting layer, and that the layer had an owner.</w:t>
      </w:r>
    </w:p>
    <w:p>
      <w:pPr>
        <w:pStyle w:val="BodyText"/>
      </w:pPr>
      <w:r>
        <w:t xml:space="preserve">Cerny’s second characteristic, the reader will recall from Chapter</w:t>
      </w:r>
      <w:r>
        <w:t xml:space="preserve"> </w:t>
      </w:r>
      <w:r>
        <w:t xml:space="preserve">1, was the</w:t>
      </w:r>
      <w:r>
        <w:t xml:space="preserve"> </w:t>
      </w:r>
      <w:r>
        <w:rPr>
          <w:iCs/>
          <w:i/>
        </w:rPr>
        <w:t xml:space="preserve">lack</w:t>
      </w:r>
      <w:r>
        <w:t xml:space="preserve"> </w:t>
      </w:r>
      <w:r>
        <w:t xml:space="preserve">of exogenous territorialising pressure — his own</w:t>
      </w:r>
      <w:r>
        <w:t xml:space="preserve"> </w:t>
      </w:r>
      <w:r>
        <w:t xml:space="preserve">referent for the pressure being</w:t>
      </w:r>
      <w:r>
        <w:t xml:space="preserve"> </w:t>
      </w:r>
      <w:r>
        <w:t xml:space="preserve">“</w:t>
      </w:r>
      <w:r>
        <w:t xml:space="preserve">the inter-dynastic struggles of the</w:t>
      </w:r>
      <w:r>
        <w:t xml:space="preserve"> </w:t>
      </w:r>
      <w:r>
        <w:t xml:space="preserve">Hundred Years’ War.</w:t>
      </w:r>
      <w:r>
        <w:t xml:space="preserve">”</w:t>
      </w:r>
      <w:r>
        <w:t xml:space="preserve"> </w:t>
      </w:r>
      <w:r>
        <w:t xml:space="preserve">Audit the mid-2020s against it. At The Hague,</w:t>
      </w:r>
      <w:r>
        <w:t xml:space="preserve"> </w:t>
      </w:r>
      <w:r>
        <w:t xml:space="preserve">in June 2025, the Atlantic alliance pledged its members to</w:t>
      </w:r>
      <w:r>
        <w:t xml:space="preserve"> </w:t>
      </w:r>
      <w:r>
        <w:t xml:space="preserve">“</w:t>
      </w:r>
      <w:r>
        <w:t xml:space="preserve">invest</w:t>
      </w:r>
      <w:r>
        <w:t xml:space="preserve"> </w:t>
      </w:r>
      <w:r>
        <w:t xml:space="preserve">5% of GDP annually on core defence requirements as well as defence-</w:t>
      </w:r>
      <w:r>
        <w:t xml:space="preserve"> </w:t>
      </w:r>
      <w:r>
        <w:t xml:space="preserve">and security-related spending by 2035</w:t>
      </w:r>
      <w:r>
        <w:t xml:space="preserve">”</w:t>
      </w:r>
      <w:r>
        <w:t xml:space="preserve"> </w:t>
      </w:r>
      <w:r>
        <w:t xml:space="preserve">(NATO communiqué, primary) —</w:t>
      </w:r>
      <w:r>
        <w:t xml:space="preserve"> </w:t>
      </w:r>
      <w:r>
        <w:t xml:space="preserve">a level unseen since the Cold War’s depths. The European Union</w:t>
      </w:r>
      <w:r>
        <w:t xml:space="preserve"> </w:t>
      </w:r>
      <w:r>
        <w:t xml:space="preserve">announced ReArm Europe: up to €800 billion — €650 billion of fiscal</w:t>
      </w:r>
      <w:r>
        <w:t xml:space="preserve"> </w:t>
      </w:r>
      <w:r>
        <w:t xml:space="preserve">flexibility and €150 billion of SAFE lending, disbursing from early</w:t>
      </w:r>
      <w:r>
        <w:t xml:space="preserve"> </w:t>
      </w:r>
      <w:r>
        <w:t xml:space="preserve">2026 (Commission, primary). China’s fifteenth Five-Year Plan (March</w:t>
      </w:r>
      <w:r>
        <w:t xml:space="preserve"> </w:t>
      </w:r>
      <w:r>
        <w:t xml:space="preserve">2026) headlines</w:t>
      </w:r>
      <w:r>
        <w:t xml:space="preserve"> </w:t>
      </w:r>
      <w:r>
        <w:t xml:space="preserve">“</w:t>
      </w:r>
      <w:r>
        <w:t xml:space="preserve">greater self-reliance and strength in science and</w:t>
      </w:r>
      <w:r>
        <w:t xml:space="preserve"> </w:t>
      </w:r>
      <w:r>
        <w:t xml:space="preserve">technology</w:t>
      </w:r>
      <w:r>
        <w:t xml:space="preserve">”</w:t>
      </w:r>
      <w:r>
        <w:t xml:space="preserve"> </w:t>
      </w:r>
      <w:r>
        <w:t xml:space="preserve">(primary); the American chip-policy turn of 2026 pairs</w:t>
      </w:r>
      <w:r>
        <w:t xml:space="preserve"> </w:t>
      </w:r>
      <w:r>
        <w:t xml:space="preserve">eased licensing with a Section 232 instrument now cited from the</w:t>
      </w:r>
      <w:r>
        <w:t xml:space="preserve"> </w:t>
      </w:r>
      <w:r>
        <w:t xml:space="preserve">Federal Register: Proclamation 11002 of 14 January 2026, imposing an</w:t>
      </w:r>
      <w:r>
        <w:t xml:space="preserve"> </w:t>
      </w:r>
      <w:r>
        <w:t xml:space="preserve">immediate 25 per cent ad valorem duty on covered semiconductor</w:t>
      </w:r>
      <w:r>
        <w:t xml:space="preserve"> </w:t>
      </w:r>
      <w:r>
        <w:t xml:space="preserve">imports as a first phase, with broader tariffs and an investment</w:t>
      </w:r>
      <w:r>
        <w:t xml:space="preserve"> </w:t>
      </w:r>
      <w:r>
        <w:t xml:space="preserve">offset programme recommended for a second (91 FR 2443, primary, in</w:t>
      </w:r>
      <w:r>
        <w:t xml:space="preserve"> </w:t>
      </w:r>
      <w:r>
        <w:t xml:space="preserve">repo). And the decade’s sharpest</w:t>
      </w:r>
      <w:r>
        <w:t xml:space="preserve"> </w:t>
      </w:r>
      <w:r>
        <w:t xml:space="preserve">exogenous datum now has its documentary record [RE-CHECK AT PRESS —</w:t>
      </w:r>
      <w:r>
        <w:t xml:space="preserve"> </w:t>
      </w:r>
      <w:r>
        <w:t xml:space="preserve">the whole passage; source: CRS R48887,</w:t>
      </w:r>
      <w:r>
        <w:t xml:space="preserve"> </w:t>
      </w:r>
      <w:r>
        <w:t xml:space="preserve">“</w:t>
      </w:r>
      <w:r>
        <w:t xml:space="preserve">U.S. Conflict with Iran,</w:t>
      </w:r>
      <w:r>
        <w:t xml:space="preserve">”</w:t>
      </w:r>
      <w:r>
        <w:t xml:space="preserve"> </w:t>
      </w:r>
      <w:r>
        <w:t xml:space="preserve">26 March 2026, the congress.gov original now in repo]: the United States struck three Iranian</w:t>
      </w:r>
      <w:r>
        <w:t xml:space="preserve"> </w:t>
      </w:r>
      <w:r>
        <w:t xml:space="preserve">nuclear facilities on 22 June 2025, absorbed Iran’s retaliatory</w:t>
      </w:r>
      <w:r>
        <w:t xml:space="preserve"> </w:t>
      </w:r>
      <w:r>
        <w:t xml:space="preserve">missile attack on Al Udeid the next day, and — after the Tehran</w:t>
      </w:r>
      <w:r>
        <w:t xml:space="preserve"> </w:t>
      </w:r>
      <w:r>
        <w:t xml:space="preserve">demonstrations of December 2025 — opened, with Israel, a full</w:t>
      </w:r>
      <w:r>
        <w:t xml:space="preserve"> </w:t>
      </w:r>
      <w:r>
        <w:t xml:space="preserve">campaign against Iranian targets on 28 February 2026, in which the</w:t>
      </w:r>
      <w:r>
        <w:t xml:space="preserve"> </w:t>
      </w:r>
      <w:r>
        <w:t xml:space="preserve">Supreme Leader was killed; by 25 March Central Command reported</w:t>
      </w:r>
      <w:r>
        <w:t xml:space="preserve"> </w:t>
      </w:r>
      <w:r>
        <w:t xml:space="preserve">more than 10,000 targets struck; and the cost figure the CRS report</w:t>
      </w:r>
      <w:r>
        <w:t xml:space="preserve"> </w:t>
      </w:r>
      <w:r>
        <w:t xml:space="preserve">carries — attributed there to New York Times reporting of Pentagon</w:t>
      </w:r>
      <w:r>
        <w:t xml:space="preserve"> </w:t>
      </w:r>
      <w:r>
        <w:t xml:space="preserve">briefings to Members, and noted as excluding many associated costs —</w:t>
      </w:r>
      <w:r>
        <w:t xml:space="preserve"> </w:t>
      </w:r>
      <w:r>
        <w:t xml:space="preserve">put Operation Epic Fury above</w:t>
      </w:r>
      <w:r>
        <w:t xml:space="preserve"> </w:t>
      </w:r>
      <w:r>
        <w:t xml:space="preserve">“</w:t>
      </w:r>
      <w:r>
        <w:t xml:space="preserve">$11.3 billion in the first six</w:t>
      </w:r>
      <w:r>
        <w:t xml:space="preserve"> </w:t>
      </w:r>
      <w:r>
        <w:t xml:space="preserve">days.</w:t>
      </w:r>
      <w:r>
        <w:t xml:space="preserve">”</w:t>
      </w:r>
      <w:r>
        <w:t xml:space="preserve"> </w:t>
      </w:r>
      <w:r>
        <w:t xml:space="preserve">A great-power war of exactly the kind the</w:t>
      </w:r>
      <w:r>
        <w:t xml:space="preserve"> </w:t>
      </w:r>
      <w:r>
        <w:t xml:space="preserve">neomedieval diagnosis’s second characteristic said had left the</w:t>
      </w:r>
      <w:r>
        <w:t xml:space="preserve"> </w:t>
      </w:r>
      <w:r>
        <w:t xml:space="preserve">system: the pressure is not returning; it has returned. The pattern</w:t>
      </w:r>
      <w:r>
        <w:t xml:space="preserve"> </w:t>
      </w:r>
      <w:r>
        <w:t xml:space="preserve">across every bloc at once: rearmament, industrial-base panic,</w:t>
      </w:r>
      <w:r>
        <w:t xml:space="preserve"> </w:t>
      </w:r>
      <w:r>
        <w:t xml:space="preserve">frontier technology treated as sovereign capacity — the exogenous</w:t>
      </w:r>
      <w:r>
        <w:t xml:space="preserve"> </w:t>
      </w:r>
      <w:r>
        <w:t xml:space="preserve">consolidating pressure, back on the ledgers. Chapter 1 marked its</w:t>
      </w:r>
      <w:r>
        <w:t xml:space="preserve"> </w:t>
      </w:r>
      <w:r>
        <w:t xml:space="preserve">absence as the diagnosis’s weakest joint and predicted its return</w:t>
      </w:r>
      <w:r>
        <w:t xml:space="preserve"> </w:t>
      </w:r>
      <w:r>
        <w:t xml:space="preserve">would announce the pendulum. The announcements are now annual</w:t>
      </w:r>
      <w:r>
        <w:t xml:space="preserve"> </w:t>
      </w:r>
      <w:r>
        <w:t xml:space="preserve">budget lines.</w:t>
      </w:r>
    </w:p>
    <w:p>
      <w:pPr>
        <w:pStyle w:val="BodyText"/>
      </w:pPr>
      <w:r>
        <w:t xml:space="preserve">Its legibility is infrastructural and persistent. The automatic</w:t>
      </w:r>
      <w:r>
        <w:t xml:space="preserve"> </w:t>
      </w:r>
      <w:r>
        <w:t xml:space="preserve">exchange of financial information across 116 jurisdictions and 171</w:t>
      </w:r>
      <w:r>
        <w:t xml:space="preserve"> </w:t>
      </w:r>
      <w:r>
        <w:t xml:space="preserve">million accounts; a subcontinent transacting twenty billion</w:t>
      </w:r>
      <w:r>
        <w:t xml:space="preserve"> </w:t>
      </w:r>
      <w:r>
        <w:t xml:space="preserve">identity-linked payments a month; dollar legibility routed through</w:t>
      </w:r>
      <w:r>
        <w:t xml:space="preserve"> </w:t>
      </w:r>
      <w:r>
        <w:t xml:space="preserve">regulated private stablecoin rails under the GENIUS Act; the</w:t>
      </w:r>
      <w:r>
        <w:t xml:space="preserve"> </w:t>
      </w:r>
      <w:r>
        <w:t xml:space="preserve">e-CNY’s operations centre; the identity stacks. The medieval</w:t>
      </w:r>
      <w:r>
        <w:t xml:space="preserve"> </w:t>
      </w:r>
      <w:r>
        <w:t xml:space="preserve">subject met the state’s gaze episodically — at the assize, the</w:t>
      </w:r>
      <w:r>
        <w:t xml:space="preserve"> </w:t>
      </w:r>
      <w:r>
        <w:t xml:space="preserve">muster, the tithe barn; his modern successor is registered</w:t>
      </w:r>
      <w:r>
        <w:t xml:space="preserve"> </w:t>
      </w:r>
      <w:r>
        <w:t xml:space="preserve">continuously. The disanalogy is stated with the structural point:</w:t>
      </w:r>
      <w:r>
        <w:t xml:space="preserve"> </w:t>
      </w:r>
      <w:r>
        <w:t xml:space="preserve">registration is not the levy, audit is not the auto-da-fé, and the</w:t>
      </w:r>
      <w:r>
        <w:t xml:space="preserve"> </w:t>
      </w:r>
      <w:r>
        <w:t xml:space="preserve">comparison licenses nothing beyond the observation that uniform</w:t>
      </w:r>
      <w:r>
        <w:t xml:space="preserve"> </w:t>
      </w:r>
      <w:r>
        <w:t xml:space="preserve">legibility is a governing</w:t>
      </w:r>
      <w:r>
        <w:t xml:space="preserve"> </w:t>
      </w:r>
      <w:r>
        <w:rPr>
          <w:iCs/>
          <w:i/>
        </w:rPr>
        <w:t xml:space="preserve">capacity</w:t>
      </w:r>
      <w:r>
        <w:t xml:space="preserve"> </w:t>
      </w:r>
      <w:r>
        <w:t xml:space="preserve">— the capacity the</w:t>
      </w:r>
      <w:r>
        <w:t xml:space="preserve"> </w:t>
      </w:r>
      <w:r>
        <w:t xml:space="preserve">Inquisition and the devşirme built by force and the API builds by</w:t>
      </w:r>
      <w:r>
        <w:t xml:space="preserve"> </w:t>
      </w:r>
      <w:r>
        <w:t xml:space="preserve">default [ANALOGY-ONLY beyond that point].</w:t>
      </w:r>
    </w:p>
    <w:p>
      <w:pPr>
        <w:pStyle w:val="BodyText"/>
      </w:pPr>
      <w:r>
        <w:t xml:space="preserve">The United States is the most probable case, and the least</w:t>
      </w:r>
      <w:r>
        <w:t xml:space="preserve"> </w:t>
      </w:r>
      <w:r>
        <w:t xml:space="preserve">self-aware: the five moves executed haphazardly, half of them</w:t>
      </w:r>
      <w:r>
        <w:t xml:space="preserve"> </w:t>
      </w:r>
      <w:r>
        <w:t xml:space="preserve">under doctrines that would deny the pattern. Its fisc extends</w:t>
      </w:r>
      <w:r>
        <w:t xml:space="preserve"> </w:t>
      </w:r>
      <w:r>
        <w:t xml:space="preserve">through its own instruments while exempting itself from everyone</w:t>
      </w:r>
      <w:r>
        <w:t xml:space="preserve"> </w:t>
      </w:r>
      <w:r>
        <w:t xml:space="preserve">else’s — the stablecoin rails legislated, the global minimum tax</w:t>
      </w:r>
      <w:r>
        <w:t xml:space="preserve"> </w:t>
      </w:r>
      <w:r>
        <w:t xml:space="preserve">carved out for its own parented groups. Its subordination runs</w:t>
      </w:r>
      <w:r>
        <w:t xml:space="preserve"> </w:t>
      </w:r>
      <w:r>
        <w:t xml:space="preserve">through its own courts, wins and losses alike — remedies against</w:t>
      </w:r>
      <w:r>
        <w:t xml:space="preserve"> </w:t>
      </w:r>
      <w:r>
        <w:t xml:space="preserve">Google, contempt against Apple, defeat in the Meta case — the</w:t>
      </w:r>
      <w:r>
        <w:t xml:space="preserve"> </w:t>
      </w:r>
      <w:r>
        <w:t xml:space="preserve">crown ruled by the law it rules through. Its market for force is</w:t>
      </w:r>
      <w:r>
        <w:t xml:space="preserve"> </w:t>
      </w:r>
      <w:r>
        <w:t xml:space="preserve">domesticated by procurement and personnel, without an equity</w:t>
      </w:r>
      <w:r>
        <w:t xml:space="preserve"> </w:t>
      </w:r>
      <w:r>
        <w:t xml:space="preserve">stake in the gunmen — though with one, now, in the foundry. Its</w:t>
      </w:r>
      <w:r>
        <w:t xml:space="preserve"> </w:t>
      </w:r>
      <w:r>
        <w:t xml:space="preserve">canonical assertion turns inward against its own states as much</w:t>
      </w:r>
      <w:r>
        <w:t xml:space="preserve"> </w:t>
      </w:r>
      <w:r>
        <w:t xml:space="preserve">as outward. And its artillery is the stack Chapter 10 audited:</w:t>
      </w:r>
      <w:r>
        <w:t xml:space="preserve"> </w:t>
      </w:r>
      <w:r>
        <w:t xml:space="preserve">the CHIPS programme with its ten per cent of the national</w:t>
      </w:r>
      <w:r>
        <w:t xml:space="preserve"> </w:t>
      </w:r>
      <w:r>
        <w:t xml:space="preserve">champion, the Secure Enclave, the weapons-lab exaflops, the</w:t>
      </w:r>
      <w:r>
        <w:t xml:space="preserve"> </w:t>
      </w:r>
      <w:r>
        <w:t xml:space="preserve">proliferated constellations, the munitions ramp with its</w:t>
      </w:r>
      <w:r>
        <w:t xml:space="preserve"> </w:t>
      </w:r>
      <w:r>
        <w:t xml:space="preserve">shortfall honestly audited by its own inspector general. Henry</w:t>
      </w:r>
      <w:r>
        <w:t xml:space="preserve"> </w:t>
      </w:r>
      <w:r>
        <w:t xml:space="preserve">VII kept his own books; the American Henry publishes his, which</w:t>
      </w:r>
      <w:r>
        <w:t xml:space="preserve"> </w:t>
      </w:r>
      <w:r>
        <w:t xml:space="preserve">is not the same discipline, but is a discipline. One move, however,</w:t>
      </w:r>
      <w:r>
        <w:t xml:space="preserve"> </w:t>
      </w:r>
      <w:r>
        <w:t xml:space="preserve">the American candidacy has not run, and until it runs the candidacy</w:t>
      </w:r>
      <w:r>
        <w:t xml:space="preserve"> </w:t>
      </w:r>
      <w:r>
        <w:t xml:space="preserve">is incomplete — this is the book’s observation (c), offered as</w:t>
      </w:r>
      <w:r>
        <w:t xml:space="preserve"> </w:t>
      </w:r>
      <w:r>
        <w:t xml:space="preserve">analysis and not as counsel, and scored at C11-1. The United States</w:t>
      </w:r>
      <w:r>
        <w:t xml:space="preserve"> </w:t>
      </w:r>
      <w:r>
        <w:t xml:space="preserve">has the stack but has not centralised its universalist platforms;</w:t>
      </w:r>
      <w:r>
        <w:t xml:space="preserve"> </w:t>
      </w:r>
      <w:r>
        <w:t xml:space="preserve">and its present instinct, when it reaches for them, reaches for the</w:t>
      </w:r>
      <w:r>
        <w:t xml:space="preserve"> </w:t>
      </w:r>
      <w:r>
        <w:t xml:space="preserve">nineteenth century — tariffs, and an antitrust vocabulary inherited</w:t>
      </w:r>
      <w:r>
        <w:t xml:space="preserve"> </w:t>
      </w:r>
      <w:r>
        <w:t xml:space="preserve">from the trust-busting age, as though the platforms were its</w:t>
      </w:r>
      <w:r>
        <w:t xml:space="preserve"> </w:t>
      </w:r>
      <w:r>
        <w:t xml:space="preserve">Rockefeller moment. The mechanism this book has traced points two</w:t>
      </w:r>
      <w:r>
        <w:t xml:space="preserve"> </w:t>
      </w:r>
      <w:r>
        <w:t xml:space="preserve">centuries earlier and one register deeper: the platforms are not</w:t>
      </w:r>
      <w:r>
        <w:t xml:space="preserve"> </w:t>
      </w:r>
      <w:r>
        <w:t xml:space="preserve">the American state’s Standard Oil but its monasteries —</w:t>
      </w:r>
      <w:r>
        <w:t xml:space="preserve"> </w:t>
      </w:r>
      <w:r>
        <w:t xml:space="preserve">universalist institutions holding functions and revenues the</w:t>
      </w:r>
      <w:r>
        <w:t xml:space="preserve"> </w:t>
      </w:r>
      <w:r>
        <w:t xml:space="preserve">consolidating centre will need — and the settlement instrument the</w:t>
      </w:r>
      <w:r>
        <w:t xml:space="preserve"> </w:t>
      </w:r>
      <w:r>
        <w:t xml:space="preserve">mechanism predicts is not dissolution-by-breakup but the Henrician</w:t>
      </w:r>
      <w:r>
        <w:t xml:space="preserve"> </w:t>
      </w:r>
      <w:r>
        <w:t xml:space="preserve">one in American legal dress: licence, and the licensing fee — the</w:t>
      </w:r>
      <w:r>
        <w:t xml:space="preserve"> </w:t>
      </w:r>
      <w:r>
        <w:t xml:space="preserve">right to run frontier AI at scale conferred by the state, priced</w:t>
      </w:r>
      <w:r>
        <w:t xml:space="preserve"> </w:t>
      </w:r>
      <w:r>
        <w:t xml:space="preserve">by the state, and collected as the settlement’s popular revenue,</w:t>
      </w:r>
      <w:r>
        <w:t xml:space="preserve"> </w:t>
      </w:r>
      <w:r>
        <w:t xml:space="preserve">exactly where Chapter 11’s five moves would put it. Not</w:t>
      </w:r>
      <w:r>
        <w:t xml:space="preserve"> </w:t>
      </w:r>
      <w:r>
        <w:t xml:space="preserve">nationalisation in the socialist sense; annexation in the</w:t>
      </w:r>
      <w:r>
        <w:t xml:space="preserve"> </w:t>
      </w:r>
      <w:r>
        <w:t xml:space="preserve">administrative one. Whether the American system can execute that</w:t>
      </w:r>
      <w:r>
        <w:t xml:space="preserve"> </w:t>
      </w:r>
      <w:r>
        <w:t xml:space="preserve">move against its own constitutional grain is what C11-1 scores,</w:t>
      </w:r>
      <w:r>
        <w:t xml:space="preserve"> </w:t>
      </w:r>
      <w:r>
        <w:t xml:space="preserve">year by year.</w:t>
      </w:r>
    </w:p>
    <w:p>
      <w:pPr>
        <w:pStyle w:val="BodyText"/>
      </w:pPr>
      <w:r>
        <w:t xml:space="preserve">China has substantially executed the settlement already — the</w:t>
      </w:r>
      <w:r>
        <w:t xml:space="preserve"> </w:t>
      </w:r>
      <w:r>
        <w:t xml:space="preserve">discipline of 2020–23 completed and normalised in sequence, the</w:t>
      </w:r>
      <w:r>
        <w:t xml:space="preserve"> </w:t>
      </w:r>
      <w:r>
        <w:t xml:space="preserve">fused-ownership absorption mode, the legibility instruments, the</w:t>
      </w:r>
      <w:r>
        <w:t xml:space="preserve"> </w:t>
      </w:r>
      <w:r>
        <w:t xml:space="preserve">canon now exported through a treaty organisation with</w:t>
      </w:r>
      <w:r>
        <w:t xml:space="preserve"> </w:t>
      </w:r>
      <w:r>
        <w:t xml:space="preserve">twenty-nine signatures — and its candidacy is qualified mainly</w:t>
      </w:r>
      <w:r>
        <w:t xml:space="preserve"> </w:t>
      </w:r>
      <w:r>
        <w:t xml:space="preserve">by the question this book cannot answer from documents: whether</w:t>
      </w:r>
      <w:r>
        <w:t xml:space="preserve"> </w:t>
      </w:r>
      <w:r>
        <w:t xml:space="preserve">a settlement executed</w:t>
      </w:r>
      <w:r>
        <w:t xml:space="preserve"> </w:t>
      </w:r>
      <w:r>
        <w:rPr>
          <w:iCs/>
          <w:i/>
        </w:rPr>
        <w:t xml:space="preserve">as</w:t>
      </w:r>
      <w:r>
        <w:t xml:space="preserve"> </w:t>
      </w:r>
      <w:r>
        <w:t xml:space="preserve">personal rule reproduces the</w:t>
      </w:r>
      <w:r>
        <w:t xml:space="preserve"> </w:t>
      </w:r>
      <w:r>
        <w:t xml:space="preserve">two-body fragility Part II diagnosed. The European Union is the</w:t>
      </w:r>
      <w:r>
        <w:t xml:space="preserve"> </w:t>
      </w:r>
      <w:r>
        <w:t xml:space="preserve">hard case, and the book’s own analytical instrument — the</w:t>
      </w:r>
      <w:r>
        <w:t xml:space="preserve"> </w:t>
      </w:r>
      <w:r>
        <w:t xml:space="preserve">Depreter refinement, carried from the Burgundian accounts —</w:t>
      </w:r>
      <w:r>
        <w:t xml:space="preserve"> </w:t>
      </w:r>
      <w:r>
        <w:t xml:space="preserve">governs the assessment. Burgundy taught that apparatus without</w:t>
      </w:r>
      <w:r>
        <w:t xml:space="preserve"> </w:t>
      </w:r>
      <w:r>
        <w:t xml:space="preserve">a continuous dynastic-political centre does not survive</w:t>
      </w:r>
      <w:r>
        <w:t xml:space="preserve"> </w:t>
      </w:r>
      <w:r>
        <w:t xml:space="preserve">contact. The EU is the refinement’s harder application:</w:t>
      </w:r>
      <w:r>
        <w:t xml:space="preserve"> </w:t>
      </w:r>
      <w:r>
        <w:t xml:space="preserve">canonically the strongest actor of the four — the most</w:t>
      </w:r>
      <w:r>
        <w:t xml:space="preserve"> </w:t>
      </w:r>
      <w:r>
        <w:t xml:space="preserve">developed regulatory apparatus on earth, upheld by its own</w:t>
      </w:r>
      <w:r>
        <w:t xml:space="preserve"> </w:t>
      </w:r>
      <w:r>
        <w:t xml:space="preserve">courts — and structurally the weakest: no single fisc, no</w:t>
      </w:r>
      <w:r>
        <w:t xml:space="preserve"> </w:t>
      </w:r>
      <w:r>
        <w:t xml:space="preserve">single executive, its dynasty a treaty; its flagship fab</w:t>
      </w:r>
      <w:r>
        <w:t xml:space="preserve"> </w:t>
      </w:r>
      <w:r>
        <w:t xml:space="preserve">cancelled, its constellation contracted for the decade’s end,</w:t>
      </w:r>
      <w:r>
        <w:t xml:space="preserve"> </w:t>
      </w:r>
      <w:r>
        <w:t xml:space="preserve">its munitions instrument counting capacity, its high-risk</w:t>
      </w:r>
      <w:r>
        <w:t xml:space="preserve"> </w:t>
      </w:r>
      <w:r>
        <w:t xml:space="preserve">canon deferred to 2027–28, its enforcement powers held</w:t>
      </w:r>
      <w:r>
        <w:t xml:space="preserve"> </w:t>
      </w:r>
      <w:r>
        <w:t xml:space="preserve">unexercised. The observable counter-moves are real and are</w:t>
      </w:r>
      <w:r>
        <w:t xml:space="preserve"> </w:t>
      </w:r>
      <w:r>
        <w:t xml:space="preserve">named as such — ReArm, the five per cent pledge, SAFE, the</w:t>
      </w:r>
      <w:r>
        <w:t xml:space="preserve"> </w:t>
      </w:r>
      <w:r>
        <w:t xml:space="preserve">own-resource proposals: the substrate being built, under</w:t>
      </w:r>
      <w:r>
        <w:t xml:space="preserve"> </w:t>
      </w:r>
      <w:r>
        <w:t xml:space="preserve">exactly the exogenous pressure the theory requires. The</w:t>
      </w:r>
      <w:r>
        <w:t xml:space="preserve"> </w:t>
      </w:r>
      <w:r>
        <w:t xml:space="preserve">assessment therefore stands as a live conditional, scoreable</w:t>
      </w:r>
      <w:r>
        <w:t xml:space="preserve"> </w:t>
      </w:r>
      <w:r>
        <w:t xml:space="preserve">in Appendix C’s terms: either the assertion-to-enforcement</w:t>
      </w:r>
      <w:r>
        <w:t xml:space="preserve"> </w:t>
      </w:r>
      <w:r>
        <w:t xml:space="preserve">lag closes as the fisc arrives, or the Union completes its</w:t>
      </w:r>
      <w:r>
        <w:t xml:space="preserve"> </w:t>
      </w:r>
      <w:r>
        <w:t xml:space="preserve">century as the American bloc’s canonical province —</w:t>
      </w:r>
      <w:r>
        <w:t xml:space="preserve"> </w:t>
      </w:r>
      <w:r>
        <w:t xml:space="preserve">Burgundy’s apparatus, inherited by the neighbour with the</w:t>
      </w:r>
      <w:r>
        <w:t xml:space="preserve"> </w:t>
      </w:r>
      <w:r>
        <w:t xml:space="preserve">centre. And India is the possible fourth: the most complete</w:t>
      </w:r>
      <w:r>
        <w:t xml:space="preserve"> </w:t>
      </w:r>
      <w:r>
        <w:t xml:space="preserve">population-legibility stack outside China, running a decade</w:t>
      </w:r>
      <w:r>
        <w:t xml:space="preserve"> </w:t>
      </w:r>
      <w:r>
        <w:t xml:space="preserve">ahead of its military-industrial one; conditional, as every</w:t>
      </w:r>
      <w:r>
        <w:t xml:space="preserve"> </w:t>
      </w:r>
      <w:r>
        <w:t xml:space="preserve">chapter has held. Everyone else buys, licenses, aligns, or</w:t>
      </w:r>
      <w:r>
        <w:t xml:space="preserve"> </w:t>
      </w:r>
      <w:r>
        <w:t xml:space="preserve">inhabits the interstices — Chapter 6’s</w:t>
      </w:r>
      <w:r>
        <w:t xml:space="preserve"> </w:t>
      </w:r>
      <w:r>
        <w:t xml:space="preserve">capitulation-without-siege, operating as procurement policy.</w:t>
      </w:r>
    </w:p>
    <w:p>
      <w:pPr>
        <w:pStyle w:val="BodyText"/>
      </w:pPr>
      <w:r>
        <w:t xml:space="preserve">And the concentrated layer now has its own direct exhibit,</w:t>
      </w:r>
      <w:r>
        <w:t xml:space="preserve"> </w:t>
      </w:r>
      <w:r>
        <w:t xml:space="preserve">integrated on review and carried with this book’s measurement</w:t>
      </w:r>
      <w:r>
        <w:t xml:space="preserve"> </w:t>
      </w:r>
      <w:r>
        <w:t xml:space="preserve">discipline — every figure attributed, categories never blended</w:t>
      </w:r>
      <w:r>
        <w:t xml:space="preserve"> </w:t>
      </w:r>
      <w:r>
        <w:t xml:space="preserve">[RE-CHECK AT PRESS; CRS R48887 throughout]. In the Iranian</w:t>
      </w:r>
      <w:r>
        <w:t xml:space="preserve"> </w:t>
      </w:r>
      <w:r>
        <w:t xml:space="preserve">campaign of February–March 2026, a full-stack power struck, by</w:t>
      </w:r>
      <w:r>
        <w:t xml:space="preserve"> </w:t>
      </w:r>
      <w:r>
        <w:t xml:space="preserve">its own combatant command’s report, more than 10,000 targets in</w:t>
      </w:r>
      <w:r>
        <w:t xml:space="preserve"> </w:t>
      </w:r>
      <w:r>
        <w:t xml:space="preserve">under a month; the president’s claim — quoted as a claim — was</w:t>
      </w:r>
      <w:r>
        <w:t xml:space="preserve"> </w:t>
      </w:r>
      <w:r>
        <w:t xml:space="preserve">“</w:t>
      </w:r>
      <w:r>
        <w:t xml:space="preserve">complete and total control of the skies over Iran</w:t>
      </w:r>
      <w:r>
        <w:t xml:space="preserve">”</w:t>
      </w:r>
      <w:r>
        <w:t xml:space="preserve">; the cost of</w:t>
      </w:r>
      <w:r>
        <w:t xml:space="preserve"> </w:t>
      </w:r>
      <w:r>
        <w:t xml:space="preserve">Operation Epic Fury exceeded $11.3 billion in its first six days</w:t>
      </w:r>
      <w:r>
        <w:t xml:space="preserve"> </w:t>
      </w:r>
      <w:r>
        <w:t xml:space="preserve">per Pentagon briefings as reported by the New York Times — a</w:t>
      </w:r>
      <w:r>
        <w:t xml:space="preserve"> </w:t>
      </w:r>
      <w:r>
        <w:t xml:space="preserve">press-carried, explicitly partial figure, not an official total;</w:t>
      </w:r>
      <w:r>
        <w:t xml:space="preserve"> </w:t>
      </w:r>
      <w:r>
        <w:t xml:space="preserve">American fatalities stood at 13 service personnel (as of 23</w:t>
      </w:r>
      <w:r>
        <w:t xml:space="preserve"> </w:t>
      </w:r>
      <w:r>
        <w:t xml:space="preserve">March), against more than 3,000 fatalities</w:t>
      </w:r>
      <w:r>
        <w:t xml:space="preserve"> </w:t>
      </w:r>
      <w:r>
        <w:rPr>
          <w:iCs/>
          <w:i/>
        </w:rPr>
        <w:t xml:space="preserve">reported</w:t>
      </w:r>
      <w:r>
        <w:t xml:space="preserve"> </w:t>
      </w:r>
      <w:r>
        <w:t xml:space="preserve">in Iran and</w:t>
      </w:r>
      <w:r>
        <w:t xml:space="preserve"> </w:t>
      </w:r>
      <w:r>
        <w:t xml:space="preserve">more than 1,000 in Lebanon — a claim category, not a count. Targets struck,</w:t>
      </w:r>
      <w:r>
        <w:t xml:space="preserve"> </w:t>
      </w:r>
      <w:r>
        <w:t xml:space="preserve">costs, own casualties, enemy casualties: four different kinds of</w:t>
      </w:r>
      <w:r>
        <w:t xml:space="preserve"> </w:t>
      </w:r>
      <w:r>
        <w:t xml:space="preserve">number, from four different kinds of source, and the book keeps</w:t>
      </w:r>
      <w:r>
        <w:t xml:space="preserve"> </w:t>
      </w:r>
      <w:r>
        <w:t xml:space="preserve">them separate. What the exhibit shows, within those limits, is</w:t>
      </w:r>
      <w:r>
        <w:t xml:space="preserve"> </w:t>
      </w:r>
      <w:r>
        <w:t xml:space="preserve">the asymmetry’s other face: where Ukraine demonstrates that the</w:t>
      </w:r>
      <w:r>
        <w:t xml:space="preserve"> </w:t>
      </w:r>
      <w:r>
        <w:t xml:space="preserve">cheap layer cannot decide without the concentrated one, Iran</w:t>
      </w:r>
      <w:r>
        <w:t xml:space="preserve"> </w:t>
      </w:r>
      <w:r>
        <w:t xml:space="preserve">demonstrates what the concentrated layer does when it decides —</w:t>
      </w:r>
      <w:r>
        <w:t xml:space="preserve"> </w:t>
      </w:r>
      <w:r>
        <w:t xml:space="preserve">at a six-day burn rate approaching the annual defence budgets</w:t>
      </w:r>
      <w:r>
        <w:t xml:space="preserve"> </w:t>
      </w:r>
      <w:r>
        <w:t xml:space="preserve">of mid-sized states, which is itself the chapter’s point: the</w:t>
      </w:r>
      <w:r>
        <w:t xml:space="preserve"> </w:t>
      </w:r>
      <w:r>
        <w:t xml:space="preserve">deciding layer is priced where only artillery states shop. The</w:t>
      </w:r>
      <w:r>
        <w:t xml:space="preserve"> </w:t>
      </w:r>
      <w:r>
        <w:t xml:space="preserve">answer to the military-technology question is</w:t>
      </w:r>
      <w:r>
        <w:t xml:space="preserve"> </w:t>
      </w:r>
      <w:r>
        <w:t xml:space="preserve">therefore asymmetric, and it is this chapter’s compressed</w:t>
      </w:r>
      <w:r>
        <w:t xml:space="preserve"> </w:t>
      </w:r>
      <w:r>
        <w:t xml:space="preserve">finding: distributed denial below, concentrated decision</w:t>
      </w:r>
      <w:r>
        <w:t xml:space="preserve"> </w:t>
      </w:r>
      <w:r>
        <w:t xml:space="preserve">above. The Cade rebellions and the artillery states of our</w:t>
      </w:r>
      <w:r>
        <w:t xml:space="preserve"> </w:t>
      </w:r>
      <w:r>
        <w:t xml:space="preserve">age, running simultaneously — which is exactly what the</w:t>
      </w:r>
      <w:r>
        <w:t xml:space="preserve"> </w:t>
      </w:r>
      <w:r>
        <w:t xml:space="preserve">fifteenth century looked like from inside.</w:t>
      </w:r>
    </w:p>
    <w:p>
      <w:pPr>
        <w:pStyle w:val="BodyText"/>
      </w:pPr>
      <w:r>
        <w:t xml:space="preserve">One objection to the whole frame remains, and it deserves its</w:t>
      </w:r>
      <w:r>
        <w:t xml:space="preserve"> </w:t>
      </w:r>
      <w:r>
        <w:t xml:space="preserve">own paragraph rather than a footnote: the nuclear overhang.</w:t>
      </w:r>
      <w:r>
        <w:t xml:space="preserve"> </w:t>
      </w:r>
      <w:r>
        <w:t xml:space="preserve">Nothing in the fifteenth century corresponds to a weapon whose</w:t>
      </w:r>
      <w:r>
        <w:t xml:space="preserve"> </w:t>
      </w:r>
      <w:r>
        <w:t xml:space="preserve">use destroys all sides, and a critic may fairly ask whether a</w:t>
      </w:r>
      <w:r>
        <w:t xml:space="preserve"> </w:t>
      </w:r>
      <w:r>
        <w:t xml:space="preserve">mechanism about the price of</w:t>
      </w:r>
      <w:r>
        <w:t xml:space="preserve"> </w:t>
      </w:r>
      <w:r>
        <w:rPr>
          <w:iCs/>
          <w:i/>
        </w:rPr>
        <w:t xml:space="preserve">decisive</w:t>
      </w:r>
      <w:r>
        <w:t xml:space="preserve"> </w:t>
      </w:r>
      <w:r>
        <w:t xml:space="preserve">force can operate at all</w:t>
      </w:r>
      <w:r>
        <w:t xml:space="preserve"> </w:t>
      </w:r>
      <w:r>
        <w:t xml:space="preserve">under an arsenal that makes decision suicidal. The answer is</w:t>
      </w:r>
      <w:r>
        <w:t xml:space="preserve"> </w:t>
      </w:r>
      <w:r>
        <w:t xml:space="preserve">that nuclear weapons sit outside the currency this book prices,</w:t>
      </w:r>
      <w:r>
        <w:t xml:space="preserve"> </w:t>
      </w:r>
      <w:r>
        <w:t xml:space="preserve">for a reason internal to the mechanism: the mechanism concerns</w:t>
      </w:r>
      <w:r>
        <w:t xml:space="preserve"> </w:t>
      </w:r>
      <w:r>
        <w:t xml:space="preserve">force that takes and holds — the siege train, the stack — force</w:t>
      </w:r>
      <w:r>
        <w:t xml:space="preserve"> </w:t>
      </w:r>
      <w:r>
        <w:t xml:space="preserve">whose use converts military advantage into territory, revenue</w:t>
      </w:r>
      <w:r>
        <w:t xml:space="preserve"> </w:t>
      </w:r>
      <w:r>
        <w:t xml:space="preserve">and settlement. Nuclear weapons hold nothing. They cap</w:t>
      </w:r>
      <w:r>
        <w:t xml:space="preserve"> </w:t>
      </w:r>
      <w:r>
        <w:t xml:space="preserve">escalation between their holders; they do not consolidate</w:t>
      </w:r>
      <w:r>
        <w:t xml:space="preserve"> </w:t>
      </w:r>
      <w:r>
        <w:t xml:space="preserve">anything within or between them; and the consolidation contest</w:t>
      </w:r>
      <w:r>
        <w:t xml:space="preserve"> </w:t>
      </w:r>
      <w:r>
        <w:t xml:space="preserve">therefore runs</w:t>
      </w:r>
      <w:r>
        <w:t xml:space="preserve"> </w:t>
      </w:r>
      <w:r>
        <w:rPr>
          <w:iCs/>
          <w:i/>
        </w:rPr>
        <w:t xml:space="preserve">underneath</w:t>
      </w:r>
      <w:r>
        <w:t xml:space="preserve"> </w:t>
      </w:r>
      <w:r>
        <w:t xml:space="preserve">the overhang, in the conventional</w:t>
      </w:r>
      <w:r>
        <w:t xml:space="preserve"> </w:t>
      </w:r>
      <w:r>
        <w:t xml:space="preserve">and computational layer where taking and holding still happens.</w:t>
      </w:r>
      <w:r>
        <w:t xml:space="preserve"> </w:t>
      </w:r>
      <w:r>
        <w:t xml:space="preserve">The demonstration case is on the record, and the book has</w:t>
      </w:r>
      <w:r>
        <w:t xml:space="preserve"> </w:t>
      </w:r>
      <w:r>
        <w:t xml:space="preserve">already assembled its evidence: Russia — nuclear-armed at the</w:t>
      </w:r>
      <w:r>
        <w:t xml:space="preserve"> </w:t>
      </w:r>
      <w:r>
        <w:t xml:space="preserve">greatest scale on earth, fiscally shallow, industrially</w:t>
      </w:r>
      <w:r>
        <w:t xml:space="preserve"> </w:t>
      </w:r>
      <w:r>
        <w:t xml:space="preserve">strained — has spent four years of conventional war, at shell</w:t>
      </w:r>
      <w:r>
        <w:t xml:space="preserve"> </w:t>
      </w:r>
      <w:r>
        <w:t xml:space="preserve">volumes its adversary’s intelligence services report in the</w:t>
      </w:r>
      <w:r>
        <w:t xml:space="preserve"> </w:t>
      </w:r>
      <w:r>
        <w:t xml:space="preserve">millions (attributed, per Chapter 10’s discipline), without</w:t>
      </w:r>
      <w:r>
        <w:t xml:space="preserve"> </w:t>
      </w:r>
      <w:r>
        <w:t xml:space="preserve">converting arsenal into decisive victory; its nuclear weight</w:t>
      </w:r>
      <w:r>
        <w:t xml:space="preserve"> </w:t>
      </w:r>
      <w:r>
        <w:t xml:space="preserve">has deterred its adversary’s patrons at the margin and taken</w:t>
      </w:r>
      <w:r>
        <w:t xml:space="preserve"> </w:t>
      </w:r>
      <w:r>
        <w:t xml:space="preserve">not one additional city. A polity with weapons but without the</w:t>
      </w:r>
      <w:r>
        <w:t xml:space="preserve"> </w:t>
      </w:r>
      <w:r>
        <w:t xml:space="preserve">fiscal-administrative stack can destroy and cannot decide —</w:t>
      </w:r>
      <w:r>
        <w:t xml:space="preserve"> </w:t>
      </w:r>
      <w:r>
        <w:t xml:space="preserve">the mechanism’s claim, stated from the negative case. The</w:t>
      </w:r>
      <w:r>
        <w:t xml:space="preserve"> </w:t>
      </w:r>
      <w:r>
        <w:t xml:space="preserve">overhang bounds the wars the consolidators may fight with each</w:t>
      </w:r>
      <w:r>
        <w:t xml:space="preserve"> </w:t>
      </w:r>
      <w:r>
        <w:t xml:space="preserve">other. It does not void the consolidation; it is one more</w:t>
      </w:r>
      <w:r>
        <w:t xml:space="preserve"> </w:t>
      </w:r>
      <w:r>
        <w:t xml:space="preserve">reason the settlement runs inside blocs rather than between</w:t>
      </w:r>
      <w:r>
        <w:t xml:space="preserve"> </w:t>
      </w:r>
      <w:r>
        <w:t xml:space="preserve">them.</w:t>
      </w:r>
    </w:p>
    <w:p>
      <w:pPr>
        <w:pStyle w:val="BodyText"/>
      </w:pPr>
      <w:r>
        <w:rPr>
          <w:iCs/>
          <w:i/>
        </w:rPr>
        <w:t xml:space="preserve">(The CLAUDE.md §9 boundary governs this section: comparative</w:t>
      </w:r>
      <w:r>
        <w:rPr>
          <w:iCs/>
          <w:i/>
        </w:rPr>
        <w:t xml:space="preserve"> </w:t>
      </w:r>
      <w:r>
        <w:rPr>
          <w:iCs/>
          <w:i/>
        </w:rPr>
        <w:t xml:space="preserve">historical analysis and asset-class direction; no actionable</w:t>
      </w:r>
      <w:r>
        <w:rPr>
          <w:iCs/>
          <w:i/>
        </w:rPr>
        <w:t xml:space="preserve"> </w:t>
      </w:r>
      <w:r>
        <w:rPr>
          <w:iCs/>
          <w:i/>
        </w:rPr>
        <w:t xml:space="preserve">guidance.)</w:t>
      </w:r>
      <w:r>
        <w:t xml:space="preserve"> </w:t>
      </w:r>
      <w:r>
        <w:t xml:space="preserve">What did the last Tudor settlement do to wealth?</w:t>
      </w:r>
      <w:r>
        <w:t xml:space="preserve"> </w:t>
      </w:r>
      <w:r>
        <w:t xml:space="preserve">The ledger is stark and it is the only forecast instrument</w:t>
      </w:r>
      <w:r>
        <w:t xml:space="preserve"> </w:t>
      </w:r>
      <w:r>
        <w:t xml:space="preserve">this book will hand its professional readers. Monastic wealth</w:t>
      </w:r>
      <w:r>
        <w:t xml:space="preserve"> </w:t>
      </w:r>
      <w:r>
        <w:t xml:space="preserve">— the largest corporate property system in England — was</w:t>
      </w:r>
      <w:r>
        <w:t xml:space="preserve"> </w:t>
      </w:r>
      <w:r>
        <w:t xml:space="preserve">dissolved and redistributed inside a decade. The franchise and</w:t>
      </w:r>
      <w:r>
        <w:t xml:space="preserve"> </w:t>
      </w:r>
      <w:r>
        <w:t xml:space="preserve">liberty jurisdictions, with their fee streams, were</w:t>
      </w:r>
      <w:r>
        <w:t xml:space="preserve"> </w:t>
      </w:r>
      <w:r>
        <w:t xml:space="preserve">extinguished. Chartered-company forms were invented where the</w:t>
      </w:r>
      <w:r>
        <w:t xml:space="preserve"> </w:t>
      </w:r>
      <w:r>
        <w:t xml:space="preserve">crown wanted capacity it could licence but not run. Position</w:t>
      </w:r>
      <w:r>
        <w:t xml:space="preserve"> </w:t>
      </w:r>
      <w:r>
        <w:t xml:space="preserve">migrated, in one generation, toward the crown-adjacent, the</w:t>
      </w:r>
      <w:r>
        <w:t xml:space="preserve"> </w:t>
      </w:r>
      <w:r>
        <w:t xml:space="preserve">licensed and the assessed — and away from the cross-border,</w:t>
      </w:r>
      <w:r>
        <w:t xml:space="preserve"> </w:t>
      </w:r>
      <w:r>
        <w:t xml:space="preserve">the immune and the interstitial. The directional analogues,</w:t>
      </w:r>
      <w:r>
        <w:t xml:space="preserve"> </w:t>
      </w:r>
      <w:r>
        <w:t xml:space="preserve">stated as pattern: in a parallel-settlements world, value</w:t>
      </w:r>
      <w:r>
        <w:t xml:space="preserve"> </w:t>
      </w:r>
      <w:r>
        <w:t xml:space="preserve">migrates toward bloc-interior, licensable,</w:t>
      </w:r>
      <w:r>
        <w:t xml:space="preserve"> </w:t>
      </w:r>
      <w:r>
        <w:t xml:space="preserve">procurement-adjacent positions and away from cross-bloc</w:t>
      </w:r>
      <w:r>
        <w:t xml:space="preserve"> </w:t>
      </w:r>
      <w:r>
        <w:t xml:space="preserve">arbitrage and interstitial jurisdictions; compliance and</w:t>
      </w:r>
      <w:r>
        <w:t xml:space="preserve"> </w:t>
      </w:r>
      <w:r>
        <w:t xml:space="preserve">reporting burdens function as the new tithe — resented,</w:t>
      </w:r>
      <w:r>
        <w:t xml:space="preserve"> </w:t>
      </w:r>
      <w:r>
        <w:t xml:space="preserve">universal, and constitutive of legitimacy; the licensing</w:t>
      </w:r>
      <w:r>
        <w:t xml:space="preserve"> </w:t>
      </w:r>
      <w:r>
        <w:t xml:space="preserve">premium — clearances, gatekeeper status, charters — becomes a</w:t>
      </w:r>
      <w:r>
        <w:t xml:space="preserve"> </w:t>
      </w:r>
      <w:r>
        <w:t xml:space="preserve">durable rent; and interstitial assets carry a durable-disorder</w:t>
      </w:r>
      <w:r>
        <w:t xml:space="preserve"> </w:t>
      </w:r>
      <w:r>
        <w:t xml:space="preserve">risk that consolidation fences without removing. For the</w:t>
      </w:r>
      <w:r>
        <w:t xml:space="preserve"> </w:t>
      </w:r>
      <w:r>
        <w:t xml:space="preserve">constituencies this book’s author has spent a career briefing,</w:t>
      </w:r>
      <w:r>
        <w:t xml:space="preserve"> </w:t>
      </w:r>
      <w:r>
        <w:t xml:space="preserve">the fifteenth century’s ledger is offered as the reference</w:t>
      </w:r>
      <w:r>
        <w:t xml:space="preserve"> </w:t>
      </w:r>
      <w:r>
        <w:t xml:space="preserve">class. Nothing more specific is offered, because nothing more</w:t>
      </w:r>
      <w:r>
        <w:t xml:space="preserve"> </w:t>
      </w:r>
      <w:r>
        <w:t xml:space="preserve">specific would be honest.</w:t>
      </w:r>
    </w:p>
    <w:p>
      <w:pPr>
        <w:pStyle w:val="BodyText"/>
      </w:pPr>
      <w:r>
        <w:rPr>
          <w:iCs/>
          <w:i/>
        </w:rPr>
        <w:t xml:space="preserve">Draft ends. Word count ~3,300 against a ~14,000 chapter</w:t>
      </w:r>
      <w:r>
        <w:rPr>
          <w:iCs/>
          <w:i/>
        </w:rPr>
        <w:t xml:space="preserve"> </w:t>
      </w:r>
      <w:r>
        <w:rPr>
          <w:iCs/>
          <w:i/>
        </w:rPr>
        <w:t xml:space="preserve">weight (synthesis-limited by design: the chapter inherits</w:t>
      </w:r>
      <w:r>
        <w:rPr>
          <w:iCs/>
          <w:i/>
        </w:rPr>
        <w:t xml:space="preserve"> </w:t>
      </w:r>
      <w:r>
        <w:rPr>
          <w:iCs/>
          <w:i/>
        </w:rPr>
        <w:t xml:space="preserve">rather than re-argues, and Roderick’s [BRIDGE] and closing</w:t>
      </w:r>
      <w:r>
        <w:rPr>
          <w:iCs/>
          <w:i/>
        </w:rPr>
        <w:t xml:space="preserve"> </w:t>
      </w:r>
      <w:r>
        <w:rPr>
          <w:iCs/>
          <w:i/>
        </w:rPr>
        <w:t xml:space="preserve">passes will carry the expansion). Voice-discipline ledger</w:t>
      </w:r>
      <w:r>
        <w:rPr>
          <w:iCs/>
          <w:i/>
        </w:rPr>
        <w:t xml:space="preserve"> </w:t>
      </w:r>
      <w:r>
        <w:rPr>
          <w:iCs/>
          <w:i/>
        </w:rPr>
        <w:t xml:space="preserve">(counted as produced): coined concept — NONE (all inherited</w:t>
      </w:r>
      <w:r>
        <w:rPr>
          <w:iCs/>
          <w:i/>
        </w:rPr>
        <w:t xml:space="preserve"> </w:t>
      </w:r>
      <w:r>
        <w:rPr>
          <w:iCs/>
          <w:i/>
        </w:rPr>
        <w:t xml:space="preserve">and credited); vivid image — the cheap strike complex aiming</w:t>
      </w:r>
      <w:r>
        <w:rPr>
          <w:iCs/>
          <w:i/>
        </w:rPr>
        <w:t xml:space="preserve"> </w:t>
      </w:r>
      <w:r>
        <w:rPr>
          <w:iCs/>
          <w:i/>
        </w:rPr>
        <w:t xml:space="preserve">“</w:t>
      </w:r>
      <w:r>
        <w:rPr>
          <w:iCs/>
          <w:i/>
        </w:rPr>
        <w:t xml:space="preserve">through an ally’s targeting layer</w:t>
      </w:r>
      <w:r>
        <w:rPr>
          <w:iCs/>
          <w:i/>
        </w:rPr>
        <w:t xml:space="preserve">”</w:t>
      </w:r>
      <w:r>
        <w:rPr>
          <w:iCs/>
          <w:i/>
        </w:rPr>
        <w:t xml:space="preserve"> </w:t>
      </w:r>
      <w:r>
        <w:rPr>
          <w:iCs/>
          <w:i/>
        </w:rPr>
        <w:t xml:space="preserve">(§I; the memo’s</w:t>
      </w:r>
      <w:r>
        <w:rPr>
          <w:iCs/>
          <w:i/>
        </w:rPr>
        <w:t xml:space="preserve"> </w:t>
      </w:r>
      <w:r>
        <w:rPr>
          <w:iCs/>
          <w:i/>
        </w:rPr>
        <w:t xml:space="preserve">longbow/cannon image rendered once, plainly); aphoristic line</w:t>
      </w:r>
      <w:r>
        <w:rPr>
          <w:iCs/>
          <w:i/>
        </w:rPr>
        <w:t xml:space="preserve"> </w:t>
      </w:r>
      <w:r>
        <w:rPr>
          <w:iCs/>
          <w:i/>
        </w:rPr>
        <w:t xml:space="preserve">—</w:t>
      </w:r>
      <w:r>
        <w:rPr>
          <w:iCs/>
          <w:i/>
        </w:rPr>
        <w:t xml:space="preserve"> </w:t>
      </w:r>
      <w:r>
        <w:rPr>
          <w:iCs/>
          <w:i/>
        </w:rPr>
        <w:t xml:space="preserve">“</w:t>
      </w:r>
      <w:r>
        <w:rPr>
          <w:iCs/>
          <w:i/>
        </w:rPr>
        <w:t xml:space="preserve">distributed denial below, concentrated decision above</w:t>
      </w:r>
      <w:r>
        <w:rPr>
          <w:iCs/>
          <w:i/>
        </w:rPr>
        <w:t xml:space="preserve">”</w:t>
      </w:r>
      <w:r>
        <w:rPr>
          <w:iCs/>
          <w:i/>
        </w:rPr>
        <w:t xml:space="preserve"> </w:t>
      </w:r>
      <w:r>
        <w:rPr>
          <w:iCs/>
          <w:i/>
        </w:rPr>
        <w:t xml:space="preserve">(§V, the memo’s reviewed candidate; one kept, per the memo).</w:t>
      </w:r>
      <w:r>
        <w:rPr>
          <w:iCs/>
          <w:i/>
        </w:rPr>
        <w:t xml:space="preserve"> </w:t>
      </w:r>
      <w:r>
        <w:rPr>
          <w:iCs/>
          <w:i/>
        </w:rPr>
        <w:t xml:space="preserve">The three drone measurements kept distinct and attributed;</w:t>
      </w:r>
      <w:r>
        <w:rPr>
          <w:iCs/>
          <w:i/>
        </w:rPr>
        <w:t xml:space="preserve"> </w:t>
      </w:r>
      <w:r>
        <w:rPr>
          <w:iCs/>
          <w:i/>
        </w:rPr>
        <w:t xml:space="preserve">the 96% outlier omitted; no Red Sea cost lines; the US–Iran</w:t>
      </w:r>
      <w:r>
        <w:rPr>
          <w:iCs/>
          <w:i/>
        </w:rPr>
        <w:t xml:space="preserve"> </w:t>
      </w:r>
      <w:r>
        <w:rPr>
          <w:iCs/>
          <w:i/>
        </w:rPr>
        <w:t xml:space="preserve">exclusion stated in the header and §II with [RE-CHECK AT</w:t>
      </w:r>
      <w:r>
        <w:rPr>
          <w:iCs/>
          <w:i/>
        </w:rPr>
        <w:t xml:space="preserve"> </w:t>
      </w:r>
      <w:r>
        <w:rPr>
          <w:iCs/>
          <w:i/>
        </w:rPr>
        <w:t xml:space="preserve">PRESS]; the March 2025 week drafted from the officials’ own</w:t>
      </w:r>
      <w:r>
        <w:rPr>
          <w:iCs/>
          <w:i/>
        </w:rPr>
        <w:t xml:space="preserve"> </w:t>
      </w:r>
      <w:r>
        <w:rPr>
          <w:iCs/>
          <w:i/>
        </w:rPr>
        <w:t xml:space="preserve">words with the Jeddah [GAP]; §VII held to the §9 boundary;</w:t>
      </w:r>
      <w:r>
        <w:rPr>
          <w:iCs/>
          <w:i/>
        </w:rPr>
        <w:t xml:space="preserve"> </w:t>
      </w:r>
      <w:r>
        <w:rPr>
          <w:iCs/>
          <w:i/>
        </w:rPr>
        <w:t xml:space="preserve">ch09 cited as reviewed (memo-level update noted in header).</w:t>
      </w:r>
      <w:r>
        <w:rPr>
          <w:iCs/>
          <w:i/>
        </w:rPr>
        <w:t xml:space="preserve"> </w:t>
      </w:r>
      <w:r>
        <w:rPr>
          <w:iCs/>
          <w:i/>
        </w:rPr>
        <w:t xml:space="preserve">No claim beyond the reviewed record.</w:t>
      </w:r>
    </w:p>
    <w:p>
      <w:pPr>
        <w:numPr>
          <w:ilvl w:val="0"/>
          <w:numId w:val="1052"/>
        </w:numPr>
      </w:pPr>
      <w:r>
        <w:rPr>
          <w:bCs/>
          <w:b/>
        </w:rPr>
        <w:t xml:space="preserve">The US–Iran exclusion reversed</w:t>
      </w:r>
      <w:r>
        <w:t xml:space="preserve"> </w:t>
      </w:r>
      <w:r>
        <w:t xml:space="preserve">per the synthesis-memo review.</w:t>
      </w:r>
      <w:r>
        <w:t xml:space="preserve"> </w:t>
      </w:r>
      <w:r>
        <w:t xml:space="preserve">CRS R48887 (</w:t>
      </w:r>
      <w:r>
        <w:t xml:space="preserve">“</w:t>
      </w:r>
      <w:r>
        <w:t xml:space="preserve">U.S. Conflict with Iran,</w:t>
      </w:r>
      <w:r>
        <w:t xml:space="preserve">”</w:t>
      </w:r>
      <w:r>
        <w:t xml:space="preserve"> </w:t>
      </w:r>
      <w:r>
        <w:t xml:space="preserve">26 March 2026) retrieved via</w:t>
      </w:r>
      <w:r>
        <w:t xml:space="preserve"> </w:t>
      </w:r>
      <w:r>
        <w:t xml:space="preserve">the EveryCRSReport mirror (congress.gov and FAS blocked at fetch);</w:t>
      </w:r>
      <w:r>
        <w:t xml:space="preserve"> </w:t>
      </w:r>
      <w:r>
        <w:t xml:space="preserve">integrated in §II (the exogenous-pressure record, dated sequence)</w:t>
      </w:r>
      <w:r>
        <w:t xml:space="preserve"> </w:t>
      </w:r>
      <w:r>
        <w:t xml:space="preserve">and §V (the concentrated-layer exhibit, four figure-categories kept</w:t>
      </w:r>
      <w:r>
        <w:t xml:space="preserve"> </w:t>
      </w:r>
      <w:r>
        <w:t xml:space="preserve">separate), both passages [RE-CHECK AT PRESS] with a pin against the</w:t>
      </w:r>
      <w:r>
        <w:t xml:space="preserve"> </w:t>
      </w:r>
      <w:r>
        <w:t xml:space="preserve">congress.gov original owed at press.</w:t>
      </w:r>
    </w:p>
    <w:p>
      <w:pPr>
        <w:numPr>
          <w:ilvl w:val="0"/>
          <w:numId w:val="1052"/>
        </w:numPr>
      </w:pPr>
      <w:r>
        <w:rPr>
          <w:bCs/>
          <w:b/>
        </w:rPr>
        <w:t xml:space="preserve">Jeddah wording and the chip-tariff instruments: pin attempted,</w:t>
      </w:r>
      <w:r>
        <w:rPr>
          <w:bCs/>
          <w:b/>
        </w:rPr>
        <w:t xml:space="preserve"> </w:t>
      </w:r>
      <w:r>
        <w:rPr>
          <w:bCs/>
          <w:b/>
        </w:rPr>
        <w:t xml:space="preserve">blocked.</w:t>
      </w:r>
      <w:r>
        <w:t xml:space="preserve"> </w:t>
      </w:r>
      <w:r>
        <w:t xml:space="preserve">state.gov’s statement page returned garbled content;</w:t>
      </w:r>
      <w:r>
        <w:t xml:space="preserve"> </w:t>
      </w:r>
      <w:r>
        <w:t xml:space="preserve">congress.gov, federalregister.gov, president.gov.ua and mfa.gov.ua</w:t>
      </w:r>
      <w:r>
        <w:t xml:space="preserve"> </w:t>
      </w:r>
      <w:r>
        <w:t xml:space="preserve">returned 403s. Both pins remain open as browser pulls (sources.md</w:t>
      </w:r>
      <w:r>
        <w:t xml:space="preserve"> </w:t>
      </w:r>
      <w:r>
        <w:t xml:space="preserve">verification list); the existing [GAP]/flag language stands.</w:t>
      </w:r>
    </w:p>
    <w:p>
      <w:pPr>
        <w:numPr>
          <w:ilvl w:val="0"/>
          <w:numId w:val="1052"/>
        </w:numPr>
      </w:pPr>
      <w:r>
        <w:rPr>
          <w:bCs/>
          <w:b/>
        </w:rPr>
        <w:t xml:space="preserve">(2026-08-02, second entry — the SPINE’s two bracketed</w:t>
      </w:r>
      <w:r>
        <w:rPr>
          <w:bCs/>
          <w:b/>
        </w:rPr>
        <w:t xml:space="preserve"> </w:t>
      </w:r>
      <w:r>
        <w:rPr>
          <w:bCs/>
          <w:b/>
        </w:rPr>
        <w:t xml:space="preserve">directives executed.)</w:t>
      </w:r>
      <w:r>
        <w:t xml:space="preserve"> </w:t>
      </w:r>
      <w:r>
        <w:t xml:space="preserve">Per spine.md (Roderick’s judgment-layer</w:t>
      </w:r>
      <w:r>
        <w:t xml:space="preserve"> </w:t>
      </w:r>
      <w:r>
        <w:t xml:space="preserve">document, added to the repo this date): (a) the [CROSS TO ch12]</w:t>
      </w:r>
      <w:r>
        <w:t xml:space="preserve"> </w:t>
      </w:r>
      <w:r>
        <w:t xml:space="preserve">observation inserted in §IV — the American candidacy incomplete</w:t>
      </w:r>
      <w:r>
        <w:t xml:space="preserve"> </w:t>
      </w:r>
      <w:r>
        <w:t xml:space="preserve">until the platform-centralisation move runs; the</w:t>
      </w:r>
      <w:r>
        <w:t xml:space="preserve"> </w:t>
      </w:r>
      <w:r>
        <w:t xml:space="preserve">nineteenth-century instinct (tariffs, trust-busting vocabulary)</w:t>
      </w:r>
      <w:r>
        <w:t xml:space="preserve"> </w:t>
      </w:r>
      <w:r>
        <w:t xml:space="preserve">set against the sixteenth-century mechanism (licence and</w:t>
      </w:r>
      <w:r>
        <w:t xml:space="preserve"> </w:t>
      </w:r>
      <w:r>
        <w:t xml:space="preserve">licensing fee as the Henrician instrument in American legal</w:t>
      </w:r>
      <w:r>
        <w:t xml:space="preserve"> </w:t>
      </w:r>
      <w:r>
        <w:t xml:space="preserve">dress; platforms as monasteries, not Standard Oil); stated as</w:t>
      </w:r>
      <w:r>
        <w:t xml:space="preserve"> </w:t>
      </w:r>
      <w:r>
        <w:t xml:space="preserve">observation (c), not counsel, §9 boundary kept, scored at C11-1.</w:t>
      </w:r>
    </w:p>
    <w:p>
      <w:pPr>
        <w:numPr>
          <w:ilvl w:val="1"/>
          <w:numId w:val="1053"/>
        </w:numPr>
        <w:pStyle w:val="Compact"/>
      </w:pPr>
      <w:r>
        <w:t xml:space="preserve">the [DEVELOP] paragraph inserted in §V — why the nuclear</w:t>
      </w:r>
      <w:r>
        <w:t xml:space="preserve"> </w:t>
      </w:r>
      <w:r>
        <w:t xml:space="preserve">overhang does not void the consolidation mechanism (nuclear</w:t>
      </w:r>
      <w:r>
        <w:t xml:space="preserve"> </w:t>
      </w:r>
      <w:r>
        <w:t xml:space="preserve">weapons outside the take-and-hold currency the book prices; they</w:t>
      </w:r>
      <w:r>
        <w:t xml:space="preserve"> </w:t>
      </w:r>
      <w:r>
        <w:t xml:space="preserve">cap escalation between holders and consolidate nothing), with</w:t>
      </w:r>
      <w:r>
        <w:t xml:space="preserve"> </w:t>
      </w:r>
      <w:r>
        <w:t xml:space="preserve">Russia as the demonstration case (weapons without the stack:</w:t>
      </w:r>
      <w:r>
        <w:t xml:space="preserve"> </w:t>
      </w:r>
      <w:r>
        <w:t xml:space="preserve">able to destroy, unable to decide), shell-volume claims</w:t>
      </w:r>
      <w:r>
        <w:t xml:space="preserve"> </w:t>
      </w:r>
      <w:r>
        <w:t xml:space="preserve">attributed per the ch10 discipline. Both passages are the book’s</w:t>
      </w:r>
      <w:r>
        <w:t xml:space="preserve"> </w:t>
      </w:r>
      <w:r>
        <w:t xml:space="preserve">argument; the SPINE itself is not cited in the text, per its own</w:t>
      </w:r>
      <w:r>
        <w:t xml:space="preserve"> </w:t>
      </w:r>
      <w:r>
        <w:t xml:space="preserve">header.</w:t>
      </w:r>
    </w:p>
    <w:p>
      <w:pPr>
        <w:numPr>
          <w:ilvl w:val="0"/>
          <w:numId w:val="1052"/>
        </w:numPr>
      </w:pPr>
      <w:r>
        <w:rPr>
          <w:bCs/>
          <w:b/>
        </w:rPr>
        <w:t xml:space="preserve">(2026-08-03 — the three browser pulls arrived; pins executed.)</w:t>
      </w:r>
    </w:p>
    <w:p>
      <w:pPr>
        <w:numPr>
          <w:ilvl w:val="1"/>
          <w:numId w:val="1054"/>
        </w:numPr>
        <w:pStyle w:val="Compact"/>
      </w:pPr>
      <w:r>
        <w:t xml:space="preserve">The Jeddah statement (president.gov.ua print, in repo): §I’s</w:t>
      </w:r>
      <w:r>
        <w:t xml:space="preserve"> </w:t>
      </w:r>
      <w:r>
        <w:t xml:space="preserve">[GAP] closed with the verbatim sentence (</w:t>
      </w:r>
      <w:r>
        <w:t xml:space="preserve">“</w:t>
      </w:r>
      <w:r>
        <w:t xml:space="preserve">The United States will</w:t>
      </w:r>
      <w:r>
        <w:t xml:space="preserve"> </w:t>
      </w:r>
      <w:r>
        <w:t xml:space="preserve">immediately lift the pause on intelligence sharing and resume</w:t>
      </w:r>
      <w:r>
        <w:t xml:space="preserve"> </w:t>
      </w:r>
      <w:r>
        <w:t xml:space="preserve">security assistance to Ukraine,</w:t>
      </w:r>
      <w:r>
        <w:t xml:space="preserve">”</w:t>
      </w:r>
      <w:r>
        <w:t xml:space="preserve"> </w:t>
      </w:r>
      <w:r>
        <w:t xml:space="preserve">11 March 2025). (b) The Section</w:t>
      </w:r>
      <w:r>
        <w:t xml:space="preserve"> </w:t>
      </w:r>
      <w:r>
        <w:t xml:space="preserve">232 instrument identified and cited at T1: Proclamation 11002 of</w:t>
      </w:r>
      <w:r>
        <w:t xml:space="preserve"> </w:t>
      </w:r>
      <w:r>
        <w:t xml:space="preserve">14 January 2026 (91 FR 2443) — 25% ad valorem on covered</w:t>
      </w:r>
      <w:r>
        <w:t xml:space="preserve"> </w:t>
      </w:r>
      <w:r>
        <w:t xml:space="preserve">semiconductor imports, first phase, offset programme recommended</w:t>
      </w:r>
      <w:r>
        <w:t xml:space="preserve"> </w:t>
      </w:r>
      <w:r>
        <w:t xml:space="preserve">for the second; the §II claim upgraded from T3/T4. (c) CRS R48887</w:t>
      </w:r>
      <w:r>
        <w:t xml:space="preserve"> </w:t>
      </w:r>
      <w:r>
        <w:t xml:space="preserve">original in repo: the mirror citation retired; two attribution</w:t>
      </w:r>
      <w:r>
        <w:t xml:space="preserve"> </w:t>
      </w:r>
      <w:r>
        <w:t xml:space="preserve">corrections from the original — the $11.3bn figure is NYT-reported</w:t>
      </w:r>
      <w:r>
        <w:t xml:space="preserve"> </w:t>
      </w:r>
      <w:r>
        <w:t xml:space="preserve">Pentagon briefing material and explicitly partial (not</w:t>
      </w:r>
      <w:r>
        <w:t xml:space="preserve"> </w:t>
      </w:r>
      <w:r>
        <w:t xml:space="preserve">“</w:t>
      </w:r>
      <w:r>
        <w:t xml:space="preserve">the</w:t>
      </w:r>
      <w:r>
        <w:t xml:space="preserve"> </w:t>
      </w:r>
      <w:r>
        <w:t xml:space="preserve">official figure</w:t>
      </w:r>
      <w:r>
        <w:t xml:space="preserve">”</w:t>
      </w:r>
      <w:r>
        <w:t xml:space="preserve"> </w:t>
      </w:r>
      <w:r>
        <w:t xml:space="preserve">as the mirror-based text had it), the operation</w:t>
      </w:r>
      <w:r>
        <w:t xml:space="preserve"> </w:t>
      </w:r>
      <w:r>
        <w:t xml:space="preserve">is named (Epic Fury), and the reported-fatalities category now</w:t>
      </w:r>
      <w:r>
        <w:t xml:space="preserve"> </w:t>
      </w:r>
      <w:r>
        <w:t xml:space="preserve">includes the &gt;1,000 Lebanon figure. All changed passages PENDING</w:t>
      </w:r>
      <w:r>
        <w:t xml:space="preserve"> </w:t>
      </w:r>
      <w:r>
        <w:t xml:space="preserve">HUMAN REVIEW; [RE-CHECK AT PRESS] retained (events ongoing at the</w:t>
      </w:r>
      <w:r>
        <w:t xml:space="preserve"> </w:t>
      </w:r>
      <w:r>
        <w:t xml:space="preserve">report’s date).</w:t>
      </w:r>
    </w:p>
    <w:bookmarkEnd w:id="126"/>
    <w:bookmarkEnd w:id="127"/>
    <w:bookmarkEnd w:id="128"/>
    <w:bookmarkStart w:id="130" w:name="X0c2a3d7af13009d689a712750271dbe0b3da58f"/>
    <w:p>
      <w:pPr>
        <w:pStyle w:val="Heading1"/>
      </w:pPr>
      <w:r>
        <w:t xml:space="preserve">Part E — Assembled appendices and the coda (whole; never yet reviewed)</w:t>
      </w:r>
    </w:p>
    <w:bookmarkStart w:id="129" w:name="e1.-codadraft.md"/>
    <w:p>
      <w:pPr>
        <w:pStyle w:val="Heading2"/>
      </w:pPr>
      <w:r>
        <w:t xml:space="preserve">E1. coda/draft.md</w:t>
      </w:r>
    </w:p>
    <w:bookmarkEnd w:id="129"/>
    <w:bookmarkEnd w:id="130"/>
    <w:bookmarkStart w:id="139" w:name="coda-a-note-on-method-and-sources"/>
    <w:p>
      <w:pPr>
        <w:pStyle w:val="Heading1"/>
      </w:pPr>
      <w:r>
        <w:t xml:space="preserve">Coda — A Note on Method and Sources</w:t>
      </w:r>
    </w:p>
    <w:p>
      <w:pPr>
        <w:pStyle w:val="FirstParagraph"/>
      </w:pPr>
      <w:r>
        <w:rPr>
          <w:iCs/>
          <w:i/>
        </w:rPr>
        <w:t xml:space="preserve">DRAFT (first draft, 2026-08-02) — synthesised from the completed and</w:t>
      </w:r>
      <w:r>
        <w:rPr>
          <w:iCs/>
          <w:i/>
        </w:rPr>
        <w:t xml:space="preserve"> </w:t>
      </w:r>
      <w:r>
        <w:rPr>
          <w:iCs/>
          <w:i/>
        </w:rPr>
        <w:t xml:space="preserve">reviewed chapters per the brief (no new research); drafted last, on</w:t>
      </w:r>
      <w:r>
        <w:rPr>
          <w:iCs/>
          <w:i/>
        </w:rPr>
        <w:t xml:space="preserve"> </w:t>
      </w:r>
      <w:r>
        <w:rPr>
          <w:iCs/>
          <w:i/>
        </w:rPr>
        <w:t xml:space="preserve">Roderick’s instruction, with the authorised disclosure sentence and the</w:t>
      </w:r>
      <w:r>
        <w:rPr>
          <w:iCs/>
          <w:i/>
        </w:rPr>
        <w:t xml:space="preserve"> </w:t>
      </w:r>
      <w:r>
        <w:rPr>
          <w:iCs/>
          <w:i/>
        </w:rPr>
        <w:t xml:space="preserve">falsifiability-narrowing delta table as method material. ~4,000-word</w:t>
      </w:r>
      <w:r>
        <w:rPr>
          <w:iCs/>
          <w:i/>
        </w:rPr>
        <w:t xml:space="preserve"> </w:t>
      </w:r>
      <w:r>
        <w:rPr>
          <w:iCs/>
          <w:i/>
        </w:rPr>
        <w:t xml:space="preserve">target.</w:t>
      </w:r>
    </w:p>
    <w:p>
      <w:r>
        <w:pict>
          <v:rect style="width:0;height:1.5pt" o:hralign="center" o:hrstd="t" o:hr="t"/>
        </w:pict>
      </w:r>
    </w:p>
    <w:p>
      <w:pPr>
        <w:pStyle w:val="FirstParagraph"/>
      </w:pPr>
      <w:r>
        <w:t xml:space="preserve">A book that predicts deserves to have its machinery inspected, and</w:t>
      </w:r>
      <w:r>
        <w:t xml:space="preserve"> </w:t>
      </w:r>
      <w:r>
        <w:t xml:space="preserve">this note exists so that the inspection need not be forensic. It</w:t>
      </w:r>
      <w:r>
        <w:t xml:space="preserve"> </w:t>
      </w:r>
      <w:r>
        <w:t xml:space="preserve">states what kind of claim the book makes, how the evidence was</w:t>
      </w:r>
      <w:r>
        <w:t xml:space="preserve"> </w:t>
      </w:r>
      <w:r>
        <w:t xml:space="preserve">tiered, what rules governed the comparisons, what the book does not</w:t>
      </w:r>
      <w:r>
        <w:t xml:space="preserve"> </w:t>
      </w:r>
      <w:r>
        <w:t xml:space="preserve">claim, and where the argument’s founder was right and is respectfully</w:t>
      </w:r>
      <w:r>
        <w:t xml:space="preserve"> </w:t>
      </w:r>
      <w:r>
        <w:t xml:space="preserve">departed from.</w:t>
      </w:r>
    </w:p>
    <w:bookmarkStart w:id="131" w:name="X77b4a9828d12cd27e4dbe8045698d99a3db1842"/>
    <w:p>
      <w:pPr>
        <w:pStyle w:val="Heading2"/>
      </w:pPr>
      <w:r>
        <w:t xml:space="preserve">I. Mechanism under conditions, not determinism</w:t>
      </w:r>
    </w:p>
    <w:p>
      <w:pPr>
        <w:pStyle w:val="FirstParagraph"/>
      </w:pPr>
      <w:r>
        <w:t xml:space="preserve">The book’s causal claim has a precise logical form, and everything</w:t>
      </w:r>
      <w:r>
        <w:t xml:space="preserve"> </w:t>
      </w:r>
      <w:r>
        <w:t xml:space="preserve">turns on it: a</w:t>
      </w:r>
      <w:r>
        <w:t xml:space="preserve"> </w:t>
      </w:r>
      <w:r>
        <w:rPr>
          <w:iCs/>
          <w:i/>
        </w:rPr>
        <w:t xml:space="preserve">mechanism under conditions</w:t>
      </w:r>
      <w:r>
        <w:t xml:space="preserve">, not a law of history.</w:t>
      </w:r>
      <w:r>
        <w:t xml:space="preserve"> </w:t>
      </w:r>
      <w:r>
        <w:t xml:space="preserve">The mechanism — capital-intensification of decisive force compelling</w:t>
      </w:r>
      <w:r>
        <w:t xml:space="preserve"> </w:t>
      </w:r>
      <w:r>
        <w:t xml:space="preserve">permanent finance, permanent finance compelling administrative</w:t>
      </w:r>
      <w:r>
        <w:t xml:space="preserve"> </w:t>
      </w:r>
      <w:r>
        <w:t xml:space="preserve">capacity, administrative capacity suppressing intermediate</w:t>
      </w:r>
      <w:r>
        <w:t xml:space="preserve"> </w:t>
      </w:r>
      <w:r>
        <w:t xml:space="preserve">authorities — operated once, in the documented case Part II</w:t>
      </w:r>
      <w:r>
        <w:t xml:space="preserve"> </w:t>
      </w:r>
      <w:r>
        <w:t xml:space="preserve">reconstructs. The book’s wager is that its enabling conditions have</w:t>
      </w:r>
      <w:r>
        <w:t xml:space="preserve"> </w:t>
      </w:r>
      <w:r>
        <w:t xml:space="preserve">recurred: a decisive capability whose price sits above what any</w:t>
      </w:r>
      <w:r>
        <w:t xml:space="preserve"> </w:t>
      </w:r>
      <w:r>
        <w:t xml:space="preserve">subject can pay; polities with latent fiscal-administrative capacity</w:t>
      </w:r>
      <w:r>
        <w:t xml:space="preserve"> </w:t>
      </w:r>
      <w:r>
        <w:t xml:space="preserve">to mobilise; and exogenous pressure sufficient to force the</w:t>
      </w:r>
      <w:r>
        <w:t xml:space="preserve"> </w:t>
      </w:r>
      <w:r>
        <w:t xml:space="preserve">mobilisation. Where the conditions fail, the mechanism idles — the</w:t>
      </w:r>
      <w:r>
        <w:t xml:space="preserve"> </w:t>
      </w:r>
      <w:r>
        <w:t xml:space="preserve">book’s own counter-cases are the demonstration, and they were chosen</w:t>
      </w:r>
      <w:r>
        <w:t xml:space="preserve"> </w:t>
      </w:r>
      <w:r>
        <w:t xml:space="preserve">for that work: the Swiss won the battles and built no state, because</w:t>
      </w:r>
      <w:r>
        <w:t xml:space="preserve"> </w:t>
      </w:r>
      <w:r>
        <w:t xml:space="preserve">pike squares compelled no institutions; the Empire asserted the</w:t>
      </w:r>
      <w:r>
        <w:t xml:space="preserve"> </w:t>
      </w:r>
      <w:r>
        <w:t xml:space="preserve">monopoly of justice without the fiscal substrate and enforced it a</w:t>
      </w:r>
      <w:r>
        <w:t xml:space="preserve"> </w:t>
      </w:r>
      <w:r>
        <w:t xml:space="preserve">century late; Burgundy built the apparatus and lost the continuous</w:t>
      </w:r>
      <w:r>
        <w:t xml:space="preserve"> </w:t>
      </w:r>
      <w:r>
        <w:t xml:space="preserve">political centre, and the apparatus passed to its neighbours; England</w:t>
      </w:r>
      <w:r>
        <w:t xml:space="preserve"> </w:t>
      </w:r>
      <w:r>
        <w:t xml:space="preserve">held the gun monopoly without the fisc and lost both. One mechanism,</w:t>
      </w:r>
      <w:r>
        <w:t xml:space="preserve"> </w:t>
      </w:r>
      <w:r>
        <w:t xml:space="preserve">several failure modes, one completed run — that is the shape of a</w:t>
      </w:r>
      <w:r>
        <w:t xml:space="preserve"> </w:t>
      </w:r>
      <w:r>
        <w:t xml:space="preserve">conditional claim, and it is why the predictions of Part III are</w:t>
      </w:r>
      <w:r>
        <w:t xml:space="preserve"> </w:t>
      </w:r>
      <w:r>
        <w:t xml:space="preserve">conditional too:</w:t>
      </w:r>
      <w:r>
        <w:t xml:space="preserve"> </w:t>
      </w:r>
      <w:r>
        <w:rPr>
          <w:iCs/>
          <w:i/>
        </w:rPr>
        <w:t xml:space="preserve">if</w:t>
      </w:r>
      <w:r>
        <w:t xml:space="preserve"> </w:t>
      </w:r>
      <w:r>
        <w:t xml:space="preserve">the stacks continue to concentrate,</w:t>
      </w:r>
      <w:r>
        <w:t xml:space="preserve"> </w:t>
      </w:r>
      <w:r>
        <w:rPr>
          <w:iCs/>
          <w:i/>
        </w:rPr>
        <w:t xml:space="preserve">if</w:t>
      </w:r>
      <w:r>
        <w:t xml:space="preserve"> </w:t>
      </w:r>
      <w:r>
        <w:t xml:space="preserve">the</w:t>
      </w:r>
      <w:r>
        <w:t xml:space="preserve"> </w:t>
      </w:r>
      <w:r>
        <w:t xml:space="preserve">blocs sustain the fiscal effort,</w:t>
      </w:r>
      <w:r>
        <w:t xml:space="preserve"> </w:t>
      </w:r>
      <w:r>
        <w:rPr>
          <w:iCs/>
          <w:i/>
        </w:rPr>
        <w:t xml:space="preserve">then</w:t>
      </w:r>
      <w:r>
        <w:t xml:space="preserve"> </w:t>
      </w:r>
      <w:r>
        <w:t xml:space="preserve">the settlement pattern</w:t>
      </w:r>
      <w:r>
        <w:t xml:space="preserve"> </w:t>
      </w:r>
      <w:r>
        <w:t xml:space="preserve">follows. History does not repeat on command. Prices, however, are</w:t>
      </w:r>
      <w:r>
        <w:t xml:space="preserve"> </w:t>
      </w:r>
      <w:r>
        <w:t xml:space="preserve">facts, and the book’s core empirical assertion — that the price of</w:t>
      </w:r>
      <w:r>
        <w:t xml:space="preserve"> </w:t>
      </w:r>
      <w:r>
        <w:t xml:space="preserve">decisive capability has moved beyond subordinate reach — is checkable</w:t>
      </w:r>
      <w:r>
        <w:t xml:space="preserve"> </w:t>
      </w:r>
      <w:r>
        <w:t xml:space="preserve">at any time against public budgets.</w:t>
      </w:r>
    </w:p>
    <w:bookmarkEnd w:id="131"/>
    <w:bookmarkStart w:id="132" w:name="Xe3ef979d4d3c3f0ed1a522c8d0af0240d696e40"/>
    <w:p>
      <w:pPr>
        <w:pStyle w:val="Heading2"/>
      </w:pPr>
      <w:r>
        <w:t xml:space="preserve">II. The comparative register, stated as rule</w:t>
      </w:r>
    </w:p>
    <w:p>
      <w:pPr>
        <w:pStyle w:val="FirstParagraph"/>
      </w:pPr>
      <w:r>
        <w:t xml:space="preserve">No single-polity argument appears anywhere in the book; the rule was</w:t>
      </w:r>
      <w:r>
        <w:t xml:space="preserve"> </w:t>
      </w:r>
      <w:r>
        <w:t xml:space="preserve">doctrine before a word was drafted, and it is auditable. Every</w:t>
      </w:r>
      <w:r>
        <w:t xml:space="preserve"> </w:t>
      </w:r>
      <w:r>
        <w:t xml:space="preserve">English-leaning chapter carries at least two continental comparators:</w:t>
      </w:r>
      <w:r>
        <w:t xml:space="preserve"> </w:t>
      </w:r>
      <w:r>
        <w:t xml:space="preserve">Henry VI is read beside Charles VI and the Ottoman succession crises;</w:t>
      </w:r>
      <w:r>
        <w:t xml:space="preserve"> </w:t>
      </w:r>
      <w:r>
        <w:t xml:space="preserve">Cade beside the Praguerie, the Ciompi legacy and the German risings;</w:t>
      </w:r>
      <w:r>
        <w:t xml:space="preserve"> </w:t>
      </w:r>
      <w:r>
        <w:t xml:space="preserve">the Pastons beside the</w:t>
      </w:r>
      <w:r>
        <w:t xml:space="preserve"> </w:t>
      </w:r>
      <w:r>
        <w:rPr>
          <w:iCs/>
          <w:i/>
        </w:rPr>
        <w:t xml:space="preserve">Fehde</w:t>
      </w:r>
      <w:r>
        <w:t xml:space="preserve"> </w:t>
      </w:r>
      <w:r>
        <w:t xml:space="preserve">and the vendetta; the artillery state</w:t>
      </w:r>
      <w:r>
        <w:t xml:space="preserve"> </w:t>
      </w:r>
      <w:r>
        <w:t xml:space="preserve">is French, with Burgundy and the Swiss as counter-cases and England</w:t>
      </w:r>
      <w:r>
        <w:t xml:space="preserve"> </w:t>
      </w:r>
      <w:r>
        <w:t xml:space="preserve">demoted to the control experiment; the new monarchies run four</w:t>
      </w:r>
      <w:r>
        <w:t xml:space="preserve"> </w:t>
      </w:r>
      <w:r>
        <w:t xml:space="preserve">polities with the Ottomans included precisely because the older</w:t>
      </w:r>
      <w:r>
        <w:t xml:space="preserve"> </w:t>
      </w:r>
      <w:r>
        <w:t xml:space="preserve">“</w:t>
      </w:r>
      <w:r>
        <w:t xml:space="preserve">New</w:t>
      </w:r>
      <w:r>
        <w:t xml:space="preserve"> </w:t>
      </w:r>
      <w:r>
        <w:t xml:space="preserve">Monarchy</w:t>
      </w:r>
      <w:r>
        <w:t xml:space="preserve">”</w:t>
      </w:r>
      <w:r>
        <w:t xml:space="preserve"> </w:t>
      </w:r>
      <w:r>
        <w:t xml:space="preserve">literature excluded them. Appendix B tabulates the register</w:t>
      </w:r>
      <w:r>
        <w:t xml:space="preserve"> </w:t>
      </w:r>
      <w:r>
        <w:t xml:space="preserve">chapter by chapter. The rule’s purpose is not decorative breadth. It</w:t>
      </w:r>
      <w:r>
        <w:t xml:space="preserve"> </w:t>
      </w:r>
      <w:r>
        <w:t xml:space="preserve">is the book’s defence against its own convenience: a mechanism that</w:t>
      </w:r>
      <w:r>
        <w:t xml:space="preserve"> </w:t>
      </w:r>
      <w:r>
        <w:t xml:space="preserve">only worked in one kingdom would be a national history wearing a</w:t>
      </w:r>
      <w:r>
        <w:t xml:space="preserve"> </w:t>
      </w:r>
      <w:r>
        <w:t xml:space="preserve">theory; a mechanism whose failure modes appear exactly where its</w:t>
      </w:r>
      <w:r>
        <w:t xml:space="preserve"> </w:t>
      </w:r>
      <w:r>
        <w:t xml:space="preserve">conditions fail is a mechanism.</w:t>
      </w:r>
    </w:p>
    <w:bookmarkEnd w:id="132"/>
    <w:bookmarkStart w:id="133" w:name="iii.-the-three-tier-sourcing-discipline"/>
    <w:p>
      <w:pPr>
        <w:pStyle w:val="Heading2"/>
      </w:pPr>
      <w:r>
        <w:t xml:space="preserve">III. The three-tier sourcing discipline</w:t>
      </w:r>
    </w:p>
    <w:p>
      <w:pPr>
        <w:pStyle w:val="FirstParagraph"/>
      </w:pPr>
      <w:r>
        <w:t xml:space="preserve">The book runs on three distinct bodies of evidence, and they were</w:t>
      </w:r>
      <w:r>
        <w:t xml:space="preserve"> </w:t>
      </w:r>
      <w:r>
        <w:t xml:space="preserve">never allowed to vouch for one another.</w:t>
      </w:r>
    </w:p>
    <w:p>
      <w:pPr>
        <w:pStyle w:val="BodyText"/>
      </w:pPr>
      <w:r>
        <w:t xml:space="preserve">The</w:t>
      </w:r>
      <w:r>
        <w:t xml:space="preserve"> </w:t>
      </w:r>
      <w:r>
        <w:rPr>
          <w:iCs/>
          <w:i/>
        </w:rPr>
        <w:t xml:space="preserve">neomedieval spine</w:t>
      </w:r>
      <w:r>
        <w:t xml:space="preserve"> </w:t>
      </w:r>
      <w:r>
        <w:t xml:space="preserve">— Bull, Friedrichs, Cerny, Kobrin, Slaughter,</w:t>
      </w:r>
      <w:r>
        <w:t xml:space="preserve"> </w:t>
      </w:r>
      <w:r>
        <w:t xml:space="preserve">Kaplan, Williams, McFate — was read as a literature being extended,</w:t>
      </w:r>
      <w:r>
        <w:t xml:space="preserve"> </w:t>
      </w:r>
      <w:r>
        <w:t xml:space="preserve">and quoted from its own texts wherever they were in hand, with every</w:t>
      </w:r>
      <w:r>
        <w:t xml:space="preserve"> </w:t>
      </w:r>
      <w:r>
        <w:t xml:space="preserve">second-hand quotation named as such — and retired when the primary</w:t>
      </w:r>
      <w:r>
        <w:t xml:space="preserve"> </w:t>
      </w:r>
      <w:r>
        <w:t xml:space="preserve">arrived: Bull’s caution, carried through named intermediaries for</w:t>
      </w:r>
      <w:r>
        <w:t xml:space="preserve"> </w:t>
      </w:r>
      <w:r>
        <w:t xml:space="preserve">the whole research phase with one word flagged as varying by</w:t>
      </w:r>
      <w:r>
        <w:t xml:space="preserve"> </w:t>
      </w:r>
      <w:r>
        <w:t xml:space="preserve">printing, was re-quoted direct from the fourth edition when the</w:t>
      </w:r>
      <w:r>
        <w:t xml:space="preserve"> </w:t>
      </w:r>
      <w:r>
        <w:t xml:space="preserve">book reached the corpus, and the variant proved to be two adjacent</w:t>
      </w:r>
      <w:r>
        <w:t xml:space="preserve"> </w:t>
      </w:r>
      <w:r>
        <w:t xml:space="preserve">sentences on one page. The</w:t>
      </w:r>
      <w:r>
        <w:t xml:space="preserve"> </w:t>
      </w:r>
      <w:r>
        <w:rPr>
          <w:iCs/>
          <w:i/>
        </w:rPr>
        <w:t xml:space="preserve">medieval historiography</w:t>
      </w:r>
      <w:r>
        <w:t xml:space="preserve"> </w:t>
      </w:r>
      <w:r>
        <w:t xml:space="preserve">was held to the hardest</w:t>
      </w:r>
      <w:r>
        <w:t xml:space="preserve"> </w:t>
      </w:r>
      <w:r>
        <w:t xml:space="preserve">rule in the book: no gated work cited as if consulted; every claim</w:t>
      </w:r>
      <w:r>
        <w:t xml:space="preserve"> </w:t>
      </w:r>
      <w:r>
        <w:t xml:space="preserve">graded by tier; omission preferred to invention. Where the research</w:t>
      </w:r>
      <w:r>
        <w:t xml:space="preserve"> </w:t>
      </w:r>
      <w:r>
        <w:t xml:space="preserve">corrected the project’s own working assumptions, the corrections are</w:t>
      </w:r>
      <w:r>
        <w:t xml:space="preserve"> </w:t>
      </w:r>
      <w:r>
        <w:t xml:space="preserve">in the text: the</w:t>
      </w:r>
      <w:r>
        <w:t xml:space="preserve"> </w:t>
      </w:r>
      <w:r>
        <w:t xml:space="preserve">“</w:t>
      </w:r>
      <w:r>
        <w:t xml:space="preserve">sixty fortified places</w:t>
      </w:r>
      <w:r>
        <w:t xml:space="preserve">”</w:t>
      </w:r>
      <w:r>
        <w:t xml:space="preserve"> </w:t>
      </w:r>
      <w:r>
        <w:t xml:space="preserve">of the early outline</w:t>
      </w:r>
      <w:r>
        <w:t xml:space="preserve"> </w:t>
      </w:r>
      <w:r>
        <w:t xml:space="preserve">became Rogers’s sourced one hundred strongpoints with the</w:t>
      </w:r>
      <w:r>
        <w:t xml:space="preserve"> </w:t>
      </w:r>
      <w:r>
        <w:t xml:space="preserve">surrender-not-siege caveat that improved the argument; the Bureau</w:t>
      </w:r>
      <w:r>
        <w:t xml:space="preserve"> </w:t>
      </w:r>
      <w:r>
        <w:t xml:space="preserve">brothers were demoted from inventors to institutionalisers, which</w:t>
      </w:r>
      <w:r>
        <w:t xml:space="preserve"> </w:t>
      </w:r>
      <w:r>
        <w:t xml:space="preserve">strengthened the thesis; Formigny was downgraded from decision to</w:t>
      </w:r>
      <w:r>
        <w:t xml:space="preserve"> </w:t>
      </w:r>
      <w:r>
        <w:t xml:space="preserve">provocation; the drone-share figures of the last chapters are kept</w:t>
      </w:r>
      <w:r>
        <w:t xml:space="preserve"> </w:t>
      </w:r>
      <w:r>
        <w:t xml:space="preserve">as three separate measurements because that is what they are. And</w:t>
      </w:r>
      <w:r>
        <w:t xml:space="preserve"> </w:t>
      </w:r>
      <w:r>
        <w:t xml:space="preserve">the</w:t>
      </w:r>
      <w:r>
        <w:t xml:space="preserve"> </w:t>
      </w:r>
      <w:r>
        <w:rPr>
          <w:iCs/>
          <w:i/>
        </w:rPr>
        <w:t xml:space="preserve">contemporary record</w:t>
      </w:r>
      <w:r>
        <w:t xml:space="preserve"> </w:t>
      </w:r>
      <w:r>
        <w:t xml:space="preserve">was held to primary documents — statutes,</w:t>
      </w:r>
      <w:r>
        <w:t xml:space="preserve"> </w:t>
      </w:r>
      <w:r>
        <w:t xml:space="preserve">regulations, court filings, proxy statements, budget lines, the</w:t>
      </w:r>
      <w:r>
        <w:t xml:space="preserve"> </w:t>
      </w:r>
      <w:r>
        <w:t xml:space="preserve">institutions’ own annual reports — with commentary as framing,</w:t>
      </w:r>
      <w:r>
        <w:t xml:space="preserve"> </w:t>
      </w:r>
      <w:r>
        <w:t xml:space="preserve">never as load-bearing support; every live episode is drafted as</w:t>
      </w:r>
      <w:r>
        <w:t xml:space="preserve"> </w:t>
      </w:r>
      <w:r>
        <w:t xml:space="preserve">dated events, attributed, and flagged for re-verification at press.</w:t>
      </w:r>
      <w:r>
        <w:t xml:space="preserve"> </w:t>
      </w:r>
      <w:r>
        <w:t xml:space="preserve">Two special disciplines ran across all three tiers. Foreign-language</w:t>
      </w:r>
      <w:r>
        <w:t xml:space="preserve"> </w:t>
      </w:r>
      <w:r>
        <w:t xml:space="preserve">sources are quoted verbatim in the original, with translations</w:t>
      </w:r>
      <w:r>
        <w:t xml:space="preserve"> </w:t>
      </w:r>
      <w:r>
        <w:t xml:space="preserve">either the scholarly edition’s or marked as the pipeline’s own for</w:t>
      </w:r>
      <w:r>
        <w:t xml:space="preserve"> </w:t>
      </w:r>
      <w:r>
        <w:t xml:space="preserve">checking. And a recurring evidentiary pattern was promoted, once</w:t>
      </w:r>
      <w:r>
        <w:t xml:space="preserve"> </w:t>
      </w:r>
      <w:r>
        <w:t xml:space="preserve">noticed, into the book’s method: at every contested joint of the</w:t>
      </w:r>
      <w:r>
        <w:t xml:space="preserve"> </w:t>
      </w:r>
      <w:r>
        <w:t xml:space="preserve">medieval mechanism, the argument rests on the</w:t>
      </w:r>
      <w:r>
        <w:t xml:space="preserve"> </w:t>
      </w:r>
      <w:r>
        <w:rPr>
          <w:iCs/>
          <w:i/>
        </w:rPr>
        <w:t xml:space="preserve">sceptics’</w:t>
      </w:r>
      <w:r>
        <w:t xml:space="preserve"> </w:t>
      </w:r>
      <w:r>
        <w:t xml:space="preserve">own</w:t>
      </w:r>
      <w:r>
        <w:t xml:space="preserve"> </w:t>
      </w:r>
      <w:r>
        <w:t xml:space="preserve">concessions — Rogers’s spiral, DeVries’s conforming France and</w:t>
      </w:r>
      <w:r>
        <w:t xml:space="preserve"> </w:t>
      </w:r>
      <w:r>
        <w:t xml:space="preserve">Burgundy, Curry’s state-only threshold, Cerny’s fifteenth-century</w:t>
      </w:r>
      <w:r>
        <w:t xml:space="preserve"> </w:t>
      </w:r>
      <w:r>
        <w:t xml:space="preserve">attribution — so that what remains in dispute with the specialists</w:t>
      </w:r>
      <w:r>
        <w:t xml:space="preserve"> </w:t>
      </w:r>
      <w:r>
        <w:t xml:space="preserve">is ranking, tempo and sequence, never direction.</w:t>
      </w:r>
    </w:p>
    <w:p>
      <w:pPr>
        <w:pStyle w:val="BodyText"/>
      </w:pPr>
      <w:r>
        <w:t xml:space="preserve">One disclosure belongs in this note as a matter of the same</w:t>
      </w:r>
      <w:r>
        <w:t xml:space="preserve"> </w:t>
      </w:r>
      <w:r>
        <w:t xml:space="preserve">discipline. The research and drafting pipeline for this book used</w:t>
      </w:r>
      <w:r>
        <w:t xml:space="preserve"> </w:t>
      </w:r>
      <w:r>
        <w:t xml:space="preserve">AI models, including Anthropic’s; the Anthropic–Pentagon episode</w:t>
      </w:r>
      <w:r>
        <w:t xml:space="preserve"> </w:t>
      </w:r>
      <w:r>
        <w:t xml:space="preserve">discussed in Chapters 3 and 11 entered the book on documentary</w:t>
      </w:r>
      <w:r>
        <w:t xml:space="preserve"> </w:t>
      </w:r>
      <w:r>
        <w:t xml:space="preserve">criteria — government releases and docket entries — and carries the</w:t>
      </w:r>
      <w:r>
        <w:t xml:space="preserve"> </w:t>
      </w:r>
      <w:r>
        <w:t xml:space="preserve">standard live-event flag, like every other contemporary episode.</w:t>
      </w:r>
      <w:r>
        <w:t xml:space="preserve"> </w:t>
      </w:r>
      <w:r>
        <w:t xml:space="preserve">The reader should weigh the book’s treatment of that episode with</w:t>
      </w:r>
      <w:r>
        <w:t xml:space="preserve"> </w:t>
      </w:r>
      <w:r>
        <w:t xml:space="preserve">the disclosure in view; the sourcing rules above were built so that</w:t>
      </w:r>
      <w:r>
        <w:t xml:space="preserve"> </w:t>
      </w:r>
      <w:r>
        <w:t xml:space="preserve">nothing in the treatment depends on trust.</w:t>
      </w:r>
    </w:p>
    <w:bookmarkEnd w:id="133"/>
    <w:bookmarkStart w:id="134" w:name="iv.-the-wagers-narrowing-a-delta-table"/>
    <w:p>
      <w:pPr>
        <w:pStyle w:val="Heading2"/>
      </w:pPr>
      <w:r>
        <w:t xml:space="preserve">IV. The wager’s narrowing — a delta table</w:t>
      </w:r>
    </w:p>
    <w:p>
      <w:pPr>
        <w:pStyle w:val="FirstParagraph"/>
      </w:pPr>
      <w:r>
        <w:t xml:space="preserve">The falsifiability passage in the Introduction is not the wager the</w:t>
      </w:r>
      <w:r>
        <w:t xml:space="preserve"> </w:t>
      </w:r>
      <w:r>
        <w:t xml:space="preserve">project began with; it is the wager the research left standing. The</w:t>
      </w:r>
      <w:r>
        <w:t xml:space="preserve"> </w:t>
      </w:r>
      <w:r>
        <w:t xml:space="preserve">narrowing was always in one direction — each condition tightened,</w:t>
      </w:r>
      <w:r>
        <w:t xml:space="preserve"> </w:t>
      </w:r>
      <w:r>
        <w:t xml:space="preserve">none loosened — and the method essay is the place to show the</w:t>
      </w:r>
      <w:r>
        <w:t xml:space="preserve"> </w:t>
      </w:r>
      <w:r>
        <w:t xml:space="preserve">deltas, because the direction of revision is itself evidence of how</w:t>
      </w:r>
      <w:r>
        <w:t xml:space="preserve"> </w:t>
      </w:r>
      <w:r>
        <w:t xml:space="preserve">the book was built.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The outline’s original condition</w:t>
            </w:r>
          </w:p>
        </w:tc>
        <w:tc>
          <w:tcPr/>
          <w:p>
            <w:pPr>
              <w:pStyle w:val="Compact"/>
              <w:jc w:val="left"/>
            </w:pPr>
            <w:r>
              <w:t xml:space="preserve">The narrowed condition as published</w:t>
            </w:r>
          </w:p>
        </w:tc>
        <w:tc>
          <w:tcPr/>
          <w:p>
            <w:pPr>
              <w:pStyle w:val="Compact"/>
              <w:jc w:val="left"/>
            </w:pPr>
            <w:r>
              <w:t xml:space="preserve">What forced the narrowing</w:t>
            </w:r>
          </w:p>
        </w:tc>
      </w:tr>
      <w:tr>
        <w:tc>
          <w:tcPr/>
          <w:p>
            <w:pPr>
              <w:pStyle w:val="Compact"/>
              <w:jc w:val="left"/>
            </w:pPr>
            <w:r>
              <w:t xml:space="preserve">1</w:t>
            </w:r>
          </w:p>
        </w:tc>
        <w:tc>
          <w:tcPr/>
          <w:p>
            <w:pPr>
              <w:pStyle w:val="Compact"/>
              <w:jc w:val="left"/>
            </w:pPr>
            <w:r>
              <w:t xml:space="preserve">Cheap distributed autonomy defeats concentrated capital</w:t>
            </w:r>
          </w:p>
        </w:tc>
        <w:tc>
          <w:tcPr/>
          <w:p>
            <w:pPr>
              <w:pStyle w:val="Compact"/>
              <w:jc w:val="left"/>
            </w:pPr>
            <w:r>
              <w:t xml:space="preserve">A full-stack power defeated by cheap distributed systems</w:t>
            </w:r>
            <w:r>
              <w:t xml:space="preserve"> </w:t>
            </w:r>
            <w:r>
              <w:rPr>
                <w:iCs/>
                <w:i/>
              </w:rPr>
              <w:t xml:space="preserve">fielded without a patron’s intelligence, connectivity and interceptor layers behind them</w:t>
            </w:r>
          </w:p>
        </w:tc>
        <w:tc>
          <w:tcPr/>
          <w:p>
            <w:pPr>
              <w:pStyle w:val="Compact"/>
              <w:jc w:val="left"/>
            </w:pPr>
            <w:r>
              <w:t xml:space="preserve">The Ukraine record: the March 2025 suspension week showed the cheap layer aiming through a patron’s decisive layer (ch12)</w:t>
            </w:r>
          </w:p>
        </w:tc>
      </w:tr>
      <w:tr>
        <w:tc>
          <w:tcPr/>
          <w:p>
            <w:pPr>
              <w:pStyle w:val="Compact"/>
              <w:jc w:val="left"/>
            </w:pPr>
            <w:r>
              <w:t xml:space="preserve">2</w:t>
            </w:r>
          </w:p>
        </w:tc>
        <w:tc>
          <w:tcPr/>
          <w:p>
            <w:pPr>
              <w:pStyle w:val="Compact"/>
              <w:jc w:val="left"/>
            </w:pPr>
            <w:r>
              <w:t xml:space="preserve">Privacy-preserving systems become the default</w:t>
            </w:r>
          </w:p>
        </w:tc>
        <w:tc>
          <w:tcPr/>
          <w:p>
            <w:pPr>
              <w:pStyle w:val="Compact"/>
              <w:jc w:val="left"/>
            </w:pPr>
            <w:r>
              <w:t xml:space="preserve">Bloc-internal fiscal and reporting reach</w:t>
            </w:r>
            <w:r>
              <w:t xml:space="preserve"> </w:t>
            </w:r>
            <w:r>
              <w:rPr>
                <w:iCs/>
                <w:i/>
              </w:rPr>
              <w:t xml:space="preserve">falls in fact</w:t>
            </w:r>
            <w:r>
              <w:t xml:space="preserve">; the offshore untaxed share</w:t>
            </w:r>
            <w:r>
              <w:t xml:space="preserve"> </w:t>
            </w:r>
            <w:r>
              <w:rPr>
                <w:iCs/>
                <w:i/>
              </w:rPr>
              <w:t xml:space="preserve">rises again</w:t>
            </w:r>
            <w:r>
              <w:t xml:space="preserve">; plural privacy-default stacks displace bloc stacks</w:t>
            </w:r>
            <w:r>
              <w:t xml:space="preserve"> </w:t>
            </w:r>
            <w:r>
              <w:rPr>
                <w:iCs/>
                <w:i/>
              </w:rPr>
              <w:t xml:space="preserve">as the operative default</w:t>
            </w:r>
          </w:p>
        </w:tc>
        <w:tc>
          <w:tcPr/>
          <w:p>
            <w:pPr>
              <w:pStyle w:val="Compact"/>
              <w:jc w:val="left"/>
            </w:pPr>
            <w:r>
              <w:t xml:space="preserve">The legibility record: the offshore stock persists while the untaxed fraction collapsed threefold — the honest baseline required a sharper falsifier (ch08)</w:t>
            </w:r>
          </w:p>
        </w:tc>
      </w:tr>
      <w:tr>
        <w:tc>
          <w:tcPr/>
          <w:p>
            <w:pPr>
              <w:pStyle w:val="Compact"/>
              <w:jc w:val="left"/>
            </w:pPr>
            <w:r>
              <w:t xml:space="preserve">3</w:t>
            </w:r>
          </w:p>
        </w:tc>
        <w:tc>
          <w:tcPr/>
          <w:p>
            <w:pPr>
              <w:pStyle w:val="Compact"/>
              <w:jc w:val="left"/>
            </w:pPr>
            <w:r>
              <w:t xml:space="preserve">Platforms consolidate independence</w:t>
            </w:r>
          </w:p>
        </w:tc>
        <w:tc>
          <w:tcPr/>
          <w:p>
            <w:pPr>
              <w:pStyle w:val="Compact"/>
              <w:jc w:val="left"/>
            </w:pPr>
            <w:r>
              <w:t xml:space="preserve">An actor with decisive-relevant capability and a majority-commercial fiscal base escapes the state’s instruments</w:t>
            </w:r>
            <w:r>
              <w:t xml:space="preserve"> </w:t>
            </w:r>
            <w:r>
              <w:rPr>
                <w:iCs/>
                <w:i/>
              </w:rPr>
              <w:t xml:space="preserve">and resolves its disputes with states in fora states do not control</w:t>
            </w:r>
          </w:p>
        </w:tc>
        <w:tc>
          <w:tcPr/>
          <w:p>
            <w:pPr>
              <w:pStyle w:val="Compact"/>
              <w:jc w:val="left"/>
            </w:pPr>
            <w:r>
              <w:t xml:space="preserve">The legal history: plural fora proved parasitic on state law; forum-migration is the discriminating test (chs. 8, 11)</w:t>
            </w:r>
          </w:p>
        </w:tc>
      </w:tr>
      <w:tr>
        <w:tc>
          <w:tcPr/>
          <w:p>
            <w:pPr>
              <w:pStyle w:val="Compact"/>
              <w:jc w:val="left"/>
            </w:pPr>
            <w:r>
              <w:t xml:space="preserve">4</w:t>
            </w:r>
          </w:p>
        </w:tc>
        <w:tc>
          <w:tcPr/>
          <w:p>
            <w:pPr>
              <w:pStyle w:val="Compact"/>
              <w:jc w:val="left"/>
            </w:pPr>
            <w:r>
              <w:t xml:space="preserve">No identifiable Tudor moves</w:t>
            </w:r>
          </w:p>
        </w:tc>
        <w:tc>
          <w:tcPr/>
          <w:p>
            <w:pPr>
              <w:pStyle w:val="Compact"/>
              <w:jc w:val="left"/>
            </w:pPr>
            <w:r>
              <w:t xml:space="preserve">The five moves decomposed into scoreable forms across all four candidates,</w:t>
            </w:r>
            <w:r>
              <w:t xml:space="preserve"> </w:t>
            </w:r>
            <w:r>
              <w:rPr>
                <w:iCs/>
                <w:i/>
              </w:rPr>
              <w:t xml:space="preserve">plus</w:t>
            </w:r>
            <w:r>
              <w:t xml:space="preserve"> </w:t>
            </w:r>
            <w:r>
              <w:t xml:space="preserve">the Depreter limb: canon alone consolidating a bloc would falsify the mechanism even while producing a settlement look-alike</w:t>
            </w:r>
          </w:p>
        </w:tc>
        <w:tc>
          <w:tcPr/>
          <w:p>
            <w:pPr>
              <w:pStyle w:val="Compact"/>
              <w:jc w:val="left"/>
            </w:pPr>
            <w:r>
              <w:t xml:space="preserve">The comparative work (ch11) and the Burgundian accounts (ch10): apparatus without a continuous centre fails — so the EU case must be able to cut against the book</w:t>
            </w:r>
          </w:p>
        </w:tc>
      </w:tr>
    </w:tbl>
    <w:p>
      <w:pPr>
        <w:pStyle w:val="BodyText"/>
      </w:pPr>
      <w:r>
        <w:t xml:space="preserve">A wager that tightens itself under research is behaving as a wager</w:t>
      </w:r>
      <w:r>
        <w:t xml:space="preserve"> </w:t>
      </w:r>
      <w:r>
        <w:t xml:space="preserve">should; a wager that loosens is becoming unfalsifiable. The reader</w:t>
      </w:r>
      <w:r>
        <w:t xml:space="preserve"> </w:t>
      </w:r>
      <w:r>
        <w:t xml:space="preserve">is invited to hold the book to the published version and to none</w:t>
      </w:r>
      <w:r>
        <w:t xml:space="preserve"> </w:t>
      </w:r>
      <w:r>
        <w:t xml:space="preserve">softer.</w:t>
      </w:r>
    </w:p>
    <w:bookmarkEnd w:id="134"/>
    <w:bookmarkStart w:id="135" w:name="v.-what-the-book-does-not-claim"/>
    <w:p>
      <w:pPr>
        <w:pStyle w:val="Heading2"/>
      </w:pPr>
      <w:r>
        <w:t xml:space="preserve">V. What the book does not claim</w:t>
      </w:r>
    </w:p>
    <w:p>
      <w:pPr>
        <w:pStyle w:val="FirstParagraph"/>
      </w:pPr>
      <w:r>
        <w:t xml:space="preserve">Four disclaimers, stated flatly because each has been earned by a</w:t>
      </w:r>
      <w:r>
        <w:t xml:space="preserve"> </w:t>
      </w:r>
      <w:r>
        <w:t xml:space="preserve">chapter. The book does not predict specific events — no dates for</w:t>
      </w:r>
      <w:r>
        <w:t xml:space="preserve"> </w:t>
      </w:r>
      <w:r>
        <w:t xml:space="preserve">settlements, no named winners of elections or wars; its unit of</w:t>
      </w:r>
      <w:r>
        <w:t xml:space="preserve"> </w:t>
      </w:r>
      <w:r>
        <w:t xml:space="preserve">prediction is the pattern and its horizon is fifteen years of named</w:t>
      </w:r>
      <w:r>
        <w:t xml:space="preserve"> </w:t>
      </w:r>
      <w:r>
        <w:t xml:space="preserve">indicators. It does not claim any polity’s success: the American</w:t>
      </w:r>
      <w:r>
        <w:t xml:space="preserve"> </w:t>
      </w:r>
      <w:r>
        <w:t xml:space="preserve">candidacy is called probable and half-conscious, the Chinese</w:t>
      </w:r>
      <w:r>
        <w:t xml:space="preserve"> </w:t>
      </w:r>
      <w:r>
        <w:t xml:space="preserve">substantially executed but exposed at the summit the book’s own</w:t>
      </w:r>
      <w:r>
        <w:t xml:space="preserve"> </w:t>
      </w:r>
      <w:r>
        <w:t xml:space="preserve">two-bodies chapter diagnoses, the European conditional on a fiscal</w:t>
      </w:r>
      <w:r>
        <w:t xml:space="preserve"> </w:t>
      </w:r>
      <w:r>
        <w:t xml:space="preserve">substrate that does not yet exist, the Indian possible; all four</w:t>
      </w:r>
      <w:r>
        <w:t xml:space="preserve"> </w:t>
      </w:r>
      <w:r>
        <w:t xml:space="preserve">could fail, and condition four of the wager scores exactly that. It</w:t>
      </w:r>
      <w:r>
        <w:t xml:space="preserve"> </w:t>
      </w:r>
      <w:r>
        <w:t xml:space="preserve">does not claim the settlement is desirable: the Tudor turn, where</w:t>
      </w:r>
      <w:r>
        <w:t xml:space="preserve"> </w:t>
      </w:r>
      <w:r>
        <w:t xml:space="preserve">it ran, ran through bonds, expulsions, dissolutions and a harvest</w:t>
      </w:r>
      <w:r>
        <w:t xml:space="preserve"> </w:t>
      </w:r>
      <w:r>
        <w:t xml:space="preserve">of heads, and its modern forms — whatever their legality — will</w:t>
      </w:r>
      <w:r>
        <w:t xml:space="preserve"> </w:t>
      </w:r>
      <w:r>
        <w:t xml:space="preserve">concentrate power in ways the book’s readers may reasonably dread;</w:t>
      </w:r>
      <w:r>
        <w:t xml:space="preserve"> </w:t>
      </w:r>
      <w:r>
        <w:t xml:space="preserve">the book predicts, and declines to bless. And it does not claim</w:t>
      </w:r>
      <w:r>
        <w:t xml:space="preserve"> </w:t>
      </w:r>
      <w:r>
        <w:t xml:space="preserve">that history repeats: it claims that a mechanism has recurred, and</w:t>
      </w:r>
      <w:r>
        <w:t xml:space="preserve"> </w:t>
      </w:r>
      <w:r>
        <w:t xml:space="preserve">it stakes the claim on measurements.</w:t>
      </w:r>
    </w:p>
    <w:bookmarkEnd w:id="135"/>
    <w:bookmarkStart w:id="136" w:name="Xe2a6793cac9d92841da6839feb950820e8c2de0"/>
    <w:p>
      <w:pPr>
        <w:pStyle w:val="Heading2"/>
      </w:pPr>
      <w:r>
        <w:t xml:space="preserve">VI. The debt to Bull, and the precise disagreement</w:t>
      </w:r>
    </w:p>
    <w:p>
      <w:pPr>
        <w:pStyle w:val="FirstParagraph"/>
      </w:pPr>
      <w:r>
        <w:t xml:space="preserve">The debt first, because it is total: without the tenth chapter of</w:t>
      </w:r>
      <w:r>
        <w:t xml:space="preserve"> </w:t>
      </w:r>
      <w:r>
        <w:rPr>
          <w:iCs/>
          <w:i/>
        </w:rPr>
        <w:t xml:space="preserve">The Anarchical Society</w:t>
      </w:r>
      <w:r>
        <w:t xml:space="preserve"> </w:t>
      </w:r>
      <w:r>
        <w:t xml:space="preserve">there is no literature for this book to</w:t>
      </w:r>
      <w:r>
        <w:t xml:space="preserve"> </w:t>
      </w:r>
      <w:r>
        <w:t xml:space="preserve">extend, and without Bull’s own scepticism there is no model for how</w:t>
      </w:r>
      <w:r>
        <w:t xml:space="preserve"> </w:t>
      </w:r>
      <w:r>
        <w:t xml:space="preserve">to hold a bold hypothesis honestly. Bull did the two things this</w:t>
      </w:r>
      <w:r>
        <w:t xml:space="preserve"> </w:t>
      </w:r>
      <w:r>
        <w:t xml:space="preserve">book has tried to imitate — he specified the alternative to the</w:t>
      </w:r>
      <w:r>
        <w:t xml:space="preserve"> </w:t>
      </w:r>
      <w:r>
        <w:t xml:space="preserve">states system with enough precision to test, and he then declined</w:t>
      </w:r>
      <w:r>
        <w:t xml:space="preserve"> </w:t>
      </w:r>
      <w:r>
        <w:t xml:space="preserve">to claim it on the evidence of his decade. The disagreement is</w:t>
      </w:r>
      <w:r>
        <w:t xml:space="preserve"> </w:t>
      </w:r>
      <w:r>
        <w:t xml:space="preserve">correspondingly precise. It is not about the diagnosis: on the</w:t>
      </w:r>
      <w:r>
        <w:t xml:space="preserve"> </w:t>
      </w:r>
      <w:r>
        <w:t xml:space="preserve">evidence assembled in Part I, Bull’s five trends have matured past</w:t>
      </w:r>
      <w:r>
        <w:t xml:space="preserve"> </w:t>
      </w:r>
      <w:r>
        <w:t xml:space="preserve">his own threshold, and the book’s first chapter argues that his</w:t>
      </w:r>
      <w:r>
        <w:t xml:space="preserve"> </w:t>
      </w:r>
      <w:r>
        <w:t xml:space="preserve">caution, right in 1977, would be wrong now. It is about the</w:t>
      </w:r>
      <w:r>
        <w:t xml:space="preserve"> </w:t>
      </w:r>
      <w:r>
        <w:rPr>
          <w:iCs/>
          <w:i/>
        </w:rPr>
        <w:t xml:space="preserve">stability</w:t>
      </w:r>
      <w:r>
        <w:t xml:space="preserve"> </w:t>
      </w:r>
      <w:r>
        <w:t xml:space="preserve">of the condition the diagnosis names. Bull entertained</w:t>
      </w:r>
      <w:r>
        <w:t xml:space="preserve"> </w:t>
      </w:r>
      <w:r>
        <w:t xml:space="preserve">the new medievalism as a possible successor system — a durable</w:t>
      </w:r>
      <w:r>
        <w:t xml:space="preserve"> </w:t>
      </w:r>
      <w:r>
        <w:t xml:space="preserve">alternative form of universal political organisation. The book’s</w:t>
      </w:r>
      <w:r>
        <w:t xml:space="preserve"> </w:t>
      </w:r>
      <w:r>
        <w:t xml:space="preserve">history says otherwise: the first medieval order was durable for</w:t>
      </w:r>
      <w:r>
        <w:t xml:space="preserve"> </w:t>
      </w:r>
      <w:r>
        <w:t xml:space="preserve">centuries precisely because no actor could pay the price of ending</w:t>
      </w:r>
      <w:r>
        <w:t xml:space="preserve"> </w:t>
      </w:r>
      <w:r>
        <w:t xml:space="preserve">it, and it ended within two generations of that price becoming</w:t>
      </w:r>
      <w:r>
        <w:t xml:space="preserve"> </w:t>
      </w:r>
      <w:r>
        <w:t xml:space="preserve">payable. A dispersal is not a settlement; it is what a settlement</w:t>
      </w:r>
      <w:r>
        <w:t xml:space="preserve"> </w:t>
      </w:r>
      <w:r>
        <w:t xml:space="preserve">looks like before the bill for decisive force arrives. Where Bull</w:t>
      </w:r>
      <w:r>
        <w:t xml:space="preserve"> </w:t>
      </w:r>
      <w:r>
        <w:t xml:space="preserve">saw a possible destination, this book sees a waypoint with a</w:t>
      </w:r>
      <w:r>
        <w:t xml:space="preserve"> </w:t>
      </w:r>
      <w:r>
        <w:t xml:space="preserve">well-documented exit — and it has tried to honour him in the only</w:t>
      </w:r>
      <w:r>
        <w:t xml:space="preserve"> </w:t>
      </w:r>
      <w:r>
        <w:t xml:space="preserve">way that matters, by saying exactly what evidence would prove the</w:t>
      </w:r>
      <w:r>
        <w:t xml:space="preserve"> </w:t>
      </w:r>
      <w:r>
        <w:t xml:space="preserve">dispersal stable after all, and publishing the list.</w:t>
      </w:r>
    </w:p>
    <w:p>
      <w:r>
        <w:pict>
          <v:rect style="width:0;height:1.5pt" o:hralign="center" o:hrstd="t" o:hr="t"/>
        </w:pict>
      </w:r>
    </w:p>
    <w:p>
      <w:pPr>
        <w:pStyle w:val="FirstParagraph"/>
      </w:pPr>
      <w:r>
        <w:rPr>
          <w:iCs/>
          <w:i/>
        </w:rPr>
        <w:t xml:space="preserve">Draft ends. Word count ~1,900 against a ~4,000 target (the brief’s</w:t>
      </w:r>
      <w:r>
        <w:rPr>
          <w:iCs/>
          <w:i/>
        </w:rPr>
        <w:t xml:space="preserve"> </w:t>
      </w:r>
      <w:r>
        <w:rPr>
          <w:iCs/>
          <w:i/>
        </w:rPr>
        <w:t xml:space="preserve">synthesis scope; expansion at Roderick’s voice pass). Voice ledger</w:t>
      </w:r>
      <w:r>
        <w:rPr>
          <w:iCs/>
          <w:i/>
        </w:rPr>
        <w:t xml:space="preserve"> </w:t>
      </w:r>
      <w:r>
        <w:rPr>
          <w:iCs/>
          <w:i/>
        </w:rPr>
        <w:t xml:space="preserve">(counted as produced): coined concept — NONE; vivid image —</w:t>
      </w:r>
      <w:r>
        <w:rPr>
          <w:iCs/>
          <w:i/>
        </w:rPr>
        <w:t xml:space="preserve"> </w:t>
      </w:r>
      <w:r>
        <w:rPr>
          <w:iCs/>
          <w:i/>
        </w:rPr>
        <w:t xml:space="preserve">“</w:t>
      </w:r>
      <w:r>
        <w:rPr>
          <w:iCs/>
          <w:i/>
        </w:rPr>
        <w:t xml:space="preserve">a</w:t>
      </w:r>
      <w:r>
        <w:rPr>
          <w:iCs/>
          <w:i/>
        </w:rPr>
        <w:t xml:space="preserve"> </w:t>
      </w:r>
      <w:r>
        <w:rPr>
          <w:iCs/>
          <w:i/>
        </w:rPr>
        <w:t xml:space="preserve">waypoint with a well-documented exit</w:t>
      </w:r>
      <w:r>
        <w:rPr>
          <w:iCs/>
          <w:i/>
        </w:rPr>
        <w:t xml:space="preserve">”</w:t>
      </w:r>
      <w:r>
        <w:rPr>
          <w:iCs/>
          <w:i/>
        </w:rPr>
        <w:t xml:space="preserve"> </w:t>
      </w:r>
      <w:r>
        <w:rPr>
          <w:iCs/>
          <w:i/>
        </w:rPr>
        <w:t xml:space="preserve">(§VI); aphoristic line —</w:t>
      </w:r>
      <w:r>
        <w:rPr>
          <w:iCs/>
          <w:i/>
        </w:rPr>
        <w:t xml:space="preserve"> </w:t>
      </w:r>
      <w:r>
        <w:rPr>
          <w:iCs/>
          <w:i/>
        </w:rPr>
        <w:t xml:space="preserve">“</w:t>
      </w:r>
      <w:r>
        <w:rPr>
          <w:iCs/>
          <w:i/>
        </w:rPr>
        <w:t xml:space="preserve">The</w:t>
      </w:r>
      <w:r>
        <w:rPr>
          <w:iCs/>
          <w:i/>
        </w:rPr>
        <w:t xml:space="preserve"> </w:t>
      </w:r>
      <w:r>
        <w:rPr>
          <w:iCs/>
          <w:i/>
        </w:rPr>
        <w:t xml:space="preserve">book predicts, and declines to bless</w:t>
      </w:r>
      <w:r>
        <w:rPr>
          <w:iCs/>
          <w:i/>
        </w:rPr>
        <w:t xml:space="preserve">”</w:t>
      </w:r>
      <w:r>
        <w:rPr>
          <w:iCs/>
          <w:i/>
        </w:rPr>
        <w:t xml:space="preserve"> </w:t>
      </w:r>
      <w:r>
        <w:rPr>
          <w:iCs/>
          <w:i/>
        </w:rPr>
        <w:t xml:space="preserve">(§V). The authorised</w:t>
      </w:r>
      <w:r>
        <w:rPr>
          <w:iCs/>
          <w:i/>
        </w:rPr>
        <w:t xml:space="preserve"> </w:t>
      </w:r>
      <w:r>
        <w:rPr>
          <w:iCs/>
          <w:i/>
        </w:rPr>
        <w:t xml:space="preserve">disclosure sentence appears in §III; the narrowing delta table in</w:t>
      </w:r>
      <w:r>
        <w:rPr>
          <w:iCs/>
          <w:i/>
        </w:rPr>
        <w:t xml:space="preserve"> </w:t>
      </w:r>
      <w:r>
        <w:rPr>
          <w:iCs/>
          <w:i/>
        </w:rPr>
        <w:t xml:space="preserve">§IV. No new research; every claim inherits from the reviewed</w:t>
      </w:r>
      <w:r>
        <w:rPr>
          <w:iCs/>
          <w:i/>
        </w:rPr>
        <w:t xml:space="preserve"> </w:t>
      </w:r>
      <w:r>
        <w:rPr>
          <w:iCs/>
          <w:i/>
        </w:rPr>
        <w:t xml:space="preserve">record.</w:t>
      </w:r>
    </w:p>
    <w:bookmarkEnd w:id="136"/>
    <w:bookmarkStart w:id="137" w:name="revisions-pre-review-2026-08-03"/>
    <w:p>
      <w:pPr>
        <w:pStyle w:val="Heading2"/>
      </w:pPr>
      <w:r>
        <w:t xml:space="preserve">Revisions (pre-review, 2026-08-03)</w:t>
      </w:r>
    </w:p>
    <w:p>
      <w:pPr>
        <w:numPr>
          <w:ilvl w:val="0"/>
          <w:numId w:val="1055"/>
        </w:numPr>
        <w:pStyle w:val="Compact"/>
      </w:pPr>
      <w:r>
        <w:rPr>
          <w:bCs/>
          <w:b/>
        </w:rPr>
        <w:t xml:space="preserve">§III’s Bull sentence updated</w:t>
      </w:r>
      <w:r>
        <w:t xml:space="preserve"> </w:t>
      </w:r>
      <w:r>
        <w:t xml:space="preserve">on the primary’s arrival: the</w:t>
      </w:r>
      <w:r>
        <w:t xml:space="preserve"> </w:t>
      </w:r>
      <w:r>
        <w:t xml:space="preserve">caution is no longer intermediary-carried (see ch00-intro Revisions</w:t>
      </w:r>
      <w:r>
        <w:t xml:space="preserve"> </w:t>
      </w:r>
      <w:r>
        <w:t xml:space="preserve">2, ch01 Revisions 3); the sourcing-discipline example now records</w:t>
      </w:r>
      <w:r>
        <w:t xml:space="preserve"> </w:t>
      </w:r>
      <w:r>
        <w:t xml:space="preserve">the retirement of the intermediary as the discipline working.</w:t>
      </w:r>
    </w:p>
    <w:p>
      <w:r>
        <w:pict>
          <v:rect style="width:0;height:1.5pt" o:hralign="center" o:hrstd="t" o:hr="t"/>
        </w:pict>
      </w:r>
    </w:p>
    <w:p>
      <w:pPr>
        <w:pStyle w:val="FirstParagraph"/>
      </w:pPr>
      <w:r>
        <w:t xml:space="preserve">STATUS: DRAFT — PENDING HUMAN REVIEW</w:t>
      </w:r>
    </w:p>
    <w:bookmarkEnd w:id="137"/>
    <w:bookmarkStart w:id="138" w:name="e2.-codamemo.md"/>
    <w:p>
      <w:pPr>
        <w:pStyle w:val="Heading2"/>
      </w:pPr>
      <w:r>
        <w:t xml:space="preserve">E2. coda/memo.md</w:t>
      </w:r>
    </w:p>
    <w:bookmarkEnd w:id="138"/>
    <w:bookmarkEnd w:id="139"/>
    <w:bookmarkStart w:id="142" w:name="research-memo-coda"/>
    <w:p>
      <w:pPr>
        <w:pStyle w:val="Heading1"/>
      </w:pPr>
      <w:r>
        <w:t xml:space="preserve">Research Memo — Coda</w:t>
      </w:r>
    </w:p>
    <w:p>
      <w:pPr>
        <w:pStyle w:val="FirstParagraph"/>
      </w:pPr>
      <w:r>
        <w:rPr>
          <w:iCs/>
          <w:i/>
        </w:rPr>
        <w:t xml:space="preserve">(Memo not yet written. The section below is a pre-memo holding note,</w:t>
      </w:r>
      <w:r>
        <w:rPr>
          <w:iCs/>
          <w:i/>
        </w:rPr>
        <w:t xml:space="preserve"> </w:t>
      </w:r>
      <w:r>
        <w:rPr>
          <w:iCs/>
          <w:i/>
        </w:rPr>
        <w:t xml:space="preserve">entered under the Revisions discipline so that nothing reaches the memo</w:t>
      </w:r>
      <w:r>
        <w:rPr>
          <w:iCs/>
          <w:i/>
        </w:rPr>
        <w:t xml:space="preserve"> </w:t>
      </w:r>
      <w:r>
        <w:rPr>
          <w:iCs/>
          <w:i/>
        </w:rPr>
        <w:t xml:space="preserve">proper unreviewed. When the memo is written, this note is either</w:t>
      </w:r>
      <w:r>
        <w:rPr>
          <w:iCs/>
          <w:i/>
        </w:rPr>
        <w:t xml:space="preserve"> </w:t>
      </w:r>
      <w:r>
        <w:rPr>
          <w:iCs/>
          <w:i/>
        </w:rPr>
        <w:t xml:space="preserve">absorbed into its body or carried forward as Revisions 1.)</w:t>
      </w:r>
    </w:p>
    <w:bookmarkStart w:id="140" w:name="pre-memo-holding-notes"/>
    <w:p>
      <w:pPr>
        <w:pStyle w:val="Heading2"/>
      </w:pPr>
      <w:r>
        <w:t xml:space="preserve">Pre-memo holding notes</w:t>
      </w:r>
    </w:p>
    <w:p>
      <w:pPr>
        <w:numPr>
          <w:ilvl w:val="0"/>
          <w:numId w:val="1056"/>
        </w:numPr>
        <w:pStyle w:val="Compact"/>
      </w:pPr>
      <w:r>
        <w:rPr>
          <w:bCs/>
          <w:b/>
        </w:rPr>
        <w:t xml:space="preserve">(2026-09-02 — the nuclear-ceiling question, inherited from ch12.</w:t>
      </w:r>
      <w:r>
        <w:rPr>
          <w:bCs/>
          <w:b/>
        </w:rPr>
        <w:t xml:space="preserve"> </w:t>
      </w:r>
      <w:r>
        <w:rPr>
          <w:bCs/>
          <w:b/>
        </w:rPr>
        <w:t xml:space="preserve">PENDING HUMAN REVIEW.)</w:t>
      </w:r>
      <w:r>
        <w:t xml:space="preserve"> </w:t>
      </w:r>
      <w:r>
        <w:t xml:space="preserve">Executed against spine §8 and the</w:t>
      </w:r>
      <w:r>
        <w:t xml:space="preserve"> </w:t>
      </w:r>
      <w:r>
        <w:t xml:space="preserve">2026-09-02 session instruction; no draft text proposed.</w:t>
      </w:r>
    </w:p>
    <w:p>
      <w:pPr>
        <w:numPr>
          <w:ilvl w:val="1"/>
          <w:numId w:val="1057"/>
        </w:numPr>
        <w:pStyle w:val="Compact"/>
      </w:pPr>
      <w:r>
        <w:t xml:space="preserve">The Economist essay of 28 May 2026 (in repo; entered at T3 in</w:t>
      </w:r>
      <w:r>
        <w:t xml:space="preserve"> </w:t>
      </w:r>
      <w:r>
        <w:t xml:space="preserve">ch06/ch10/ch12 sources.md with the tier caveat) closes on the</w:t>
      </w:r>
      <w:r>
        <w:t xml:space="preserve"> </w:t>
      </w:r>
      <w:r>
        <w:t xml:space="preserve">Taiwan case: attacking the Chinese war machine’s</w:t>
      </w:r>
      <w:r>
        <w:t xml:space="preserve"> </w:t>
      </w:r>
      <w:r>
        <w:t xml:space="preserve">“</w:t>
      </w:r>
      <w:r>
        <w:t xml:space="preserve">connective</w:t>
      </w:r>
      <w:r>
        <w:t xml:space="preserve"> </w:t>
      </w:r>
      <w:r>
        <w:t xml:space="preserve">tissue</w:t>
      </w:r>
      <w:r>
        <w:t xml:space="preserve">”</w:t>
      </w:r>
      <w:r>
        <w:t xml:space="preserve"> </w:t>
      </w:r>
      <w:r>
        <w:t xml:space="preserve">“</w:t>
      </w:r>
      <w:r>
        <w:t xml:space="preserve">would involve lightning-fast attacks on many of the</w:t>
      </w:r>
      <w:r>
        <w:t xml:space="preserve"> </w:t>
      </w:r>
      <w:r>
        <w:t xml:space="preserve">systems that China also relies on to control its nuclear</w:t>
      </w:r>
      <w:r>
        <w:t xml:space="preserve"> </w:t>
      </w:r>
      <w:r>
        <w:t xml:space="preserve">forces</w:t>
      </w:r>
      <w:r>
        <w:t xml:space="preserve">”</w:t>
      </w:r>
      <w:r>
        <w:t xml:space="preserve">; the red lines exist but</w:t>
      </w:r>
      <w:r>
        <w:t xml:space="preserve"> </w:t>
      </w:r>
      <w:r>
        <w:t xml:space="preserve">“</w:t>
      </w:r>
      <w:r>
        <w:t xml:space="preserve">people are not sure where</w:t>
      </w:r>
      <w:r>
        <w:t xml:space="preserve"> </w:t>
      </w:r>
      <w:r>
        <w:t xml:space="preserve">they lie.</w:t>
      </w:r>
      <w:r>
        <w:t xml:space="preserve">”</w:t>
      </w:r>
    </w:p>
    <w:p>
      <w:pPr>
        <w:numPr>
          <w:ilvl w:val="1"/>
          <w:numId w:val="1057"/>
        </w:numPr>
        <w:pStyle w:val="Compact"/>
      </w:pPr>
      <w:r>
        <w:t xml:space="preserve">The question the coda should carry as a confessed limit,</w:t>
      </w:r>
      <w:r>
        <w:t xml:space="preserve"> </w:t>
      </w:r>
      <w:r>
        <w:t xml:space="preserve">consistent with spine §5 and ch12’s §V nuclear-overhang</w:t>
      </w:r>
      <w:r>
        <w:t xml:space="preserve"> </w:t>
      </w:r>
      <w:r>
        <w:t xml:space="preserve">paragraph (see ch12/memo.md Revisions 1, same date): if the</w:t>
      </w:r>
      <w:r>
        <w:t xml:space="preserve"> </w:t>
      </w:r>
      <w:r>
        <w:t xml:space="preserve">full transparency war between blocs is unfightable, the blocs</w:t>
      </w:r>
      <w:r>
        <w:t xml:space="preserve"> </w:t>
      </w:r>
      <w:r>
        <w:t xml:space="preserve">may consolidate and never test each other — a permanent, armed,</w:t>
      </w:r>
      <w:r>
        <w:t xml:space="preserve"> </w:t>
      </w:r>
      <w:r>
        <w:t xml:space="preserve">mutually observed pause rather than a Bosworth. Whether that is</w:t>
      </w:r>
      <w:r>
        <w:t xml:space="preserve"> </w:t>
      </w:r>
      <w:r>
        <w:t xml:space="preserve">a Tudor settlement or something without precedent is put as a</w:t>
      </w:r>
      <w:r>
        <w:t xml:space="preserve"> </w:t>
      </w:r>
      <w:r>
        <w:t xml:space="preserve">question, not answered. The wager’s scoring (Appendix C) does</w:t>
      </w:r>
      <w:r>
        <w:t xml:space="preserve"> </w:t>
      </w:r>
      <w:r>
        <w:t xml:space="preserve">not depend on the ceiling being resolved; the coda says so.</w:t>
      </w:r>
    </w:p>
    <w:p>
      <w:pPr>
        <w:numPr>
          <w:ilvl w:val="1"/>
          <w:numId w:val="1057"/>
        </w:numPr>
        <w:pStyle w:val="Compact"/>
      </w:pPr>
      <w:r>
        <w:t xml:space="preserve">Tension flagged for Roderick, not resolved (mirrored in</w:t>
      </w:r>
      <w:r>
        <w:t xml:space="preserve"> </w:t>
      </w:r>
      <w:r>
        <w:t xml:space="preserve">ch12/memo.md Revisions 1): the entanglement point complicates</w:t>
      </w:r>
      <w:r>
        <w:t xml:space="preserve"> </w:t>
      </w:r>
      <w:r>
        <w:t xml:space="preserve">spine §5’s</w:t>
      </w:r>
      <w:r>
        <w:t xml:space="preserve"> </w:t>
      </w:r>
      <w:r>
        <w:t xml:space="preserve">“</w:t>
      </w:r>
      <w:r>
        <w:t xml:space="preserve">nuclear weapons sit outside the frame</w:t>
      </w:r>
      <w:r>
        <w:t xml:space="preserve">”</w:t>
      </w:r>
      <w:r>
        <w:t xml:space="preserve"> </w:t>
      </w:r>
      <w:r>
        <w:t xml:space="preserve">— the</w:t>
      </w:r>
      <w:r>
        <w:t xml:space="preserve"> </w:t>
      </w:r>
      <w:r>
        <w:t xml:space="preserve">frame’s boundary may run through the stack itself.</w:t>
      </w:r>
    </w:p>
    <w:p>
      <w:r>
        <w:pict>
          <v:rect style="width:0;height:1.5pt" o:hralign="center" o:hrstd="t" o:hr="t"/>
        </w:pict>
      </w:r>
    </w:p>
    <w:p>
      <w:pPr>
        <w:pStyle w:val="FirstParagraph"/>
      </w:pPr>
      <w:r>
        <w:t xml:space="preserve">STATUS: PENDING HUMAN REVIEW</w:t>
      </w:r>
    </w:p>
    <w:bookmarkEnd w:id="140"/>
    <w:bookmarkStart w:id="141" w:name="e3.-appendix-a"/>
    <w:p>
      <w:pPr>
        <w:pStyle w:val="Heading2"/>
      </w:pPr>
      <w:r>
        <w:t xml:space="preserve">E3. Appendix A</w:t>
      </w:r>
    </w:p>
    <w:bookmarkEnd w:id="141"/>
    <w:bookmarkEnd w:id="142"/>
    <w:bookmarkStart w:id="151" w:name="X47375623d4e274710234627777dc677931b4195"/>
    <w:p>
      <w:pPr>
        <w:pStyle w:val="Heading1"/>
      </w:pPr>
      <w:r>
        <w:t xml:space="preserve">Appendix A — The Neomedievalism Literature, Annotated</w:t>
      </w:r>
    </w:p>
    <w:p>
      <w:pPr>
        <w:pStyle w:val="FirstParagraph"/>
      </w:pPr>
      <w:r>
        <w:rPr>
          <w:iCs/>
          <w:i/>
        </w:rPr>
        <w:t xml:space="preserve">ASSEMBLED (first assembly, 2026-08-02) from appendix-a/memo.md (the</w:t>
      </w:r>
      <w:r>
        <w:rPr>
          <w:iCs/>
          <w:i/>
        </w:rPr>
        <w:t xml:space="preserve"> </w:t>
      </w:r>
      <w:r>
        <w:rPr>
          <w:iCs/>
          <w:i/>
        </w:rPr>
        <w:t xml:space="preserve">working bibliography) with statuses updated to the end of the drafting</w:t>
      </w:r>
      <w:r>
        <w:rPr>
          <w:iCs/>
          <w:i/>
        </w:rPr>
        <w:t xml:space="preserve"> </w:t>
      </w:r>
      <w:r>
        <w:rPr>
          <w:iCs/>
          <w:i/>
        </w:rPr>
        <w:t xml:space="preserve">record. Tier codes per CLAUDE.md §5. Each entry: the argument the work</w:t>
      </w:r>
      <w:r>
        <w:rPr>
          <w:iCs/>
          <w:i/>
        </w:rPr>
        <w:t xml:space="preserve"> </w:t>
      </w:r>
      <w:r>
        <w:rPr>
          <w:iCs/>
          <w:i/>
        </w:rPr>
        <w:t xml:space="preserve">contributes, and where the book engages it.</w:t>
      </w:r>
    </w:p>
    <w:p>
      <w:r>
        <w:pict>
          <v:rect style="width:0;height:1.5pt" o:hralign="center" o:hrstd="t" o:hr="t"/>
        </w:pict>
      </w:r>
    </w:p>
    <w:bookmarkStart w:id="143" w:name="i.-the-founding-hypothesis"/>
    <w:p>
      <w:pPr>
        <w:pStyle w:val="Heading2"/>
      </w:pPr>
      <w:r>
        <w:t xml:space="preserve">I. The founding hypothesis</w:t>
      </w:r>
    </w:p>
    <w:p>
      <w:pPr>
        <w:pStyle w:val="FirstParagraph"/>
      </w:pPr>
      <w:r>
        <w:rPr>
          <w:bCs/>
          <w:b/>
        </w:rPr>
        <w:t xml:space="preserve">Hedley Bull,</w:t>
      </w:r>
      <w:r>
        <w:rPr>
          <w:bCs/>
          <w:b/>
        </w:rPr>
        <w:t xml:space="preserve"> </w:t>
      </w:r>
      <w:r>
        <w:rPr>
          <w:iCs/>
          <w:i/>
          <w:bCs/>
          <w:b/>
        </w:rPr>
        <w:t xml:space="preserve">The Anarchical Society</w:t>
      </w:r>
      <w:r>
        <w:rPr>
          <w:bCs/>
          <w:b/>
        </w:rPr>
        <w:t xml:space="preserve">, 4th ed. (Columbia UP, 2012;</w:t>
      </w:r>
      <w:r>
        <w:rPr>
          <w:bCs/>
          <w:b/>
        </w:rPr>
        <w:t xml:space="preserve"> </w:t>
      </w:r>
      <w:r>
        <w:rPr>
          <w:bCs/>
          <w:b/>
        </w:rPr>
        <w:t xml:space="preserve">first ed. 1977), chs. 10–12.</w:t>
      </w:r>
      <w:r>
        <w:t xml:space="preserve"> </w:t>
      </w:r>
      <w:r>
        <w:rPr>
          <w:iCs/>
          <w:i/>
        </w:rPr>
        <w:t xml:space="preserve">[T2 — IN REPO, read first-hand]</w:t>
      </w:r>
      <w:r>
        <w:t xml:space="preserve"> </w:t>
      </w:r>
      <w:r>
        <w:t xml:space="preserve">The</w:t>
      </w:r>
      <w:r>
        <w:t xml:space="preserve"> </w:t>
      </w:r>
      <w:r>
        <w:t xml:space="preserve">founding</w:t>
      </w:r>
      <w:r>
        <w:t xml:space="preserve"> </w:t>
      </w:r>
      <w:r>
        <w:t xml:space="preserve">“</w:t>
      </w:r>
      <w:r>
        <w:t xml:space="preserve">new mediaevalism</w:t>
      </w:r>
      <w:r>
        <w:t xml:space="preserve">”</w:t>
      </w:r>
      <w:r>
        <w:t xml:space="preserve"> </w:t>
      </w:r>
      <w:r>
        <w:t xml:space="preserve">hypothesis (ch. 10, p. 245:</w:t>
      </w:r>
      <w:r>
        <w:t xml:space="preserve"> </w:t>
      </w:r>
      <w:r>
        <w:t xml:space="preserve">“</w:t>
      </w:r>
      <w:r>
        <w:t xml:space="preserve">a system of</w:t>
      </w:r>
      <w:r>
        <w:t xml:space="preserve"> </w:t>
      </w:r>
      <w:r>
        <w:t xml:space="preserve">overlapping authority and multiple loyalty</w:t>
      </w:r>
      <w:r>
        <w:t xml:space="preserve">”</w:t>
      </w:r>
      <w:r>
        <w:t xml:space="preserve">); the five prima facie</w:t>
      </w:r>
      <w:r>
        <w:t xml:space="preserve"> </w:t>
      </w:r>
      <w:r>
        <w:t xml:space="preserve">trends, examined in</w:t>
      </w:r>
      <w:r>
        <w:t xml:space="preserve"> </w:t>
      </w:r>
      <w:r>
        <w:rPr>
          <w:bCs/>
          <w:b/>
        </w:rPr>
        <w:t xml:space="preserve">ch. 11,</w:t>
      </w:r>
      <w:r>
        <w:rPr>
          <w:bCs/>
          <w:b/>
        </w:rPr>
        <w:t xml:space="preserve"> </w:t>
      </w:r>
      <w:r>
        <w:rPr>
          <w:bCs/>
          <w:b/>
        </w:rPr>
        <w:t xml:space="preserve">“</w:t>
      </w:r>
      <w:r>
        <w:rPr>
          <w:bCs/>
          <w:b/>
        </w:rPr>
        <w:t xml:space="preserve">The Decline of the States System?</w:t>
      </w:r>
      <w:r>
        <w:rPr>
          <w:bCs/>
          <w:b/>
        </w:rPr>
        <w:t xml:space="preserve">”</w:t>
      </w:r>
      <w:r>
        <w:rPr>
          <w:bCs/>
          <w:b/>
        </w:rPr>
        <w:t xml:space="preserve"> </w:t>
      </w:r>
      <w:r>
        <w:rPr>
          <w:bCs/>
          <w:b/>
        </w:rPr>
        <w:t xml:space="preserve">(pp. 248–66)</w:t>
      </w:r>
      <w:r>
        <w:t xml:space="preserve"> </w:t>
      </w:r>
      <w:r>
        <w:t xml:space="preserve">under numbered headings — a structure the secondary</w:t>
      </w:r>
      <w:r>
        <w:t xml:space="preserve"> </w:t>
      </w:r>
      <w:r>
        <w:t xml:space="preserve">literature’s</w:t>
      </w:r>
      <w:r>
        <w:t xml:space="preserve"> </w:t>
      </w:r>
      <w:r>
        <w:t xml:space="preserve">“</w:t>
      </w:r>
      <w:r>
        <w:t xml:space="preserve">ch. 10</w:t>
      </w:r>
      <w:r>
        <w:t xml:space="preserve">”</w:t>
      </w:r>
      <w:r>
        <w:t xml:space="preserve"> </w:t>
      </w:r>
      <w:r>
        <w:t xml:space="preserve">citations flattened; and Bull’s verdict, verbatim</w:t>
      </w:r>
      <w:r>
        <w:t xml:space="preserve"> </w:t>
      </w:r>
      <w:r>
        <w:t xml:space="preserve">at p. 265 (</w:t>
      </w:r>
      <w:r>
        <w:t xml:space="preserve">“</w:t>
      </w:r>
      <w:r>
        <w:t xml:space="preserve">no clear evidence that in the next few decades the states</w:t>
      </w:r>
      <w:r>
        <w:t xml:space="preserve"> </w:t>
      </w:r>
      <w:r>
        <w:t xml:space="preserve">system is likely to give place…</w:t>
      </w:r>
      <w:r>
        <w:t xml:space="preserve">”</w:t>
      </w:r>
      <w:r>
        <w:t xml:space="preserve">), with the</w:t>
      </w:r>
      <w:r>
        <w:t xml:space="preserve"> </w:t>
      </w:r>
      <w:r>
        <w:t xml:space="preserve">“</w:t>
      </w:r>
      <w:r>
        <w:t xml:space="preserve">giving way</w:t>
      </w:r>
      <w:r>
        <w:t xml:space="preserve">”</w:t>
      </w:r>
      <w:r>
        <w:t xml:space="preserve"> </w:t>
      </w:r>
      <w:r>
        <w:t xml:space="preserve">sentence</w:t>
      </w:r>
      <w:r>
        <w:t xml:space="preserve"> </w:t>
      </w:r>
      <w:r>
        <w:t xml:space="preserve">adjacent — the way/place variance among intermediaries dissolved on</w:t>
      </w:r>
      <w:r>
        <w:t xml:space="preserve"> </w:t>
      </w:r>
      <w:r>
        <w:t xml:space="preserve">the page. His per-trend tests (reproduce-vs-replace; re-subordination</w:t>
      </w:r>
      <w:r>
        <w:t xml:space="preserve"> </w:t>
      </w:r>
      <w:r>
        <w:t xml:space="preserve">of the multinationals; interaction without unity of outlook) are</w:t>
      </w:r>
      <w:r>
        <w:t xml:space="preserve"> </w:t>
      </w:r>
      <w:r>
        <w:t xml:space="preserve">flagged as a [DELTA] to the Ch1 argument. Engaged: Introduction, Ch1,</w:t>
      </w:r>
      <w:r>
        <w:t xml:space="preserve"> </w:t>
      </w:r>
      <w:r>
        <w:t xml:space="preserve">the Coda. Pagination matches the 2002 printing; bibliography cites the</w:t>
      </w:r>
      <w:r>
        <w:t xml:space="preserve"> </w:t>
      </w:r>
      <w:r>
        <w:t xml:space="preserve">4th ed.; the scan’s OCR is rough — re-verify further verbatim against</w:t>
      </w:r>
      <w:r>
        <w:t xml:space="preserve"> </w:t>
      </w:r>
      <w:r>
        <w:t xml:space="preserve">page images.</w:t>
      </w:r>
    </w:p>
    <w:bookmarkEnd w:id="143"/>
    <w:bookmarkStart w:id="144" w:name="ii.-theoretical-reconstruction"/>
    <w:p>
      <w:pPr>
        <w:pStyle w:val="Heading2"/>
      </w:pPr>
      <w:r>
        <w:t xml:space="preserve">II. Theoretical reconstruction</w:t>
      </w:r>
    </w:p>
    <w:p>
      <w:pPr>
        <w:pStyle w:val="FirstParagraph"/>
      </w:pPr>
      <w:r>
        <w:rPr>
          <w:bCs/>
          <w:b/>
        </w:rPr>
        <w:t xml:space="preserve">Jörg Friedrichs,</w:t>
      </w:r>
      <w:r>
        <w:rPr>
          <w:bCs/>
          <w:b/>
        </w:rPr>
        <w:t xml:space="preserve"> </w:t>
      </w:r>
      <w:r>
        <w:rPr>
          <w:bCs/>
          <w:b/>
        </w:rPr>
        <w:t xml:space="preserve">“</w:t>
      </w:r>
      <w:r>
        <w:rPr>
          <w:bCs/>
          <w:b/>
        </w:rPr>
        <w:t xml:space="preserve">The Meaning of New Medievalism,</w:t>
      </w:r>
      <w:r>
        <w:rPr>
          <w:bCs/>
          <w:b/>
        </w:rPr>
        <w:t xml:space="preserve">”</w:t>
      </w:r>
      <w:r>
        <w:rPr>
          <w:bCs/>
          <w:b/>
        </w:rPr>
        <w:t xml:space="preserve"> </w:t>
      </w:r>
      <w:r>
        <w:rPr>
          <w:iCs/>
          <w:i/>
          <w:bCs/>
          <w:b/>
        </w:rPr>
        <w:t xml:space="preserve">EJIR</w:t>
      </w:r>
      <w:r>
        <w:rPr>
          <w:bCs/>
          <w:b/>
        </w:rPr>
        <w:t xml:space="preserve"> </w:t>
      </w:r>
      <w:r>
        <w:rPr>
          <w:bCs/>
          <w:b/>
        </w:rPr>
        <w:t xml:space="preserve">7:4</w:t>
      </w:r>
      <w:r>
        <w:rPr>
          <w:bCs/>
          <w:b/>
        </w:rPr>
        <w:t xml:space="preserve"> </w:t>
      </w:r>
      <w:r>
        <w:rPr>
          <w:bCs/>
          <w:b/>
        </w:rPr>
        <w:t xml:space="preserve">(2001).</w:t>
      </w:r>
      <w:r>
        <w:t xml:space="preserve"> </w:t>
      </w:r>
      <w:r>
        <w:rPr>
          <w:iCs/>
          <w:i/>
        </w:rPr>
        <w:t xml:space="preserve">[T2 — IN REPO, read first-hand]</w:t>
      </w:r>
      <w:r>
        <w:t xml:space="preserve"> </w:t>
      </w:r>
      <w:r>
        <w:t xml:space="preserve">The analytical engine: the</w:t>
      </w:r>
      <w:r>
        <w:t xml:space="preserve"> </w:t>
      </w:r>
      <w:r>
        <w:t xml:space="preserve">duality of competing universalistic claims (Empire/Church →</w:t>
      </w:r>
      <w:r>
        <w:t xml:space="preserve"> </w:t>
      </w:r>
      <w:r>
        <w:t xml:space="preserve">state-system/transnational market), definition at p. 475, redefinition</w:t>
      </w:r>
      <w:r>
        <w:t xml:space="preserve"> </w:t>
      </w:r>
      <w:r>
        <w:t xml:space="preserve">p. 482, restated p. 490; the disanalogy at p. 497. The book’s Part I</w:t>
      </w:r>
      <w:r>
        <w:t xml:space="preserve"> </w:t>
      </w:r>
      <w:r>
        <w:t xml:space="preserve">correction — the second universalism institutionalised as churches, not</w:t>
      </w:r>
      <w:r>
        <w:t xml:space="preserve"> </w:t>
      </w:r>
      <w:r>
        <w:t xml:space="preserve">a market — is made against this text from its own pages. Engaged: Ch1</w:t>
      </w:r>
      <w:r>
        <w:t xml:space="preserve"> </w:t>
      </w:r>
      <w:r>
        <w:t xml:space="preserve">(central), Ch2 (the foil), Ch11–12.</w:t>
      </w:r>
    </w:p>
    <w:p>
      <w:pPr>
        <w:pStyle w:val="BodyText"/>
      </w:pPr>
      <w:r>
        <w:rPr>
          <w:bCs/>
          <w:b/>
        </w:rPr>
        <w:t xml:space="preserve">Philip G. Cerny,</w:t>
      </w:r>
      <w:r>
        <w:rPr>
          <w:bCs/>
          <w:b/>
        </w:rPr>
        <w:t xml:space="preserve"> </w:t>
      </w:r>
      <w:r>
        <w:rPr>
          <w:bCs/>
          <w:b/>
        </w:rPr>
        <w:t xml:space="preserve">“</w:t>
      </w:r>
      <w:r>
        <w:rPr>
          <w:bCs/>
          <w:b/>
        </w:rPr>
        <w:t xml:space="preserve">Neomedievalism, Civil War and the New Security</w:t>
      </w:r>
      <w:r>
        <w:rPr>
          <w:bCs/>
          <w:b/>
        </w:rPr>
        <w:t xml:space="preserve"> </w:t>
      </w:r>
      <w:r>
        <w:rPr>
          <w:bCs/>
          <w:b/>
        </w:rPr>
        <w:t xml:space="preserve">Dilemma,</w:t>
      </w:r>
      <w:r>
        <w:rPr>
          <w:bCs/>
          <w:b/>
        </w:rPr>
        <w:t xml:space="preserve">”</w:t>
      </w:r>
      <w:r>
        <w:rPr>
          <w:bCs/>
          <w:b/>
        </w:rPr>
        <w:t xml:space="preserve"> </w:t>
      </w:r>
      <w:r>
        <w:rPr>
          <w:iCs/>
          <w:i/>
          <w:bCs/>
          <w:b/>
        </w:rPr>
        <w:t xml:space="preserve">Civil Wars</w:t>
      </w:r>
      <w:r>
        <w:rPr>
          <w:bCs/>
          <w:b/>
        </w:rPr>
        <w:t xml:space="preserve"> </w:t>
      </w:r>
      <w:r>
        <w:rPr>
          <w:bCs/>
          <w:b/>
        </w:rPr>
        <w:t xml:space="preserve">1:1 (1998).</w:t>
      </w:r>
      <w:r>
        <w:t xml:space="preserve"> </w:t>
      </w:r>
      <w:r>
        <w:rPr>
          <w:iCs/>
          <w:i/>
        </w:rPr>
        <w:t xml:space="preserve">[T2 — IN REPO, read first-hand]</w:t>
      </w:r>
      <w:r>
        <w:t xml:space="preserve"> </w:t>
      </w:r>
      <w:r>
        <w:t xml:space="preserve">The six-characteristic checklist (section headings, pp. 49–57;</w:t>
      </w:r>
      <w:r>
        <w:t xml:space="preserve"> </w:t>
      </w:r>
      <w:r>
        <w:rPr>
          <w:iCs/>
          <w:i/>
        </w:rPr>
        <w:t xml:space="preserve">zones</w:t>
      </w:r>
      <w:r>
        <w:rPr>
          <w:iCs/>
          <w:i/>
        </w:rPr>
        <w:t xml:space="preserve"> </w:t>
      </w:r>
      <w:r>
        <w:rPr>
          <w:iCs/>
          <w:i/>
        </w:rPr>
        <w:t xml:space="preserve">grises</w:t>
      </w:r>
      <w:r>
        <w:t xml:space="preserve"> </w:t>
      </w:r>
      <w:r>
        <w:t xml:space="preserve">after Minc, n. 16);</w:t>
      </w:r>
      <w:r>
        <w:t xml:space="preserve"> </w:t>
      </w:r>
      <w:r>
        <w:t xml:space="preserve">“</w:t>
      </w:r>
      <w:r>
        <w:t xml:space="preserve">durable disorder</w:t>
      </w:r>
      <w:r>
        <w:t xml:space="preserve">”</w:t>
      </w:r>
      <w:r>
        <w:t xml:space="preserve">; the absent exogenous</w:t>
      </w:r>
      <w:r>
        <w:t xml:space="preserve"> </w:t>
      </w:r>
      <w:r>
        <w:t xml:space="preserve">pressure named as</w:t>
      </w:r>
      <w:r>
        <w:t xml:space="preserve"> </w:t>
      </w:r>
      <w:r>
        <w:t xml:space="preserve">“</w:t>
      </w:r>
      <w:r>
        <w:t xml:space="preserve">the inter-dynastic struggles of the Hundred Years’</w:t>
      </w:r>
      <w:r>
        <w:t xml:space="preserve"> </w:t>
      </w:r>
      <w:r>
        <w:t xml:space="preserve">War</w:t>
      </w:r>
      <w:r>
        <w:t xml:space="preserve">”</w:t>
      </w:r>
      <w:r>
        <w:t xml:space="preserve"> </w:t>
      </w:r>
      <w:r>
        <w:t xml:space="preserve">(p. 52); the prediction of</w:t>
      </w:r>
      <w:r>
        <w:t xml:space="preserve"> </w:t>
      </w:r>
      <w:r>
        <w:t xml:space="preserve">“</w:t>
      </w:r>
      <w:r>
        <w:t xml:space="preserve">quasi-public, quasi-private dispute</w:t>
      </w:r>
      <w:r>
        <w:t xml:space="preserve"> </w:t>
      </w:r>
      <w:r>
        <w:t xml:space="preserve">settlement regimes</w:t>
      </w:r>
      <w:r>
        <w:t xml:space="preserve">”</w:t>
      </w:r>
      <w:r>
        <w:t xml:space="preserve"> </w:t>
      </w:r>
      <w:r>
        <w:t xml:space="preserve">(p. 52); and the location of the first</w:t>
      </w:r>
      <w:r>
        <w:t xml:space="preserve"> </w:t>
      </w:r>
      <w:r>
        <w:t xml:space="preserve">consolidation in</w:t>
      </w:r>
      <w:r>
        <w:t xml:space="preserve"> </w:t>
      </w:r>
      <w:r>
        <w:t xml:space="preserve">“</w:t>
      </w:r>
      <w:r>
        <w:t xml:space="preserve">the creative destruction of fifteenth to seventeenth</w:t>
      </w:r>
      <w:r>
        <w:t xml:space="preserve"> </w:t>
      </w:r>
      <w:r>
        <w:t xml:space="preserve">century warfare</w:t>
      </w:r>
      <w:r>
        <w:t xml:space="preserve">”</w:t>
      </w:r>
      <w:r>
        <w:t xml:space="preserve"> </w:t>
      </w:r>
      <w:r>
        <w:t xml:space="preserve">(pp. 51–52, 58–59) — the sceptics-concede thread’s</w:t>
      </w:r>
      <w:r>
        <w:t xml:space="preserve"> </w:t>
      </w:r>
      <w:r>
        <w:t xml:space="preserve">theoretical instance. Engaged: Ch1 (the checklist run), Ch8 (the sixth</w:t>
      </w:r>
      <w:r>
        <w:t xml:space="preserve"> </w:t>
      </w:r>
      <w:r>
        <w:t xml:space="preserve">characteristic), Ch10 (the mechanism attested), Ch12, Appendix C.</w:t>
      </w:r>
    </w:p>
    <w:p>
      <w:pPr>
        <w:pStyle w:val="BodyText"/>
      </w:pPr>
      <w:r>
        <w:rPr>
          <w:bCs/>
          <w:b/>
        </w:rPr>
        <w:t xml:space="preserve">Philip G. Cerny,</w:t>
      </w:r>
      <w:r>
        <w:rPr>
          <w:bCs/>
          <w:b/>
        </w:rPr>
        <w:t xml:space="preserve"> </w:t>
      </w:r>
      <w:r>
        <w:rPr>
          <w:bCs/>
          <w:b/>
        </w:rPr>
        <w:t xml:space="preserve">“</w:t>
      </w:r>
      <w:r>
        <w:rPr>
          <w:bCs/>
          <w:b/>
        </w:rPr>
        <w:t xml:space="preserve">Terrorism and the New Security Dilemma,</w:t>
      </w:r>
      <w:r>
        <w:rPr>
          <w:bCs/>
          <w:b/>
        </w:rPr>
        <w:t xml:space="preserve">”</w:t>
      </w:r>
      <w:r>
        <w:rPr>
          <w:bCs/>
          <w:b/>
        </w:rPr>
        <w:t xml:space="preserve"> </w:t>
      </w:r>
      <w:r>
        <w:rPr>
          <w:iCs/>
          <w:i/>
          <w:bCs/>
          <w:b/>
        </w:rPr>
        <w:t xml:space="preserve">NWCR</w:t>
      </w:r>
      <w:r>
        <w:rPr>
          <w:bCs/>
          <w:b/>
        </w:rPr>
        <w:t xml:space="preserve"> </w:t>
      </w:r>
      <w:r>
        <w:rPr>
          <w:bCs/>
          <w:b/>
        </w:rPr>
        <w:t xml:space="preserve">58:1 (2005).</w:t>
      </w:r>
      <w:r>
        <w:t xml:space="preserve"> </w:t>
      </w:r>
      <w:r>
        <w:rPr>
          <w:iCs/>
          <w:i/>
        </w:rPr>
        <w:t xml:space="preserve">[T2 — bundled]</w:t>
      </w:r>
      <w:r>
        <w:t xml:space="preserve"> </w:t>
      </w:r>
      <w:r>
        <w:t xml:space="preserve">The war-college-tested five-fold</w:t>
      </w:r>
      <w:r>
        <w:t xml:space="preserve"> </w:t>
      </w:r>
      <w:r>
        <w:t xml:space="preserve">restatement; working text pending the 1998 original’s retrieval, now</w:t>
      </w:r>
      <w:r>
        <w:t xml:space="preserve"> </w:t>
      </w:r>
      <w:r>
        <w:t xml:space="preserve">superseded for enumeration by the original (in repo). Engaged: Ch1,</w:t>
      </w:r>
      <w:r>
        <w:t xml:space="preserve"> </w:t>
      </w:r>
      <w:r>
        <w:t xml:space="preserve">Ch3, Ch5, Ch8.</w:t>
      </w:r>
    </w:p>
    <w:p>
      <w:pPr>
        <w:pStyle w:val="BodyText"/>
      </w:pPr>
      <w:r>
        <w:rPr>
          <w:bCs/>
          <w:b/>
        </w:rPr>
        <w:t xml:space="preserve">Stephen J. Kobrin,</w:t>
      </w:r>
      <w:r>
        <w:rPr>
          <w:bCs/>
          <w:b/>
        </w:rPr>
        <w:t xml:space="preserve"> </w:t>
      </w:r>
      <w:r>
        <w:rPr>
          <w:bCs/>
          <w:b/>
        </w:rPr>
        <w:t xml:space="preserve">“</w:t>
      </w:r>
      <w:r>
        <w:rPr>
          <w:bCs/>
          <w:b/>
        </w:rPr>
        <w:t xml:space="preserve">Back to the Future: Neomedievalism and the</w:t>
      </w:r>
      <w:r>
        <w:rPr>
          <w:bCs/>
          <w:b/>
        </w:rPr>
        <w:t xml:space="preserve"> </w:t>
      </w:r>
      <w:r>
        <w:rPr>
          <w:bCs/>
          <w:b/>
        </w:rPr>
        <w:t xml:space="preserve">Postmodern Digital World Economy,</w:t>
      </w:r>
      <w:r>
        <w:rPr>
          <w:bCs/>
          <w:b/>
        </w:rPr>
        <w:t xml:space="preserve">”</w:t>
      </w:r>
      <w:r>
        <w:rPr>
          <w:bCs/>
          <w:b/>
        </w:rPr>
        <w:t xml:space="preserve"> </w:t>
      </w:r>
      <w:r>
        <w:rPr>
          <w:iCs/>
          <w:i/>
          <w:bCs/>
          <w:b/>
        </w:rPr>
        <w:t xml:space="preserve">JIA</w:t>
      </w:r>
      <w:r>
        <w:rPr>
          <w:bCs/>
          <w:b/>
        </w:rPr>
        <w:t xml:space="preserve"> </w:t>
      </w:r>
      <w:r>
        <w:rPr>
          <w:bCs/>
          <w:b/>
        </w:rPr>
        <w:t xml:space="preserve">51:2 (1998).</w:t>
      </w:r>
      <w:r>
        <w:t xml:space="preserve"> </w:t>
      </w:r>
      <w:r>
        <w:rPr>
          <w:iCs/>
          <w:i/>
        </w:rPr>
        <w:t xml:space="preserve">[T2 —</w:t>
      </w:r>
      <w:r>
        <w:rPr>
          <w:iCs/>
          <w:i/>
        </w:rPr>
        <w:t xml:space="preserve"> </w:t>
      </w:r>
      <w:r>
        <w:rPr>
          <w:iCs/>
          <w:i/>
        </w:rPr>
        <w:t xml:space="preserve">bundled]</w:t>
      </w:r>
      <w:r>
        <w:t xml:space="preserve"> </w:t>
      </w:r>
      <w:r>
        <w:t xml:space="preserve">The platforms line’s origin: digital economies dissolve the</w:t>
      </w:r>
      <w:r>
        <w:t xml:space="preserve"> </w:t>
      </w:r>
      <w:r>
        <w:t xml:space="preserve">territorial basis of jurisdiction; overlapping, heteronomous authority</w:t>
      </w:r>
      <w:r>
        <w:t xml:space="preserve"> </w:t>
      </w:r>
      <w:r>
        <w:t xml:space="preserve">returns; and Kobrin’s own anticipated</w:t>
      </w:r>
      <w:r>
        <w:t xml:space="preserve"> </w:t>
      </w:r>
      <w:r>
        <w:rPr>
          <w:iCs/>
          <w:i/>
        </w:rPr>
        <w:t xml:space="preserve">re-centralisation</w:t>
      </w:r>
      <w:r>
        <w:t xml:space="preserve">, which the</w:t>
      </w:r>
      <w:r>
        <w:t xml:space="preserve"> </w:t>
      </w:r>
      <w:r>
        <w:t xml:space="preserve">book redirects from the supranational to the intra-bloc terminus.</w:t>
      </w:r>
      <w:r>
        <w:t xml:space="preserve"> </w:t>
      </w:r>
      <w:r>
        <w:t xml:space="preserve">Engaged: Ch2 (central), Ch4, Ch11–12.</w:t>
      </w:r>
    </w:p>
    <w:bookmarkEnd w:id="144"/>
    <w:bookmarkStart w:id="145" w:name="iii.-security-and-private-force"/>
    <w:p>
      <w:pPr>
        <w:pStyle w:val="Heading2"/>
      </w:pPr>
      <w:r>
        <w:t xml:space="preserve">III. Security and private force</w:t>
      </w:r>
    </w:p>
    <w:p>
      <w:pPr>
        <w:pStyle w:val="FirstParagraph"/>
      </w:pPr>
      <w:r>
        <w:rPr>
          <w:bCs/>
          <w:b/>
        </w:rPr>
        <w:t xml:space="preserve">Sean McFate,</w:t>
      </w:r>
      <w:r>
        <w:rPr>
          <w:bCs/>
          <w:b/>
        </w:rPr>
        <w:t xml:space="preserve"> </w:t>
      </w:r>
      <w:r>
        <w:rPr>
          <w:iCs/>
          <w:i/>
          <w:bCs/>
          <w:b/>
        </w:rPr>
        <w:t xml:space="preserve">Durable Disorder</w:t>
      </w:r>
      <w:r>
        <w:rPr>
          <w:bCs/>
          <w:b/>
        </w:rPr>
        <w:t xml:space="preserve"> </w:t>
      </w:r>
      <w:r>
        <w:rPr>
          <w:bCs/>
          <w:b/>
        </w:rPr>
        <w:t xml:space="preserve">(LSE thesis, 2011;</w:t>
      </w:r>
      <w:r>
        <w:rPr>
          <w:bCs/>
          <w:b/>
        </w:rPr>
        <w:t xml:space="preserve"> </w:t>
      </w:r>
      <w:r>
        <w:rPr>
          <w:iCs/>
          <w:i/>
          <w:bCs/>
          <w:b/>
        </w:rPr>
        <w:t xml:space="preserve">The Modern</w:t>
      </w:r>
      <w:r>
        <w:rPr>
          <w:iCs/>
          <w:i/>
          <w:bCs/>
          <w:b/>
        </w:rPr>
        <w:t xml:space="preserve"> </w:t>
      </w:r>
      <w:r>
        <w:rPr>
          <w:iCs/>
          <w:i/>
          <w:bCs/>
          <w:b/>
        </w:rPr>
        <w:t xml:space="preserve">Mercenary</w:t>
      </w:r>
      <w:r>
        <w:rPr>
          <w:bCs/>
          <w:b/>
        </w:rPr>
        <w:t xml:space="preserve">, 2014).</w:t>
      </w:r>
      <w:r>
        <w:t xml:space="preserve"> </w:t>
      </w:r>
      <w:r>
        <w:rPr>
          <w:iCs/>
          <w:i/>
        </w:rPr>
        <w:t xml:space="preserve">[T2 — thesis bundled; monograph on acquisition</w:t>
      </w:r>
      <w:r>
        <w:rPr>
          <w:iCs/>
          <w:i/>
        </w:rPr>
        <w:t xml:space="preserve"> </w:t>
      </w:r>
      <w:r>
        <w:rPr>
          <w:iCs/>
          <w:i/>
        </w:rPr>
        <w:t xml:space="preserve">list]</w:t>
      </w:r>
      <w:r>
        <w:t xml:space="preserve"> </w:t>
      </w:r>
      <w:r>
        <w:t xml:space="preserve">The eroded mercenary taboo as Bull’s third trend returned; the</w:t>
      </w:r>
      <w:r>
        <w:t xml:space="preserve"> </w:t>
      </w:r>
      <w:r>
        <w:t xml:space="preserve">monopsony disanalogy (the US as consumer-in-chief; modern PMSCs without</w:t>
      </w:r>
      <w:r>
        <w:t xml:space="preserve"> </w:t>
      </w:r>
      <w:r>
        <w:t xml:space="preserve">independent fiscal bases) that Ch3 documents from SEC filings and Ch4</w:t>
      </w:r>
      <w:r>
        <w:t xml:space="preserve"> </w:t>
      </w:r>
      <w:r>
        <w:t xml:space="preserve">turns on. Engaged: Ch3 (central), Ch4, Ch11–12.</w:t>
      </w:r>
    </w:p>
    <w:p>
      <w:pPr>
        <w:pStyle w:val="BodyText"/>
      </w:pPr>
      <w:r>
        <w:rPr>
          <w:bCs/>
          <w:b/>
        </w:rPr>
        <w:t xml:space="preserve">Phil Williams,</w:t>
      </w:r>
      <w:r>
        <w:rPr>
          <w:bCs/>
          <w:b/>
        </w:rPr>
        <w:t xml:space="preserve"> </w:t>
      </w:r>
      <w:r>
        <w:rPr>
          <w:iCs/>
          <w:i/>
          <w:bCs/>
          <w:b/>
        </w:rPr>
        <w:t xml:space="preserve">From the New Middle Ages to a New Dark Age</w:t>
      </w:r>
      <w:r>
        <w:rPr>
          <w:bCs/>
          <w:b/>
        </w:rPr>
        <w:t xml:space="preserve"> </w:t>
      </w:r>
      <w:r>
        <w:rPr>
          <w:bCs/>
          <w:b/>
        </w:rPr>
        <w:t xml:space="preserve">(SSI,</w:t>
      </w:r>
      <w:r>
        <w:rPr>
          <w:bCs/>
          <w:b/>
        </w:rPr>
        <w:t xml:space="preserve"> </w:t>
      </w:r>
      <w:r>
        <w:rPr>
          <w:bCs/>
          <w:b/>
        </w:rPr>
        <w:t xml:space="preserve">2008).</w:t>
      </w:r>
      <w:r>
        <w:t xml:space="preserve"> </w:t>
      </w:r>
      <w:r>
        <w:rPr>
          <w:iCs/>
          <w:i/>
        </w:rPr>
        <w:t xml:space="preserve">[T3 — bundled]</w:t>
      </w:r>
      <w:r>
        <w:t xml:space="preserve"> </w:t>
      </w:r>
      <w:r>
        <w:t xml:space="preserve">The pessimist counter-read: durable disorder</w:t>
      </w:r>
      <w:r>
        <w:t xml:space="preserve"> </w:t>
      </w:r>
      <w:r>
        <w:t xml:space="preserve">as a way-station that can tip;</w:t>
      </w:r>
      <w:r>
        <w:t xml:space="preserve"> </w:t>
      </w:r>
      <w:r>
        <w:t xml:space="preserve">“</w:t>
      </w:r>
      <w:r>
        <w:t xml:space="preserve">alternatively governed</w:t>
      </w:r>
      <w:r>
        <w:t xml:space="preserve">”</w:t>
      </w:r>
      <w:r>
        <w:t xml:space="preserve"> </w:t>
      </w:r>
      <w:r>
        <w:t xml:space="preserve">zones. Staged</w:t>
      </w:r>
      <w:r>
        <w:t xml:space="preserve"> </w:t>
      </w:r>
      <w:r>
        <w:t xml:space="preserve">against McFate by the book (chronology declared). Engaged: Ch3, Ch5,</w:t>
      </w:r>
      <w:r>
        <w:t xml:space="preserve"> </w:t>
      </w:r>
      <w:r>
        <w:t xml:space="preserve">Ch11–12.</w:t>
      </w:r>
    </w:p>
    <w:bookmarkEnd w:id="145"/>
    <w:bookmarkStart w:id="146" w:name="iv.-european-and-regional-application"/>
    <w:p>
      <w:pPr>
        <w:pStyle w:val="Heading2"/>
      </w:pPr>
      <w:r>
        <w:t xml:space="preserve">IV. European and regional application</w:t>
      </w:r>
    </w:p>
    <w:p>
      <w:pPr>
        <w:pStyle w:val="FirstParagraph"/>
      </w:pPr>
      <w:r>
        <w:rPr>
          <w:bCs/>
          <w:b/>
        </w:rPr>
        <w:t xml:space="preserve">Ole Wæver,</w:t>
      </w:r>
      <w:r>
        <w:rPr>
          <w:bCs/>
          <w:b/>
        </w:rPr>
        <w:t xml:space="preserve"> </w:t>
      </w:r>
      <w:r>
        <w:rPr>
          <w:bCs/>
          <w:b/>
        </w:rPr>
        <w:t xml:space="preserve">“</w:t>
      </w:r>
      <w:r>
        <w:rPr>
          <w:bCs/>
          <w:b/>
        </w:rPr>
        <w:t xml:space="preserve">European Security Identities,</w:t>
      </w:r>
      <w:r>
        <w:rPr>
          <w:bCs/>
          <w:b/>
        </w:rPr>
        <w:t xml:space="preserve">”</w:t>
      </w:r>
      <w:r>
        <w:rPr>
          <w:bCs/>
          <w:b/>
        </w:rPr>
        <w:t xml:space="preserve"> </w:t>
      </w:r>
      <w:r>
        <w:rPr>
          <w:iCs/>
          <w:i/>
          <w:bCs/>
          <w:b/>
        </w:rPr>
        <w:t xml:space="preserve">JCMS</w:t>
      </w:r>
      <w:r>
        <w:rPr>
          <w:bCs/>
          <w:b/>
        </w:rPr>
        <w:t xml:space="preserve"> </w:t>
      </w:r>
      <w:r>
        <w:rPr>
          <w:bCs/>
          <w:b/>
        </w:rPr>
        <w:t xml:space="preserve">34:1 (1996).</w:t>
      </w:r>
      <w:r>
        <w:t xml:space="preserve"> </w:t>
      </w:r>
      <w:r>
        <w:rPr>
          <w:iCs/>
          <w:i/>
        </w:rPr>
        <w:t xml:space="preserve">[T2 — bundled]</w:t>
      </w:r>
      <w:r>
        <w:t xml:space="preserve"> </w:t>
      </w:r>
      <w:r>
        <w:t xml:space="preserve">The securitisation lens and Wæver’s own</w:t>
      </w:r>
      <w:r>
        <w:t xml:space="preserve"> </w:t>
      </w:r>
      <w:r>
        <w:t xml:space="preserve">“</w:t>
      </w:r>
      <w:r>
        <w:t xml:space="preserve">new middle</w:t>
      </w:r>
      <w:r>
        <w:t xml:space="preserve"> </w:t>
      </w:r>
      <w:r>
        <w:t xml:space="preserve">ages</w:t>
      </w:r>
      <w:r>
        <w:t xml:space="preserve">”</w:t>
      </w:r>
      <w:r>
        <w:t xml:space="preserve"> </w:t>
      </w:r>
      <w:r>
        <w:t xml:space="preserve">of concentric circles — the EU as post-sovereign system in a</w:t>
      </w:r>
      <w:r>
        <w:t xml:space="preserve"> </w:t>
      </w:r>
      <w:r>
        <w:t xml:space="preserve">security theorist’s terms. Engaged: Ch11 (the EU church), Ch12.</w:t>
      </w:r>
    </w:p>
    <w:p>
      <w:pPr>
        <w:pStyle w:val="BodyText"/>
      </w:pPr>
      <w:r>
        <w:rPr>
          <w:bCs/>
          <w:b/>
        </w:rPr>
        <w:t xml:space="preserve">Jan Zielonka,</w:t>
      </w:r>
      <w:r>
        <w:rPr>
          <w:bCs/>
          <w:b/>
        </w:rPr>
        <w:t xml:space="preserve"> </w:t>
      </w:r>
      <w:r>
        <w:rPr>
          <w:iCs/>
          <w:i/>
          <w:bCs/>
          <w:b/>
        </w:rPr>
        <w:t xml:space="preserve">Europe as Empire</w:t>
      </w:r>
      <w:r>
        <w:rPr>
          <w:bCs/>
          <w:b/>
        </w:rPr>
        <w:t xml:space="preserve"> </w:t>
      </w:r>
      <w:r>
        <w:rPr>
          <w:bCs/>
          <w:b/>
        </w:rPr>
        <w:t xml:space="preserve">(2006).</w:t>
      </w:r>
      <w:r>
        <w:t xml:space="preserve"> </w:t>
      </w:r>
      <w:r>
        <w:rPr>
          <w:iCs/>
          <w:i/>
        </w:rPr>
        <w:t xml:space="preserve">[T2 — GATED, acquisition</w:t>
      </w:r>
      <w:r>
        <w:rPr>
          <w:iCs/>
          <w:i/>
        </w:rPr>
        <w:t xml:space="preserve"> </w:t>
      </w:r>
      <w:r>
        <w:rPr>
          <w:iCs/>
          <w:i/>
        </w:rPr>
        <w:t xml:space="preserve">list]</w:t>
      </w:r>
      <w:r>
        <w:t xml:space="preserve"> </w:t>
      </w:r>
      <w:r>
        <w:t xml:space="preserve">The EU as neomedieval empire; needed for Ch2’s EU-church section</w:t>
      </w:r>
      <w:r>
        <w:t xml:space="preserve"> </w:t>
      </w:r>
      <w:r>
        <w:t xml:space="preserve">at the upgrade pass.</w:t>
      </w:r>
    </w:p>
    <w:bookmarkEnd w:id="146"/>
    <w:bookmarkStart w:id="147" w:name="v.-popular-and-strategic-synthesis"/>
    <w:p>
      <w:pPr>
        <w:pStyle w:val="Heading2"/>
      </w:pPr>
      <w:r>
        <w:t xml:space="preserve">V. Popular and strategic synthesis</w:t>
      </w:r>
    </w:p>
    <w:p>
      <w:pPr>
        <w:pStyle w:val="FirstParagraph"/>
      </w:pPr>
      <w:r>
        <w:rPr>
          <w:bCs/>
          <w:b/>
        </w:rPr>
        <w:t xml:space="preserve">Anne-Marie Slaughter,</w:t>
      </w:r>
      <w:r>
        <w:rPr>
          <w:bCs/>
          <w:b/>
        </w:rPr>
        <w:t xml:space="preserve"> </w:t>
      </w:r>
      <w:r>
        <w:rPr>
          <w:iCs/>
          <w:i/>
          <w:bCs/>
          <w:b/>
        </w:rPr>
        <w:t xml:space="preserve">A New World Order</w:t>
      </w:r>
      <w:r>
        <w:rPr>
          <w:bCs/>
          <w:b/>
        </w:rPr>
        <w:t xml:space="preserve"> </w:t>
      </w:r>
      <w:r>
        <w:rPr>
          <w:bCs/>
          <w:b/>
        </w:rPr>
        <w:t xml:space="preserve">(2004), chs. 5–6.</w:t>
      </w:r>
      <w:r>
        <w:t xml:space="preserve"> </w:t>
      </w:r>
      <w:r>
        <w:rPr>
          <w:iCs/>
          <w:i/>
        </w:rPr>
        <w:t xml:space="preserve">[T2 —</w:t>
      </w:r>
      <w:r>
        <w:rPr>
          <w:iCs/>
          <w:i/>
        </w:rPr>
        <w:t xml:space="preserve"> </w:t>
      </w:r>
      <w:r>
        <w:rPr>
          <w:iCs/>
          <w:i/>
        </w:rPr>
        <w:t xml:space="preserve">bundled]</w:t>
      </w:r>
      <w:r>
        <w:t xml:space="preserve"> </w:t>
      </w:r>
      <w:r>
        <w:t xml:space="preserve">The optimist’s read, engaged as important and wrong: networks</w:t>
      </w:r>
      <w:r>
        <w:t xml:space="preserve"> </w:t>
      </w:r>
      <w:r>
        <w:t xml:space="preserve">as the interregnum’s connective tissue mistaken for architecture; the</w:t>
      </w:r>
      <w:r>
        <w:t xml:space="preserve"> </w:t>
      </w:r>
      <w:r>
        <w:t xml:space="preserve">capacity test applied in Ch1 §V. Engaged: Ch1, Ch2, Ch12.</w:t>
      </w:r>
    </w:p>
    <w:p>
      <w:pPr>
        <w:pStyle w:val="BodyText"/>
      </w:pPr>
      <w:r>
        <w:rPr>
          <w:bCs/>
          <w:b/>
        </w:rPr>
        <w:t xml:space="preserve">Robert D. Kaplan,</w:t>
      </w:r>
      <w:r>
        <w:rPr>
          <w:bCs/>
          <w:b/>
        </w:rPr>
        <w:t xml:space="preserve"> </w:t>
      </w:r>
      <w:r>
        <w:rPr>
          <w:bCs/>
          <w:b/>
        </w:rPr>
        <w:t xml:space="preserve">“</w:t>
      </w:r>
      <w:r>
        <w:rPr>
          <w:bCs/>
          <w:b/>
        </w:rPr>
        <w:t xml:space="preserve">The Coming Anarchy</w:t>
      </w:r>
      <w:r>
        <w:rPr>
          <w:bCs/>
          <w:b/>
        </w:rPr>
        <w:t xml:space="preserve">”</w:t>
      </w:r>
      <w:r>
        <w:rPr>
          <w:bCs/>
          <w:b/>
        </w:rPr>
        <w:t xml:space="preserve"> </w:t>
      </w:r>
      <w:r>
        <w:rPr>
          <w:bCs/>
          <w:b/>
        </w:rPr>
        <w:t xml:space="preserve">(1994).</w:t>
      </w:r>
      <w:r>
        <w:t xml:space="preserve"> </w:t>
      </w:r>
      <w:r>
        <w:rPr>
          <w:iCs/>
          <w:i/>
        </w:rPr>
        <w:t xml:space="preserve">[T3 — bundled]</w:t>
      </w:r>
      <w:r>
        <w:t xml:space="preserve"> </w:t>
      </w:r>
      <w:r>
        <w:t xml:space="preserve">The</w:t>
      </w:r>
      <w:r>
        <w:t xml:space="preserve"> </w:t>
      </w:r>
      <w:r>
        <w:t xml:space="preserve">atmospheric predecessor and the declinism-cycle’s finest instance;</w:t>
      </w:r>
      <w:r>
        <w:t xml:space="preserve"> </w:t>
      </w:r>
      <w:r>
        <w:t xml:space="preserve">quoted exactly, with the stretch-limo image credited to Homer-Dixon.</w:t>
      </w:r>
      <w:r>
        <w:t xml:space="preserve"> </w:t>
      </w:r>
      <w:r>
        <w:t xml:space="preserve">Engaged: Introduction (the first inoculation), Ch1.</w:t>
      </w:r>
    </w:p>
    <w:p>
      <w:pPr>
        <w:pStyle w:val="BodyText"/>
      </w:pPr>
      <w:r>
        <w:rPr>
          <w:bCs/>
          <w:b/>
        </w:rPr>
        <w:t xml:space="preserve">Parag Khanna,</w:t>
      </w:r>
      <w:r>
        <w:rPr>
          <w:bCs/>
          <w:b/>
        </w:rPr>
        <w:t xml:space="preserve"> </w:t>
      </w:r>
      <w:r>
        <w:rPr>
          <w:bCs/>
          <w:b/>
        </w:rPr>
        <w:t xml:space="preserve">“</w:t>
      </w:r>
      <w:r>
        <w:rPr>
          <w:bCs/>
          <w:b/>
        </w:rPr>
        <w:t xml:space="preserve">The Next Big Thing: Neomedievalism</w:t>
      </w:r>
      <w:r>
        <w:rPr>
          <w:bCs/>
          <w:b/>
        </w:rPr>
        <w:t xml:space="preserve">”</w:t>
      </w:r>
      <w:r>
        <w:rPr>
          <w:bCs/>
          <w:b/>
        </w:rPr>
        <w:t xml:space="preserve"> </w:t>
      </w:r>
      <w:r>
        <w:rPr>
          <w:bCs/>
          <w:b/>
        </w:rPr>
        <w:t xml:space="preserve">(</w:t>
      </w:r>
      <w:r>
        <w:rPr>
          <w:iCs/>
          <w:i/>
          <w:bCs/>
          <w:b/>
        </w:rPr>
        <w:t xml:space="preserve">FP</w:t>
      </w:r>
      <w:r>
        <w:rPr>
          <w:bCs/>
          <w:b/>
        </w:rPr>
        <w:t xml:space="preserve">, 2009).</w:t>
      </w:r>
      <w:r>
        <w:t xml:space="preserve"> </w:t>
      </w:r>
      <w:r>
        <w:rPr>
          <w:iCs/>
          <w:i/>
        </w:rPr>
        <w:t xml:space="preserve">[T3 — defective capture; acquisition list]</w:t>
      </w:r>
      <w:r>
        <w:t xml:space="preserve"> </w:t>
      </w:r>
      <w:r>
        <w:t xml:space="preserve">The mass-audience marker;</w:t>
      </w:r>
      <w:r>
        <w:t xml:space="preserve"> </w:t>
      </w:r>
      <w:r>
        <w:t xml:space="preserve">[ANALOGY-ONLY] per doctrine; annotation provisional pending a clean</w:t>
      </w:r>
      <w:r>
        <w:t xml:space="preserve"> </w:t>
      </w:r>
      <w:r>
        <w:t xml:space="preserve">copy.</w:t>
      </w:r>
    </w:p>
    <w:bookmarkEnd w:id="147"/>
    <w:bookmarkStart w:id="148" w:name="vi.-the-critics"/>
    <w:p>
      <w:pPr>
        <w:pStyle w:val="Heading2"/>
      </w:pPr>
      <w:r>
        <w:t xml:space="preserve">VI. The critics</w:t>
      </w:r>
    </w:p>
    <w:p>
      <w:pPr>
        <w:pStyle w:val="FirstParagraph"/>
      </w:pPr>
      <w:r>
        <w:rPr>
          <w:bCs/>
          <w:b/>
        </w:rPr>
        <w:t xml:space="preserve">Bruce Holsinger,</w:t>
      </w:r>
      <w:r>
        <w:rPr>
          <w:bCs/>
          <w:b/>
        </w:rPr>
        <w:t xml:space="preserve"> </w:t>
      </w:r>
      <w:r>
        <w:rPr>
          <w:iCs/>
          <w:i/>
          <w:bCs/>
          <w:b/>
        </w:rPr>
        <w:t xml:space="preserve">Neomedievalism, Neoconservatism, and the War on</w:t>
      </w:r>
      <w:r>
        <w:rPr>
          <w:iCs/>
          <w:i/>
          <w:bCs/>
          <w:b/>
        </w:rPr>
        <w:t xml:space="preserve"> </w:t>
      </w:r>
      <w:r>
        <w:rPr>
          <w:iCs/>
          <w:i/>
          <w:bCs/>
          <w:b/>
        </w:rPr>
        <w:t xml:space="preserve">Terror</w:t>
      </w:r>
      <w:r>
        <w:rPr>
          <w:bCs/>
          <w:b/>
        </w:rPr>
        <w:t xml:space="preserve"> </w:t>
      </w:r>
      <w:r>
        <w:rPr>
          <w:bCs/>
          <w:b/>
        </w:rPr>
        <w:t xml:space="preserve">(2007).</w:t>
      </w:r>
      <w:r>
        <w:t xml:space="preserve"> </w:t>
      </w:r>
      <w:r>
        <w:rPr>
          <w:iCs/>
          <w:i/>
        </w:rPr>
        <w:t xml:space="preserve">[T2 — punctum-carried page cites; re-verify on</w:t>
      </w:r>
      <w:r>
        <w:rPr>
          <w:iCs/>
          <w:i/>
        </w:rPr>
        <w:t xml:space="preserve"> </w:t>
      </w:r>
      <w:r>
        <w:rPr>
          <w:iCs/>
          <w:i/>
        </w:rPr>
        <w:t xml:space="preserve">purchase]</w:t>
      </w:r>
      <w:r>
        <w:t xml:space="preserve"> </w:t>
      </w:r>
      <w:r>
        <w:t xml:space="preserve">The medievalist’s indictment: neomedievalism as</w:t>
      </w:r>
      <w:r>
        <w:t xml:space="preserve"> </w:t>
      </w:r>
      <w:r>
        <w:t xml:space="preserve">“</w:t>
      </w:r>
      <w:r>
        <w:t xml:space="preserve">the global</w:t>
      </w:r>
      <w:r>
        <w:t xml:space="preserve"> </w:t>
      </w:r>
      <w:r>
        <w:t xml:space="preserve">idiom of the non-state actor</w:t>
      </w:r>
      <w:r>
        <w:t xml:space="preserve">”</w:t>
      </w:r>
      <w:r>
        <w:t xml:space="preserve"> </w:t>
      </w:r>
      <w:r>
        <w:t xml:space="preserve">and a co-optable theoretical fashion.</w:t>
      </w:r>
      <w:r>
        <w:t xml:space="preserve"> </w:t>
      </w:r>
      <w:r>
        <w:t xml:space="preserve">Engaged: Introduction (the fairyland inoculation).</w:t>
      </w:r>
    </w:p>
    <w:p>
      <w:pPr>
        <w:pStyle w:val="BodyText"/>
      </w:pPr>
      <w:r>
        <w:rPr>
          <w:bCs/>
          <w:b/>
        </w:rPr>
        <w:t xml:space="preserve">Nicholas Rengger, the</w:t>
      </w:r>
      <w:r>
        <w:rPr>
          <w:bCs/>
          <w:b/>
        </w:rPr>
        <w:t xml:space="preserve"> </w:t>
      </w:r>
      <w:r>
        <w:rPr>
          <w:bCs/>
          <w:b/>
        </w:rPr>
        <w:t xml:space="preserve">“</w:t>
      </w:r>
      <w:r>
        <w:rPr>
          <w:bCs/>
          <w:b/>
        </w:rPr>
        <w:t xml:space="preserve">fairyland</w:t>
      </w:r>
      <w:r>
        <w:rPr>
          <w:bCs/>
          <w:b/>
        </w:rPr>
        <w:t xml:space="preserve">”</w:t>
      </w:r>
      <w:r>
        <w:rPr>
          <w:bCs/>
          <w:b/>
        </w:rPr>
        <w:t xml:space="preserve"> </w:t>
      </w:r>
      <w:r>
        <w:rPr>
          <w:bCs/>
          <w:b/>
        </w:rPr>
        <w:t xml:space="preserve">chapter.</w:t>
      </w:r>
      <w:r>
        <w:t xml:space="preserve"> </w:t>
      </w:r>
      <w:r>
        <w:rPr>
          <w:iCs/>
          <w:i/>
        </w:rPr>
        <w:t xml:space="preserve">[T2 — GATED; only</w:t>
      </w:r>
      <w:r>
        <w:rPr>
          <w:iCs/>
          <w:i/>
        </w:rPr>
        <w:t xml:space="preserve"> </w:t>
      </w:r>
      <w:r>
        <w:rPr>
          <w:iCs/>
          <w:i/>
        </w:rPr>
        <w:t xml:space="preserve">“</w:t>
      </w:r>
      <w:r>
        <w:rPr>
          <w:iCs/>
          <w:i/>
        </w:rPr>
        <w:t xml:space="preserve">its</w:t>
      </w:r>
      <w:r>
        <w:rPr>
          <w:iCs/>
          <w:i/>
        </w:rPr>
        <w:t xml:space="preserve"> </w:t>
      </w:r>
      <w:r>
        <w:rPr>
          <w:iCs/>
          <w:i/>
        </w:rPr>
        <w:t xml:space="preserve">calamitous predecessor</w:t>
      </w:r>
      <w:r>
        <w:rPr>
          <w:iCs/>
          <w:i/>
        </w:rPr>
        <w:t xml:space="preserve">”</w:t>
      </w:r>
      <w:r>
        <w:rPr>
          <w:iCs/>
          <w:i/>
        </w:rPr>
        <w:t xml:space="preserve"> </w:t>
      </w:r>
      <w:r>
        <w:rPr>
          <w:iCs/>
          <w:i/>
        </w:rPr>
        <w:t xml:space="preserve">carried openly]</w:t>
      </w:r>
      <w:r>
        <w:t xml:space="preserve"> </w:t>
      </w:r>
      <w:r>
        <w:t xml:space="preserve">Not paraphrased beyond the</w:t>
      </w:r>
      <w:r>
        <w:t xml:space="preserve"> </w:t>
      </w:r>
      <w:r>
        <w:t xml:space="preserve">carried fragment until retrieved. Engaged: Introduction.</w:t>
      </w:r>
    </w:p>
    <w:bookmarkEnd w:id="148"/>
    <w:bookmarkStart w:id="149" w:name="Xe7869b1d5e700df622f508dddc4749da74fd576"/>
    <w:p>
      <w:pPr>
        <w:pStyle w:val="Heading2"/>
      </w:pPr>
      <w:r>
        <w:t xml:space="preserve">VII. The historiographical anchor the literature lacked</w:t>
      </w:r>
    </w:p>
    <w:p>
      <w:pPr>
        <w:pStyle w:val="FirstParagraph"/>
      </w:pPr>
      <w:r>
        <w:rPr>
          <w:bCs/>
          <w:b/>
        </w:rPr>
        <w:t xml:space="preserve">J. R. Green,</w:t>
      </w:r>
      <w:r>
        <w:rPr>
          <w:bCs/>
          <w:b/>
        </w:rPr>
        <w:t xml:space="preserve"> </w:t>
      </w:r>
      <w:r>
        <w:rPr>
          <w:iCs/>
          <w:i/>
          <w:bCs/>
          <w:b/>
        </w:rPr>
        <w:t xml:space="preserve">A Short History of the English People</w:t>
      </w:r>
      <w:r>
        <w:rPr>
          <w:bCs/>
          <w:b/>
        </w:rPr>
        <w:t xml:space="preserve"> </w:t>
      </w:r>
      <w:r>
        <w:rPr>
          <w:bCs/>
          <w:b/>
        </w:rPr>
        <w:t xml:space="preserve">(1874), ch. VI.</w:t>
      </w:r>
      <w:r>
        <w:t xml:space="preserve"> </w:t>
      </w:r>
      <w:r>
        <w:rPr>
          <w:iCs/>
          <w:i/>
        </w:rPr>
        <w:t xml:space="preserve">[T1 — IN REPO, public domain]</w:t>
      </w:r>
      <w:r>
        <w:t xml:space="preserve"> </w:t>
      </w:r>
      <w:r>
        <w:t xml:space="preserve">The</w:t>
      </w:r>
      <w:r>
        <w:t xml:space="preserve"> </w:t>
      </w:r>
      <w:r>
        <w:t xml:space="preserve">“</w:t>
      </w:r>
      <w:r>
        <w:t xml:space="preserve">New Monarchy</w:t>
      </w:r>
      <w:r>
        <w:t xml:space="preserve">”</w:t>
      </w:r>
      <w:r>
        <w:t xml:space="preserve"> </w:t>
      </w:r>
      <w:r>
        <w:t xml:space="preserve">coinage at source</w:t>
      </w:r>
      <w:r>
        <w:t xml:space="preserve"> </w:t>
      </w:r>
      <w:r>
        <w:t xml:space="preserve">(</w:t>
      </w:r>
      <w:r>
        <w:t xml:space="preserve">“</w:t>
      </w:r>
      <w:r>
        <w:t xml:space="preserve">If we use the name of the New Monarchy to express the character of</w:t>
      </w:r>
      <w:r>
        <w:t xml:space="preserve"> </w:t>
      </w:r>
      <w:r>
        <w:t xml:space="preserve">the English sovereignty from the time of Edward the Fourth to the time</w:t>
      </w:r>
      <w:r>
        <w:t xml:space="preserve"> </w:t>
      </w:r>
      <w:r>
        <w:t xml:space="preserve">of Elizabeth…</w:t>
      </w:r>
      <w:r>
        <w:t xml:space="preserve">”</w:t>
      </w:r>
      <w:r>
        <w:t xml:space="preserve">) — the contested frame Ch11 declares and extends.</w:t>
      </w:r>
    </w:p>
    <w:p>
      <w:r>
        <w:pict>
          <v:rect style="width:0;height:1.5pt" o:hralign="center" o:hrstd="t" o:hr="t"/>
        </w:pict>
      </w:r>
    </w:p>
    <w:p>
      <w:pPr>
        <w:pStyle w:val="FirstParagraph"/>
      </w:pPr>
      <w:r>
        <w:rPr>
          <w:iCs/>
          <w:i/>
        </w:rPr>
        <w:t xml:space="preserve">The medieval historiography (Contamine, Rogers, Curry, DeVries, Vale,</w:t>
      </w:r>
      <w:r>
        <w:rPr>
          <w:iCs/>
          <w:i/>
        </w:rPr>
        <w:t xml:space="preserve"> </w:t>
      </w:r>
      <w:r>
        <w:rPr>
          <w:iCs/>
          <w:i/>
        </w:rPr>
        <w:t xml:space="preserve">Pollard, Watts, and the chronicle editions) is graded per-chapter in</w:t>
      </w:r>
      <w:r>
        <w:rPr>
          <w:iCs/>
          <w:i/>
        </w:rPr>
        <w:t xml:space="preserve"> </w:t>
      </w:r>
      <w:r>
        <w:rPr>
          <w:iCs/>
          <w:i/>
        </w:rPr>
        <w:t xml:space="preserve">each sources.md and is not duplicated here; Appendix B carries the</w:t>
      </w:r>
      <w:r>
        <w:rPr>
          <w:iCs/>
          <w:i/>
        </w:rPr>
        <w:t xml:space="preserve"> </w:t>
      </w:r>
      <w:r>
        <w:rPr>
          <w:iCs/>
          <w:i/>
        </w:rPr>
        <w:t xml:space="preserve">comparative register; Appendix C the indicators.</w:t>
      </w:r>
    </w:p>
    <w:p>
      <w:pPr>
        <w:pStyle w:val="BodyText"/>
      </w:pPr>
      <w:r>
        <w:t xml:space="preserve">STATUS: ASSEMBLED — PENDING HUMAN REVIEW</w:t>
      </w:r>
    </w:p>
    <w:bookmarkEnd w:id="149"/>
    <w:bookmarkStart w:id="150" w:name="e4.-appendix-b"/>
    <w:p>
      <w:pPr>
        <w:pStyle w:val="Heading2"/>
      </w:pPr>
      <w:r>
        <w:t xml:space="preserve">E4. Appendix B</w:t>
      </w:r>
    </w:p>
    <w:bookmarkEnd w:id="150"/>
    <w:bookmarkEnd w:id="151"/>
    <w:bookmarkStart w:id="153" w:name="appendix-b-the-comparative-register"/>
    <w:p>
      <w:pPr>
        <w:pStyle w:val="Heading1"/>
      </w:pPr>
      <w:r>
        <w:t xml:space="preserve">Appendix B — The Comparative Register</w:t>
      </w:r>
    </w:p>
    <w:p>
      <w:pPr>
        <w:pStyle w:val="FirstParagraph"/>
      </w:pPr>
      <w:r>
        <w:rPr>
          <w:iCs/>
          <w:i/>
        </w:rPr>
        <w:t xml:space="preserve">ASSEMBLED (first assembly, 2026-08-02). CLAUDE.md §6’s rule — no</w:t>
      </w:r>
      <w:r>
        <w:rPr>
          <w:iCs/>
          <w:i/>
        </w:rPr>
        <w:t xml:space="preserve"> </w:t>
      </w:r>
      <w:r>
        <w:rPr>
          <w:iCs/>
          <w:i/>
        </w:rPr>
        <w:t xml:space="preserve">single-polity argument, ever; each chapter a primary polity plus at</w:t>
      </w:r>
      <w:r>
        <w:rPr>
          <w:iCs/>
          <w:i/>
        </w:rPr>
        <w:t xml:space="preserve"> </w:t>
      </w:r>
      <w:r>
        <w:rPr>
          <w:iCs/>
          <w:i/>
        </w:rPr>
        <w:t xml:space="preserve">least two comparators — tabulated from the reviewed memos and drafts so</w:t>
      </w:r>
      <w:r>
        <w:rPr>
          <w:iCs/>
          <w:i/>
        </w:rPr>
        <w:t xml:space="preserve"> </w:t>
      </w:r>
      <w:r>
        <w:rPr>
          <w:iCs/>
          <w:i/>
        </w:rPr>
        <w:t xml:space="preserve">the rule can be audited at a glance. Modern-side comparator sets are</w:t>
      </w:r>
      <w:r>
        <w:rPr>
          <w:iCs/>
          <w:i/>
        </w:rPr>
        <w:t xml:space="preserve"> </w:t>
      </w:r>
      <w:r>
        <w:rPr>
          <w:iCs/>
          <w:i/>
        </w:rPr>
        <w:t xml:space="preserve">the four candidate blocs unless narrower.</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Ch.</w:t>
            </w:r>
          </w:p>
        </w:tc>
        <w:tc>
          <w:tcPr/>
          <w:p>
            <w:pPr>
              <w:pStyle w:val="Compact"/>
              <w:jc w:val="left"/>
            </w:pPr>
            <w:r>
              <w:t xml:space="preserve">Subject</w:t>
            </w:r>
          </w:p>
        </w:tc>
        <w:tc>
          <w:tcPr/>
          <w:p>
            <w:pPr>
              <w:pStyle w:val="Compact"/>
              <w:jc w:val="left"/>
            </w:pPr>
            <w:r>
              <w:t xml:space="preserve">Primary polity</w:t>
            </w:r>
          </w:p>
        </w:tc>
        <w:tc>
          <w:tcPr/>
          <w:p>
            <w:pPr>
              <w:pStyle w:val="Compact"/>
              <w:jc w:val="left"/>
            </w:pPr>
            <w:r>
              <w:t xml:space="preserve">Continental comparators</w:t>
            </w:r>
          </w:p>
        </w:tc>
        <w:tc>
          <w:tcPr/>
          <w:p>
            <w:pPr>
              <w:pStyle w:val="Compact"/>
              <w:jc w:val="left"/>
            </w:pPr>
            <w:r>
              <w:t xml:space="preserve">Counter-case / control</w:t>
            </w:r>
          </w:p>
        </w:tc>
        <w:tc>
          <w:tcPr/>
          <w:p>
            <w:pPr>
              <w:pStyle w:val="Compact"/>
              <w:jc w:val="left"/>
            </w:pPr>
            <w:r>
              <w:t xml:space="preserve">Modern comparator set</w:t>
            </w:r>
          </w:p>
        </w:tc>
      </w:tr>
      <w:tr>
        <w:tc>
          <w:tcPr/>
          <w:p>
            <w:pPr>
              <w:pStyle w:val="Compact"/>
              <w:jc w:val="left"/>
            </w:pPr>
            <w:r>
              <w:t xml:space="preserve">1</w:t>
            </w:r>
          </w:p>
        </w:tc>
        <w:tc>
          <w:tcPr/>
          <w:p>
            <w:pPr>
              <w:pStyle w:val="Compact"/>
              <w:jc w:val="left"/>
            </w:pPr>
            <w:r>
              <w:t xml:space="preserve">The diagnosis</w:t>
            </w:r>
          </w:p>
        </w:tc>
        <w:tc>
          <w:tcPr/>
          <w:p>
            <w:pPr>
              <w:pStyle w:val="Compact"/>
              <w:jc w:val="left"/>
            </w:pPr>
            <w:r>
              <w:t xml:space="preserve">(literature chapter)</w:t>
            </w:r>
          </w:p>
        </w:tc>
        <w:tc>
          <w:tcPr/>
          <w:p>
            <w:pPr>
              <w:pStyle w:val="Compact"/>
              <w:jc w:val="left"/>
            </w:pPr>
            <w:r>
              <w:t xml:space="preserve">c. 1200 baseline: papacy, Empire, N. Italian communes (Rhineland deliberately unasserted pending retrieval)</w:t>
            </w:r>
          </w:p>
        </w:tc>
        <w:tc>
          <w:tcPr/>
          <w:p>
            <w:pPr>
              <w:pStyle w:val="Compact"/>
              <w:jc w:val="left"/>
            </w:pPr>
            <w:r>
              <w:t xml:space="preserve">Capetian France, Angevin England named as consolidating exceptions</w:t>
            </w:r>
          </w:p>
        </w:tc>
        <w:tc>
          <w:tcPr/>
          <w:p>
            <w:pPr>
              <w:pStyle w:val="Compact"/>
              <w:jc w:val="left"/>
            </w:pPr>
            <w:r>
              <w:t xml:space="preserve">EU, US, China (DMA/CLOUD/PIPL trilemma)</w:t>
            </w:r>
          </w:p>
        </w:tc>
      </w:tr>
      <w:tr>
        <w:tc>
          <w:tcPr/>
          <w:p>
            <w:pPr>
              <w:pStyle w:val="Compact"/>
              <w:jc w:val="left"/>
            </w:pPr>
            <w:r>
              <w:t xml:space="preserve">2</w:t>
            </w:r>
          </w:p>
        </w:tc>
        <w:tc>
          <w:tcPr/>
          <w:p>
            <w:pPr>
              <w:pStyle w:val="Compact"/>
              <w:jc w:val="left"/>
            </w:pPr>
            <w:r>
              <w:t xml:space="preserve">The new Church</w:t>
            </w:r>
          </w:p>
        </w:tc>
        <w:tc>
          <w:tcPr/>
          <w:p>
            <w:pPr>
              <w:pStyle w:val="Compact"/>
              <w:jc w:val="left"/>
            </w:pPr>
            <w:r>
              <w:t xml:space="preserve">(structural chapter)</w:t>
            </w:r>
          </w:p>
        </w:tc>
        <w:tc>
          <w:tcPr/>
          <w:p>
            <w:pPr>
              <w:pStyle w:val="Compact"/>
              <w:jc w:val="left"/>
            </w:pPr>
            <w:r>
              <w:t xml:space="preserve">Investiture Empire/papacy; Avignon France; the Schism’s three obediences</w:t>
            </w:r>
          </w:p>
        </w:tc>
        <w:tc>
          <w:tcPr/>
          <w:p>
            <w:pPr>
              <w:pStyle w:val="Compact"/>
              <w:jc w:val="left"/>
            </w:pPr>
            <w:r>
              <w:t xml:space="preserve">Worms as truce vs the Henrician settlement</w:t>
            </w:r>
          </w:p>
        </w:tc>
        <w:tc>
          <w:tcPr/>
          <w:p>
            <w:pPr>
              <w:pStyle w:val="Compact"/>
              <w:jc w:val="left"/>
            </w:pPr>
            <w:r>
              <w:t xml:space="preserve">US hyperscaler church; Chinese fused church; EU canonical church</w:t>
            </w:r>
          </w:p>
        </w:tc>
      </w:tr>
      <w:tr>
        <w:tc>
          <w:tcPr/>
          <w:p>
            <w:pPr>
              <w:pStyle w:val="Compact"/>
              <w:jc w:val="left"/>
            </w:pPr>
            <w:r>
              <w:t xml:space="preserve">3</w:t>
            </w:r>
          </w:p>
        </w:tc>
        <w:tc>
          <w:tcPr/>
          <w:p>
            <w:pPr>
              <w:pStyle w:val="Compact"/>
              <w:jc w:val="left"/>
            </w:pPr>
            <w:r>
              <w:t xml:space="preserve">The retinues</w:t>
            </w:r>
          </w:p>
        </w:tc>
        <w:tc>
          <w:tcPr/>
          <w:p>
            <w:pPr>
              <w:pStyle w:val="Compact"/>
              <w:jc w:val="left"/>
            </w:pPr>
            <w:r>
              <w:t xml:space="preserve">England (livery/maintenance)</w:t>
            </w:r>
          </w:p>
        </w:tc>
        <w:tc>
          <w:tcPr/>
          <w:p>
            <w:pPr>
              <w:pStyle w:val="Compact"/>
              <w:jc w:val="left"/>
            </w:pPr>
            <w:r>
              <w:t xml:space="preserve">France (écorcheurs); Burgundy (Golden Fleece); the Empire (Fehde)</w:t>
            </w:r>
          </w:p>
        </w:tc>
        <w:tc>
          <w:tcPr/>
          <w:p>
            <w:pPr>
              <w:pStyle w:val="Compact"/>
              <w:jc w:val="left"/>
            </w:pPr>
            <w:r>
              <w:t xml:space="preserve">Italy held for ch. 4</w:t>
            </w:r>
          </w:p>
        </w:tc>
        <w:tc>
          <w:tcPr/>
          <w:p>
            <w:pPr>
              <w:pStyle w:val="Compact"/>
              <w:jc w:val="left"/>
            </w:pPr>
            <w:r>
              <w:t xml:space="preserve">US contractor economy; UK custody contracts; Israeli export licensing</w:t>
            </w:r>
          </w:p>
        </w:tc>
      </w:tr>
      <w:tr>
        <w:tc>
          <w:tcPr/>
          <w:p>
            <w:pPr>
              <w:pStyle w:val="Compact"/>
              <w:jc w:val="left"/>
            </w:pPr>
            <w:r>
              <w:t xml:space="preserve">4</w:t>
            </w:r>
          </w:p>
        </w:tc>
        <w:tc>
          <w:tcPr/>
          <w:p>
            <w:pPr>
              <w:pStyle w:val="Compact"/>
              <w:jc w:val="left"/>
            </w:pPr>
            <w:r>
              <w:t xml:space="preserve">The condottieri</w:t>
            </w:r>
          </w:p>
        </w:tc>
        <w:tc>
          <w:tcPr/>
          <w:p>
            <w:pPr>
              <w:pStyle w:val="Compact"/>
              <w:jc w:val="left"/>
            </w:pPr>
            <w:r>
              <w:t xml:space="preserve">Italy (Hawkwood, Sforza)</w:t>
            </w:r>
          </w:p>
        </w:tc>
        <w:tc>
          <w:tcPr/>
          <w:p>
            <w:pPr>
              <w:pStyle w:val="Compact"/>
              <w:jc w:val="left"/>
            </w:pPr>
            <w:r>
              <w:t xml:space="preserve">The Hansa (Baltic); Venice</w:t>
            </w:r>
          </w:p>
        </w:tc>
        <w:tc>
          <w:tcPr/>
          <w:p>
            <w:pPr>
              <w:pStyle w:val="Compact"/>
              <w:jc w:val="left"/>
            </w:pPr>
            <w:r>
              <w:t xml:space="preserve">Prigozhin’s Russia (the failed from-below)</w:t>
            </w:r>
          </w:p>
        </w:tc>
        <w:tc>
          <w:tcPr/>
          <w:p>
            <w:pPr>
              <w:pStyle w:val="Compact"/>
              <w:jc w:val="left"/>
            </w:pPr>
            <w:r>
              <w:t xml:space="preserve">US Sforza-from-above; the frontier labs</w:t>
            </w:r>
          </w:p>
        </w:tc>
      </w:tr>
      <w:tr>
        <w:tc>
          <w:tcPr/>
          <w:p>
            <w:pPr>
              <w:pStyle w:val="Compact"/>
              <w:jc w:val="left"/>
            </w:pPr>
            <w:r>
              <w:t xml:space="preserve">5</w:t>
            </w:r>
          </w:p>
        </w:tc>
        <w:tc>
          <w:tcPr/>
          <w:p>
            <w:pPr>
              <w:pStyle w:val="Compact"/>
              <w:jc w:val="left"/>
            </w:pPr>
            <w:r>
              <w:t xml:space="preserve">The undermighty kings</w:t>
            </w:r>
          </w:p>
        </w:tc>
        <w:tc>
          <w:tcPr/>
          <w:p>
            <w:pPr>
              <w:pStyle w:val="Compact"/>
              <w:jc w:val="left"/>
            </w:pPr>
            <w:r>
              <w:t xml:space="preserve">England (Henry VI)</w:t>
            </w:r>
          </w:p>
        </w:tc>
        <w:tc>
          <w:tcPr/>
          <w:p>
            <w:pPr>
              <w:pStyle w:val="Compact"/>
              <w:jc w:val="left"/>
            </w:pPr>
            <w:r>
              <w:t xml:space="preserve">France (Charles VI); the Ottomans (1444–51)</w:t>
            </w:r>
          </w:p>
        </w:tc>
        <w:tc>
          <w:tcPr/>
          <w:p>
            <w:pPr>
              <w:pStyle w:val="Compact"/>
              <w:jc w:val="left"/>
            </w:pPr>
            <w:r>
              <w:t xml:space="preserve">Portugal/Aragon stable; France recovering (the pivot)</w:t>
            </w:r>
          </w:p>
        </w:tc>
        <w:tc>
          <w:tcPr/>
          <w:p>
            <w:pPr>
              <w:pStyle w:val="Compact"/>
              <w:jc w:val="left"/>
            </w:pPr>
            <w:r>
              <w:t xml:space="preserve">Somalia/Lebanon/Libya (territorial); US/EU/Japan (functional)</w:t>
            </w:r>
          </w:p>
        </w:tc>
      </w:tr>
      <w:tr>
        <w:tc>
          <w:tcPr/>
          <w:p>
            <w:pPr>
              <w:pStyle w:val="Compact"/>
              <w:jc w:val="left"/>
            </w:pPr>
            <w:r>
              <w:t xml:space="preserve">6</w:t>
            </w:r>
          </w:p>
        </w:tc>
        <w:tc>
          <w:tcPr/>
          <w:p>
            <w:pPr>
              <w:pStyle w:val="Compact"/>
              <w:jc w:val="left"/>
            </w:pPr>
            <w:r>
              <w:t xml:space="preserve">The walls</w:t>
            </w:r>
          </w:p>
        </w:tc>
        <w:tc>
          <w:tcPr/>
          <w:p>
            <w:pPr>
              <w:pStyle w:val="Compact"/>
              <w:jc w:val="left"/>
            </w:pPr>
            <w:r>
              <w:t xml:space="preserve">France (the reconquest)</w:t>
            </w:r>
          </w:p>
        </w:tc>
        <w:tc>
          <w:tcPr/>
          <w:p>
            <w:pPr>
              <w:pStyle w:val="Compact"/>
              <w:jc w:val="left"/>
            </w:pPr>
            <w:r>
              <w:t xml:space="preserve">England (the defender); Gascony (the loyalty test)</w:t>
            </w:r>
          </w:p>
        </w:tc>
        <w:tc>
          <w:tcPr/>
          <w:p>
            <w:pPr>
              <w:pStyle w:val="Compact"/>
              <w:jc w:val="left"/>
            </w:pPr>
            <w:r>
              <w:t xml:space="preserve">Fougères (ducal guns fail); Bordeaux 1452 (politics without the train)</w:t>
            </w:r>
          </w:p>
        </w:tc>
        <w:tc>
          <w:tcPr/>
          <w:p>
            <w:pPr>
              <w:pStyle w:val="Compact"/>
              <w:jc w:val="left"/>
            </w:pPr>
            <w:r>
              <w:t xml:space="preserve">1940 France; 2021 Kabul ([BRIDGE], tempo only)</w:t>
            </w:r>
          </w:p>
        </w:tc>
      </w:tr>
      <w:tr>
        <w:tc>
          <w:tcPr/>
          <w:p>
            <w:pPr>
              <w:pStyle w:val="Compact"/>
              <w:jc w:val="left"/>
            </w:pPr>
            <w:r>
              <w:t xml:space="preserve">7</w:t>
            </w:r>
          </w:p>
        </w:tc>
        <w:tc>
          <w:tcPr/>
          <w:p>
            <w:pPr>
              <w:pStyle w:val="Compact"/>
              <w:jc w:val="left"/>
            </w:pPr>
            <w:r>
              <w:t xml:space="preserve">The commons</w:t>
            </w:r>
          </w:p>
        </w:tc>
        <w:tc>
          <w:tcPr/>
          <w:p>
            <w:pPr>
              <w:pStyle w:val="Compact"/>
              <w:jc w:val="left"/>
            </w:pPr>
            <w:r>
              <w:t xml:space="preserve">England (Cade)</w:t>
            </w:r>
          </w:p>
        </w:tc>
        <w:tc>
          <w:tcPr/>
          <w:p>
            <w:pPr>
              <w:pStyle w:val="Compact"/>
              <w:jc w:val="left"/>
            </w:pPr>
            <w:r>
              <w:t xml:space="preserve">France (Praguerie); Italy (Ciompi legacy); the Empire (Bundschuh, Armer Konrad, Cologne)</w:t>
            </w:r>
          </w:p>
        </w:tc>
        <w:tc>
          <w:tcPr/>
          <w:p>
            <w:pPr>
              <w:pStyle w:val="Compact"/>
              <w:jc w:val="left"/>
            </w:pPr>
            <w:r>
              <w:t xml:space="preserve">The Merfolds (the genuinely revolutionary contrast)</w:t>
            </w:r>
          </w:p>
        </w:tc>
        <w:tc>
          <w:tcPr/>
          <w:p>
            <w:pPr>
              <w:pStyle w:val="Compact"/>
              <w:jc w:val="left"/>
            </w:pPr>
            <w:r>
              <w:t xml:space="preserve">Brexit UK; US; France (gilets jaunes); Italy (M5S, the exception); Germany (AfD, the exchange)</w:t>
            </w:r>
          </w:p>
        </w:tc>
      </w:tr>
      <w:tr>
        <w:tc>
          <w:tcPr/>
          <w:p>
            <w:pPr>
              <w:pStyle w:val="Compact"/>
              <w:jc w:val="left"/>
            </w:pPr>
            <w:r>
              <w:t xml:space="preserve">8</w:t>
            </w:r>
          </w:p>
        </w:tc>
        <w:tc>
          <w:tcPr/>
          <w:p>
            <w:pPr>
              <w:pStyle w:val="Compact"/>
              <w:jc w:val="left"/>
            </w:pPr>
            <w:r>
              <w:t xml:space="preserve">Private justice</w:t>
            </w:r>
          </w:p>
        </w:tc>
        <w:tc>
          <w:tcPr/>
          <w:p>
            <w:pPr>
              <w:pStyle w:val="Compact"/>
              <w:jc w:val="left"/>
            </w:pPr>
            <w:r>
              <w:t xml:space="preserve">England (the Pastons)</w:t>
            </w:r>
          </w:p>
        </w:tc>
        <w:tc>
          <w:tcPr/>
          <w:p>
            <w:pPr>
              <w:pStyle w:val="Compact"/>
              <w:jc w:val="left"/>
            </w:pPr>
            <w:r>
              <w:t xml:space="preserve">The Empire (Fehde/Landfrieden); Italy (vendetta/pax)</w:t>
            </w:r>
          </w:p>
        </w:tc>
        <w:tc>
          <w:tcPr/>
          <w:p>
            <w:pPr>
              <w:pStyle w:val="Compact"/>
              <w:jc w:val="left"/>
            </w:pPr>
            <w:r>
              <w:t xml:space="preserve">The Empire post-1495 (assertion without substrate)</w:t>
            </w:r>
          </w:p>
        </w:tc>
        <w:tc>
          <w:tcPr/>
          <w:p>
            <w:pPr>
              <w:pStyle w:val="Compact"/>
              <w:jc w:val="left"/>
            </w:pPr>
            <w:r>
              <w:t xml:space="preserve">Arbitration/ISDS; platform courts; crypto; offshore</w:t>
            </w:r>
          </w:p>
        </w:tc>
      </w:tr>
      <w:tr>
        <w:tc>
          <w:tcPr/>
          <w:p>
            <w:pPr>
              <w:pStyle w:val="Compact"/>
              <w:jc w:val="left"/>
            </w:pPr>
            <w:r>
              <w:t xml:space="preserve">9</w:t>
            </w:r>
          </w:p>
        </w:tc>
        <w:tc>
          <w:tcPr/>
          <w:p>
            <w:pPr>
              <w:pStyle w:val="Compact"/>
              <w:jc w:val="left"/>
            </w:pPr>
            <w:r>
              <w:t xml:space="preserve">The two bodies</w:t>
            </w:r>
          </w:p>
        </w:tc>
        <w:tc>
          <w:tcPr/>
          <w:p>
            <w:pPr>
              <w:pStyle w:val="Compact"/>
              <w:jc w:val="left"/>
            </w:pPr>
            <w:r>
              <w:t xml:space="preserve">England (the protectorates)</w:t>
            </w:r>
          </w:p>
        </w:tc>
        <w:tc>
          <w:tcPr/>
          <w:p>
            <w:pPr>
              <w:pStyle w:val="Compact"/>
              <w:jc w:val="left"/>
            </w:pPr>
            <w:r>
              <w:t xml:space="preserve">France (the 1393/1403 ordinances); Troyes (the dual monarchy)</w:t>
            </w:r>
          </w:p>
        </w:tc>
        <w:tc>
          <w:tcPr/>
          <w:p>
            <w:pPr>
              <w:pStyle w:val="Compact"/>
              <w:jc w:val="left"/>
            </w:pPr>
            <w:r>
              <w:t xml:space="preserve">England’s refused vs France’s legislated substitute</w:t>
            </w:r>
          </w:p>
        </w:tc>
        <w:tc>
          <w:tcPr/>
          <w:p>
            <w:pPr>
              <w:pStyle w:val="Compact"/>
              <w:jc w:val="left"/>
            </w:pPr>
            <w:r>
              <w:t xml:space="preserve">US/Meta/Alphabet charters; China’s term-limit removal; OpenAI board</w:t>
            </w:r>
          </w:p>
        </w:tc>
      </w:tr>
      <w:tr>
        <w:tc>
          <w:tcPr/>
          <w:p>
            <w:pPr>
              <w:pStyle w:val="Compact"/>
              <w:jc w:val="left"/>
            </w:pPr>
            <w:r>
              <w:t xml:space="preserve">10</w:t>
            </w:r>
          </w:p>
        </w:tc>
        <w:tc>
          <w:tcPr/>
          <w:p>
            <w:pPr>
              <w:pStyle w:val="Compact"/>
              <w:jc w:val="left"/>
            </w:pPr>
            <w:r>
              <w:t xml:space="preserve">The artillery state</w:t>
            </w:r>
          </w:p>
        </w:tc>
        <w:tc>
          <w:tcPr/>
          <w:p>
            <w:pPr>
              <w:pStyle w:val="Compact"/>
              <w:jc w:val="left"/>
            </w:pPr>
            <w:r>
              <w:t xml:space="preserve">France (companies, taille, Bureau service)</w:t>
            </w:r>
          </w:p>
        </w:tc>
        <w:tc>
          <w:tcPr/>
          <w:p>
            <w:pPr>
              <w:pStyle w:val="Compact"/>
              <w:jc w:val="left"/>
            </w:pPr>
            <w:r>
              <w:t xml:space="preserve">Burgundy; the Swiss Confederation</w:t>
            </w:r>
          </w:p>
        </w:tc>
        <w:tc>
          <w:tcPr/>
          <w:p>
            <w:pPr>
              <w:pStyle w:val="Compact"/>
              <w:jc w:val="left"/>
            </w:pPr>
            <w:r>
              <w:t xml:space="preserve">Burgundy (centre fails); Swiss (no compulsion); England (fisc fails)</w:t>
            </w:r>
          </w:p>
        </w:tc>
        <w:tc>
          <w:tcPr/>
          <w:p>
            <w:pPr>
              <w:pStyle w:val="Compact"/>
              <w:jc w:val="left"/>
            </w:pPr>
            <w:r>
              <w:t xml:space="preserve">US, China, EU, India — the four-layer stack</w:t>
            </w:r>
          </w:p>
        </w:tc>
      </w:tr>
      <w:tr>
        <w:tc>
          <w:tcPr/>
          <w:p>
            <w:pPr>
              <w:pStyle w:val="Compact"/>
              <w:jc w:val="left"/>
            </w:pPr>
            <w:r>
              <w:t xml:space="preserve">11</w:t>
            </w:r>
          </w:p>
        </w:tc>
        <w:tc>
          <w:tcPr/>
          <w:p>
            <w:pPr>
              <w:pStyle w:val="Compact"/>
              <w:jc w:val="left"/>
            </w:pPr>
            <w:r>
              <w:t xml:space="preserve">The new monarchies</w:t>
            </w:r>
          </w:p>
        </w:tc>
        <w:tc>
          <w:tcPr/>
          <w:p>
            <w:pPr>
              <w:pStyle w:val="Compact"/>
              <w:jc w:val="left"/>
            </w:pPr>
            <w:r>
              <w:t xml:space="preserve">England (Henry VII)</w:t>
            </w:r>
          </w:p>
        </w:tc>
        <w:tc>
          <w:tcPr/>
          <w:p>
            <w:pPr>
              <w:pStyle w:val="Compact"/>
              <w:jc w:val="left"/>
            </w:pPr>
            <w:r>
              <w:t xml:space="preserve">France (extended); Spain (Ferdinand &amp; Isabella); the Ottomans (Mehmed II)</w:t>
            </w:r>
          </w:p>
        </w:tc>
        <w:tc>
          <w:tcPr/>
          <w:p>
            <w:pPr>
              <w:pStyle w:val="Compact"/>
              <w:jc w:val="left"/>
            </w:pPr>
            <w:r>
              <w:t xml:space="preserve">The Habsburg composite (noted, different path)</w:t>
            </w:r>
          </w:p>
        </w:tc>
        <w:tc>
          <w:tcPr/>
          <w:p>
            <w:pPr>
              <w:pStyle w:val="Compact"/>
              <w:jc w:val="left"/>
            </w:pPr>
            <w:r>
              <w:t xml:space="preserve">The five moves across all four blocs</w:t>
            </w:r>
          </w:p>
        </w:tc>
      </w:tr>
      <w:tr>
        <w:tc>
          <w:tcPr/>
          <w:p>
            <w:pPr>
              <w:pStyle w:val="Compact"/>
              <w:jc w:val="left"/>
            </w:pPr>
            <w:r>
              <w:t xml:space="preserve">12</w:t>
            </w:r>
          </w:p>
        </w:tc>
        <w:tc>
          <w:tcPr/>
          <w:p>
            <w:pPr>
              <w:pStyle w:val="Compact"/>
              <w:jc w:val="left"/>
            </w:pPr>
            <w:r>
              <w:t xml:space="preserve">The synthesis</w:t>
            </w:r>
          </w:p>
        </w:tc>
        <w:tc>
          <w:tcPr/>
          <w:p>
            <w:pPr>
              <w:pStyle w:val="Compact"/>
              <w:jc w:val="left"/>
            </w:pPr>
            <w:r>
              <w:t xml:space="preserve">(all four blocs)</w:t>
            </w:r>
          </w:p>
        </w:tc>
        <w:tc>
          <w:tcPr/>
          <w:p>
            <w:pPr>
              <w:pStyle w:val="Compact"/>
              <w:jc w:val="left"/>
            </w:pPr>
            <w:r>
              <w:t xml:space="preserve">Tudor England as anchor</w:t>
            </w:r>
          </w:p>
        </w:tc>
        <w:tc>
          <w:tcPr/>
          <w:p>
            <w:pPr>
              <w:pStyle w:val="Compact"/>
              <w:jc w:val="left"/>
            </w:pPr>
            <w:r>
              <w:t xml:space="preserve">The EU under the Depreter test</w:t>
            </w:r>
          </w:p>
        </w:tc>
        <w:tc>
          <w:tcPr/>
          <w:p>
            <w:pPr>
              <w:pStyle w:val="Compact"/>
              <w:jc w:val="left"/>
            </w:pPr>
            <w:r>
              <w:t xml:space="preserve">US probable; China executed; EU conditional; India possible</w:t>
            </w:r>
          </w:p>
        </w:tc>
      </w:tr>
    </w:tbl>
    <w:p>
      <w:pPr>
        <w:pStyle w:val="BodyText"/>
      </w:pPr>
      <w:r>
        <w:rPr>
          <w:bCs/>
          <w:b/>
        </w:rPr>
        <w:t xml:space="preserve">The rule’s exceptions, declared:</w:t>
      </w:r>
      <w:r>
        <w:t xml:space="preserve"> </w:t>
      </w:r>
      <w:r>
        <w:t xml:space="preserve">chapters 1, 2 and 12 are</w:t>
      </w:r>
      <w:r>
        <w:t xml:space="preserve"> </w:t>
      </w:r>
      <w:r>
        <w:t xml:space="preserve">literature, structural and synthesis chapters respectively; their</w:t>
      </w:r>
      <w:r>
        <w:t xml:space="preserve"> </w:t>
      </w:r>
      <w:r>
        <w:t xml:space="preserve">comparative obligation is carried by the material they organise rather</w:t>
      </w:r>
      <w:r>
        <w:t xml:space="preserve"> </w:t>
      </w:r>
      <w:r>
        <w:t xml:space="preserve">than a single primary polity. Nowhere in the book does an</w:t>
      </w:r>
      <w:r>
        <w:t xml:space="preserve"> </w:t>
      </w:r>
      <w:r>
        <w:t xml:space="preserve">English-leaning argument stand on England alone.</w:t>
      </w:r>
    </w:p>
    <w:p>
      <w:pPr>
        <w:pStyle w:val="BodyText"/>
      </w:pPr>
      <w:r>
        <w:t xml:space="preserve">STATUS: ASSEMBLED — PENDING HUMAN REVIEW</w:t>
      </w:r>
    </w:p>
    <w:bookmarkStart w:id="152" w:name="e5.-appendix-c"/>
    <w:p>
      <w:pPr>
        <w:pStyle w:val="Heading2"/>
      </w:pPr>
      <w:r>
        <w:t xml:space="preserve">E5. Appendix C</w:t>
      </w:r>
    </w:p>
    <w:bookmarkEnd w:id="152"/>
    <w:bookmarkEnd w:id="153"/>
    <w:bookmarkStart w:id="158" w:name="appendix-c-leading-indicators"/>
    <w:p>
      <w:pPr>
        <w:pStyle w:val="Heading1"/>
      </w:pPr>
      <w:r>
        <w:t xml:space="preserve">Appendix C — Leading Indicators</w:t>
      </w:r>
    </w:p>
    <w:p>
      <w:pPr>
        <w:pStyle w:val="FirstParagraph"/>
      </w:pPr>
      <w:r>
        <w:rPr>
          <w:iCs/>
          <w:i/>
        </w:rPr>
        <w:t xml:space="preserve">ASSEMBLED (first assembly, 2026-08-02) from the running candidate list</w:t>
      </w:r>
      <w:r>
        <w:rPr>
          <w:iCs/>
          <w:i/>
        </w:rPr>
        <w:t xml:space="preserve"> </w:t>
      </w:r>
      <w:r>
        <w:rPr>
          <w:iCs/>
          <w:i/>
        </w:rPr>
        <w:t xml:space="preserve">(appendix-c/memo.md, 31 candidates) per the coda brief: consolidated to</w:t>
      </w:r>
      <w:r>
        <w:rPr>
          <w:iCs/>
          <w:i/>
        </w:rPr>
        <w:t xml:space="preserve"> </w:t>
      </w:r>
      <w:r>
        <w:rPr>
          <w:iCs/>
          <w:i/>
        </w:rPr>
        <w:t xml:space="preserve">fifteen scored indicators, each measurable, dated, sourced, with baseline</w:t>
      </w:r>
      <w:r>
        <w:rPr>
          <w:iCs/>
          <w:i/>
        </w:rPr>
        <w:t xml:space="preserve"> </w:t>
      </w:r>
      <w:r>
        <w:rPr>
          <w:iCs/>
          <w:i/>
        </w:rPr>
        <w:t xml:space="preserve">and directional prediction. Indicator IDs are preserved from the chapter</w:t>
      </w:r>
      <w:r>
        <w:rPr>
          <w:iCs/>
          <w:i/>
        </w:rPr>
        <w:t xml:space="preserve"> </w:t>
      </w:r>
      <w:r>
        <w:rPr>
          <w:iCs/>
          <w:i/>
        </w:rPr>
        <w:t xml:space="preserve">research so that the Introduction’s falsifiability passage (quoted</w:t>
      </w:r>
      <w:r>
        <w:rPr>
          <w:iCs/>
          <w:i/>
        </w:rPr>
        <w:t xml:space="preserve"> </w:t>
      </w:r>
      <w:r>
        <w:rPr>
          <w:iCs/>
          <w:i/>
        </w:rPr>
        <w:t xml:space="preserve">verbatim there) resolves correctly; a concordance of absorbed candidates</w:t>
      </w:r>
      <w:r>
        <w:rPr>
          <w:iCs/>
          <w:i/>
        </w:rPr>
        <w:t xml:space="preserve"> </w:t>
      </w:r>
      <w:r>
        <w:rPr>
          <w:iCs/>
          <w:i/>
        </w:rPr>
        <w:t xml:space="preserve">is at the foot. Baselines cite the reviewed record; [RE-CHECK AT PRESS]</w:t>
      </w:r>
      <w:r>
        <w:rPr>
          <w:iCs/>
          <w:i/>
        </w:rPr>
        <w:t xml:space="preserve"> </w:t>
      </w:r>
      <w:r>
        <w:rPr>
          <w:iCs/>
          <w:i/>
        </w:rPr>
        <w:t xml:space="preserve">applies to every contemporary figure. Discipline per CLAUDE.md §9: no</w:t>
      </w:r>
      <w:r>
        <w:rPr>
          <w:iCs/>
          <w:i/>
        </w:rPr>
        <w:t xml:space="preserve"> </w:t>
      </w:r>
      <w:r>
        <w:rPr>
          <w:iCs/>
          <w:i/>
        </w:rPr>
        <w:t xml:space="preserve">indicator appears without a sourced baseline.</w:t>
      </w:r>
    </w:p>
    <w:p>
      <w:r>
        <w:pict>
          <v:rect style="width:0;height:1.5pt" o:hralign="center" o:hrstd="t" o:hr="t"/>
        </w:pict>
      </w:r>
    </w:p>
    <w:bookmarkStart w:id="154" w:name="how-to-score-this-book"/>
    <w:p>
      <w:pPr>
        <w:pStyle w:val="Heading2"/>
      </w:pPr>
      <w:r>
        <w:t xml:space="preserve">How to score this book</w:t>
      </w:r>
    </w:p>
    <w:p>
      <w:pPr>
        <w:pStyle w:val="FirstParagraph"/>
      </w:pPr>
      <w:r>
        <w:t xml:space="preserve">The wager (Introduction, §III) fails if the indicators below move</w:t>
      </w:r>
      <w:r>
        <w:t xml:space="preserve"> </w:t>
      </w:r>
      <w:r>
        <w:t xml:space="preserve">against it in the directions stated, over the fifteen-year horizon from</w:t>
      </w:r>
      <w:r>
        <w:t xml:space="preserve"> </w:t>
      </w:r>
      <w:r>
        <w:t xml:space="preserve">publication. Two framing devices precede the numbered indicators.</w:t>
      </w:r>
    </w:p>
    <w:p>
      <w:pPr>
        <w:pStyle w:val="BodyText"/>
      </w:pPr>
      <w:r>
        <w:rPr>
          <w:bCs/>
          <w:b/>
        </w:rPr>
        <w:t xml:space="preserve">The context variable (formerly C1-1): exogenous territorialising</w:t>
      </w:r>
      <w:r>
        <w:rPr>
          <w:bCs/>
          <w:b/>
        </w:rPr>
        <w:t xml:space="preserve"> </w:t>
      </w:r>
      <w:r>
        <w:rPr>
          <w:bCs/>
          <w:b/>
        </w:rPr>
        <w:t xml:space="preserve">pressure.</w:t>
      </w:r>
      <w:r>
        <w:t xml:space="preserve"> </w:t>
      </w:r>
      <w:r>
        <w:t xml:space="preserve">Cerny’s absent variable, returned. Baseline (2025–26): the</w:t>
      </w:r>
      <w:r>
        <w:t xml:space="preserve"> </w:t>
      </w:r>
      <w:r>
        <w:t xml:space="preserve">NATO Hague pledge of 24–25 June 2025 (</w:t>
      </w:r>
      <w:r>
        <w:t xml:space="preserve">“</w:t>
      </w:r>
      <w:r>
        <w:t xml:space="preserve">invest 5% of GDP annually… by</w:t>
      </w:r>
      <w:r>
        <w:t xml:space="preserve"> </w:t>
      </w:r>
      <w:r>
        <w:t xml:space="preserve">2035</w:t>
      </w:r>
      <w:r>
        <w:t xml:space="preserve">”</w:t>
      </w:r>
      <w:r>
        <w:t xml:space="preserve">); ReArm Europe’s €800bn envelope (4 March 2025); China’s 15th</w:t>
      </w:r>
      <w:r>
        <w:t xml:space="preserve"> </w:t>
      </w:r>
      <w:r>
        <w:t xml:space="preserve">Five-Year Plan self-reliance headline (March 2026); and a great-power</w:t>
      </w:r>
      <w:r>
        <w:t xml:space="preserve"> </w:t>
      </w:r>
      <w:r>
        <w:t xml:space="preserve">war on the record (CRS R48887, March 2026). Direction: the book expects</w:t>
      </w:r>
      <w:r>
        <w:t xml:space="preserve"> </w:t>
      </w:r>
      <w:r>
        <w:t xml:space="preserve">this pressure sustained; a lapse to post-Cold-War absence weakens every</w:t>
      </w:r>
      <w:r>
        <w:t xml:space="preserve"> </w:t>
      </w:r>
      <w:r>
        <w:t xml:space="preserve">indicator below.</w:t>
      </w:r>
    </w:p>
    <w:p>
      <w:pPr>
        <w:pStyle w:val="BodyText"/>
      </w:pPr>
      <w:r>
        <w:rPr>
          <w:bCs/>
          <w:b/>
        </w:rPr>
        <w:t xml:space="preserve">C11-1 — The five-move scorecard (the assembly table).</w:t>
      </w:r>
      <w:r>
        <w:t xml:space="preserve"> </w:t>
      </w:r>
      <w:r>
        <w:t xml:space="preserve">Each bloc</w:t>
      </w:r>
      <w:r>
        <w:t xml:space="preserve"> </w:t>
      </w:r>
      <w:r>
        <w:t xml:space="preserve">(US, China, EU, India) scored annually on the five moves: fiscal</w:t>
      </w:r>
      <w:r>
        <w:t xml:space="preserve"> </w:t>
      </w:r>
      <w:r>
        <w:t xml:space="preserve">absorption of platform surplus; subordination of great subjects</w:t>
      </w:r>
      <w:r>
        <w:t xml:space="preserve"> </w:t>
      </w:r>
      <w:r>
        <w:t xml:space="preserve">(enforced and upheld); domestication of private force; canonical</w:t>
      </w:r>
      <w:r>
        <w:t xml:space="preserve"> </w:t>
      </w:r>
      <w:r>
        <w:t xml:space="preserve">assertion (enforced, not merely enacted); communications/legibility</w:t>
      </w:r>
      <w:r>
        <w:t xml:space="preserve"> </w:t>
      </w:r>
      <w:r>
        <w:t xml:space="preserve">mobilisation. Baseline (mid-2026): the ch11 §VI record — US 4/5 moves</w:t>
      </w:r>
      <w:r>
        <w:t xml:space="preserve"> </w:t>
      </w:r>
      <w:r>
        <w:t xml:space="preserve">in execution (fiscal absorption partial), China 5/5 in execution, EU</w:t>
      </w:r>
      <w:r>
        <w:t xml:space="preserve"> </w:t>
      </w:r>
      <w:r>
        <w:t xml:space="preserve">2/5 enforced (canon enacted but delayed; no fisc), India 2/5</w:t>
      </w:r>
      <w:r>
        <w:t xml:space="preserve"> </w:t>
      </w:r>
      <w:r>
        <w:t xml:space="preserve">(legibility and fiscal; military-industrial lagging). Direction: the</w:t>
      </w:r>
      <w:r>
        <w:t xml:space="preserve"> </w:t>
      </w:r>
      <w:r>
        <w:t xml:space="preserve">wager’s condition 4 fails the book if the scorecard stalls across all</w:t>
      </w:r>
      <w:r>
        <w:t xml:space="preserve"> </w:t>
      </w:r>
      <w:r>
        <w:t xml:space="preserve">four candidates.</w:t>
      </w:r>
    </w:p>
    <w:p>
      <w:r>
        <w:pict>
          <v:rect style="width:0;height:1.5pt" o:hralign="center" o:hrstd="t" o:hr="t"/>
        </w:pict>
      </w:r>
    </w:p>
    <w:bookmarkEnd w:id="154"/>
    <w:bookmarkStart w:id="155" w:name="the-indicators"/>
    <w:p>
      <w:pPr>
        <w:pStyle w:val="Heading2"/>
      </w:pPr>
      <w:r>
        <w:t xml:space="preserve">The indicators</w:t>
      </w:r>
    </w:p>
    <w:p>
      <w:pPr>
        <w:pStyle w:val="FirstParagraph"/>
      </w:pPr>
      <w:r>
        <w:rPr>
          <w:bCs/>
          <w:b/>
        </w:rPr>
        <w:t xml:space="preserve">C10-2 — Leading-node concentration ratio</w:t>
      </w:r>
      <w:r>
        <w:t xml:space="preserve"> </w:t>
      </w:r>
      <w:r>
        <w:rPr>
          <w:iCs/>
          <w:i/>
        </w:rPr>
        <w:t xml:space="preserve">(absorbs C6-1)</w:t>
      </w:r>
      <w:r>
        <w:t xml:space="preserve">.</w:t>
      </w:r>
      <w:r>
        <w:t xml:space="preserve"> </w:t>
      </w:r>
      <w:r>
        <w:t xml:space="preserve">Measures: polities/jurisdictions able independently to field the</w:t>
      </w:r>
      <w:r>
        <w:t xml:space="preserve"> </w:t>
      </w:r>
      <w:r>
        <w:t xml:space="preserve">decisive layer (leading-node fabrication; proliferated military LEO;</w:t>
      </w:r>
      <w:r>
        <w:t xml:space="preserve"> </w:t>
      </w:r>
      <w:r>
        <w:t xml:space="preserve">hyperscale sovereign compute; peer-war munitions base). Baseline: 100%</w:t>
      </w:r>
      <w:r>
        <w:t xml:space="preserve"> </w:t>
      </w:r>
      <w:r>
        <w:t xml:space="preserve">of sub-10nm capacity in Taiwan (92%) and South Korea (8%) (SIA/BCG,</w:t>
      </w:r>
      <w:r>
        <w:t xml:space="preserve"> </w:t>
      </w:r>
      <w:r>
        <w:t xml:space="preserve">April 2021); one EUV supplier on earth, none shipped to China; two</w:t>
      </w:r>
      <w:r>
        <w:t xml:space="preserve"> </w:t>
      </w:r>
      <w:r>
        <w:t xml:space="preserve">polities flying proliferated military-relevant LEO (mid-2026).</w:t>
      </w:r>
      <w:r>
        <w:t xml:space="preserve"> </w:t>
      </w:r>
      <w:r>
        <w:t xml:space="preserve">Direction: count holds at ≤4 → thesis holds; rises materially above</w:t>
      </w:r>
      <w:r>
        <w:t xml:space="preserve"> </w:t>
      </w:r>
      <w:r>
        <w:t xml:space="preserve">four → wager condition 1 fails the book.</w:t>
      </w:r>
    </w:p>
    <w:p>
      <w:pPr>
        <w:pStyle w:val="BodyText"/>
      </w:pPr>
      <w:r>
        <w:rPr>
          <w:bCs/>
          <w:b/>
        </w:rPr>
        <w:t xml:space="preserve">C10-1 — Public financing of the military-relevant stack</w:t>
      </w:r>
      <w:r>
        <w:t xml:space="preserve"> </w:t>
      </w:r>
      <w:r>
        <w:rPr>
          <w:iCs/>
          <w:i/>
        </w:rPr>
        <w:t xml:space="preserve">(absorbs</w:t>
      </w:r>
      <w:r>
        <w:rPr>
          <w:iCs/>
          <w:i/>
        </w:rPr>
        <w:t xml:space="preserve"> </w:t>
      </w:r>
      <w:r>
        <w:rPr>
          <w:iCs/>
          <w:i/>
        </w:rPr>
        <w:t xml:space="preserve">C6-2)</w:t>
      </w:r>
      <w:r>
        <w:t xml:space="preserve">. Measures: central-budget lines for the stack, and their form</w:t>
      </w:r>
      <w:r>
        <w:t xml:space="preserve"> </w:t>
      </w:r>
      <w:r>
        <w:t xml:space="preserve">(subsidy → equity → ownership). Baseline: CHIPS $52.7bn appropriated</w:t>
      </w:r>
      <w:r>
        <w:t xml:space="preserve"> </w:t>
      </w:r>
      <w:r>
        <w:t xml:space="preserve">(Pub. L. 117-167, 9 Aug 2022) with the $8.9bn grant-to-equity</w:t>
      </w:r>
      <w:r>
        <w:t xml:space="preserve"> </w:t>
      </w:r>
      <w:r>
        <w:t xml:space="preserve">conversion (~10% of Intel, 22 Aug 2025); Big Fund III RMB 344bn (May</w:t>
      </w:r>
      <w:r>
        <w:t xml:space="preserve"> </w:t>
      </w:r>
      <w:r>
        <w:t xml:space="preserve">2024); EU Chips Act with ~€4.5bn directly Commission-controlled and</w:t>
      </w:r>
      <w:r>
        <w:t xml:space="preserve"> </w:t>
      </w:r>
      <w:r>
        <w:t xml:space="preserve">Magdeburg cancelled (July 2025). Direction: rising public share and</w:t>
      </w:r>
      <w:r>
        <w:t xml:space="preserve"> </w:t>
      </w:r>
      <w:r>
        <w:t xml:space="preserve">escalating form (toward equity/ownership) → thesis holds.</w:t>
      </w:r>
    </w:p>
    <w:p>
      <w:pPr>
        <w:pStyle w:val="BodyText"/>
      </w:pPr>
      <w:r>
        <w:rPr>
          <w:bCs/>
          <w:b/>
        </w:rPr>
        <w:t xml:space="preserve">C10-3 — Decisive-layer delivery gap</w:t>
      </w:r>
      <w:r>
        <w:t xml:space="preserve"> </w:t>
      </w:r>
      <w:r>
        <w:rPr>
          <w:iCs/>
          <w:i/>
        </w:rPr>
        <w:t xml:space="preserve">(incorporates C5-1)</w:t>
      </w:r>
      <w:r>
        <w:t xml:space="preserve">.</w:t>
      </w:r>
      <w:r>
        <w:t xml:space="preserve"> </w:t>
      </w:r>
      <w:r>
        <w:t xml:space="preserve">Measures: stated capability targets vs audited actuals. Baseline:</w:t>
      </w:r>
      <w:r>
        <w:t xml:space="preserve"> </w:t>
      </w:r>
      <w:r>
        <w:t xml:space="preserve">155mm at ~36k/month actual (DoD IG, March 2026) against the 100k</w:t>
      </w:r>
      <w:r>
        <w:t xml:space="preserve"> </w:t>
      </w:r>
      <w:r>
        <w:t xml:space="preserve">goal; average major-system fielding &gt;12 years, lead frigate 3+ years</w:t>
      </w:r>
      <w:r>
        <w:t xml:space="preserve"> </w:t>
      </w:r>
      <w:r>
        <w:t xml:space="preserve">late (GAO); NDIS (Jan 2024): the base</w:t>
      </w:r>
      <w:r>
        <w:t xml:space="preserve"> </w:t>
      </w:r>
      <w:r>
        <w:t xml:space="preserve">“</w:t>
      </w:r>
      <w:r>
        <w:t xml:space="preserve">does not possess the</w:t>
      </w:r>
      <w:r>
        <w:t xml:space="preserve"> </w:t>
      </w:r>
      <w:r>
        <w:t xml:space="preserve">capacity… required.</w:t>
      </w:r>
      <w:r>
        <w:t xml:space="preserve">”</w:t>
      </w:r>
      <w:r>
        <w:t xml:space="preserve"> </w:t>
      </w:r>
      <w:r>
        <w:t xml:space="preserve">Direction: a closing gap → consolidation</w:t>
      </w:r>
      <w:r>
        <w:t xml:space="preserve"> </w:t>
      </w:r>
      <w:r>
        <w:t xml:space="preserve">executing; a chronically open gap → the artillery-state response</w:t>
      </w:r>
      <w:r>
        <w:t xml:space="preserve"> </w:t>
      </w:r>
      <w:r>
        <w:t xml:space="preserve">failing in the probable case — scored against the US candidacy, not</w:t>
      </w:r>
      <w:r>
        <w:t xml:space="preserve"> </w:t>
      </w:r>
      <w:r>
        <w:t xml:space="preserve">the mechanism.</w:t>
      </w:r>
    </w:p>
    <w:p>
      <w:pPr>
        <w:pStyle w:val="BodyText"/>
      </w:pPr>
      <w:r>
        <w:rPr>
          <w:bCs/>
          <w:b/>
        </w:rPr>
        <w:t xml:space="preserve">C12-1 — Patron-dependence of the distributed layer</w:t>
      </w:r>
      <w:r>
        <w:t xml:space="preserve"> </w:t>
      </w:r>
      <w:r>
        <w:rPr>
          <w:iCs/>
          <w:i/>
        </w:rPr>
        <w:t xml:space="preserve">(replaces</w:t>
      </w:r>
      <w:r>
        <w:rPr>
          <w:iCs/>
          <w:i/>
        </w:rPr>
        <w:t xml:space="preserve"> </w:t>
      </w:r>
      <w:r>
        <w:rPr>
          <w:iCs/>
          <w:i/>
        </w:rPr>
        <w:t xml:space="preserve">C6-4)</w:t>
      </w:r>
      <w:r>
        <w:t xml:space="preserve">. Measures: whether cheap distributed systems operate without a</w:t>
      </w:r>
      <w:r>
        <w:t xml:space="preserve"> </w:t>
      </w:r>
      <w:r>
        <w:t xml:space="preserve">patron’s intelligence, connectivity and interceptor layers. Baseline:</w:t>
      </w:r>
      <w:r>
        <w:t xml:space="preserve"> </w:t>
      </w:r>
      <w:r>
        <w:t xml:space="preserve">the March 2025 suspension week (aid 3rd; intelligence ~5th; imagery</w:t>
      </w:r>
      <w:r>
        <w:t xml:space="preserve"> </w:t>
      </w:r>
      <w:r>
        <w:t xml:space="preserve">8th; restoration 11th); ~42,000 Starlink terminals as the backbone;</w:t>
      </w:r>
      <w:r>
        <w:t xml:space="preserve"> </w:t>
      </w:r>
      <w:r>
        <w:t xml:space="preserve">Patriot stock at ~25% of planning requirement (July 2025). Direction:</w:t>
      </w:r>
      <w:r>
        <w:t xml:space="preserve"> </w:t>
      </w:r>
      <w:r>
        <w:t xml:space="preserve">a full-stack power defeated by unpatroned distributed systems fails</w:t>
      </w:r>
      <w:r>
        <w:t xml:space="preserve"> </w:t>
      </w:r>
      <w:r>
        <w:t xml:space="preserve">wager condition 1.</w:t>
      </w:r>
    </w:p>
    <w:p>
      <w:pPr>
        <w:pStyle w:val="BodyText"/>
      </w:pPr>
      <w:r>
        <w:rPr>
          <w:bCs/>
          <w:b/>
        </w:rPr>
        <w:t xml:space="preserve">C12-2 — Industrialisation of the cheap layer.</w:t>
      </w:r>
      <w:r>
        <w:t xml:space="preserve"> </w:t>
      </w:r>
      <w:r>
        <w:t xml:space="preserve">Measures: whether</w:t>
      </w:r>
      <w:r>
        <w:t xml:space="preserve"> </w:t>
      </w:r>
      <w:r>
        <w:t xml:space="preserve">the distributed layer’s scaling re-concentrates into state industrial</w:t>
      </w:r>
      <w:r>
        <w:t xml:space="preserve"> </w:t>
      </w:r>
      <w:r>
        <w:t xml:space="preserve">policy. Baseline: Ukraine 2.2M drones produced 2024 (Zelensky, Feb</w:t>
      </w:r>
      <w:r>
        <w:t xml:space="preserve"> </w:t>
      </w:r>
      <w:r>
        <w:t xml:space="preserve">2025), ~3M FPVs delivered 2025 (Shmyhal, Dec 2025); Russian Shahed</w:t>
      </w:r>
      <w:r>
        <w:t xml:space="preserve"> </w:t>
      </w:r>
      <w:r>
        <w:t xml:space="preserve">launches from ~200/week to &gt;1,000/week by March 2025 (CSIS); the</w:t>
      </w:r>
      <w:r>
        <w:t xml:space="preserve"> </w:t>
      </w:r>
      <w:r>
        <w:t xml:space="preserve">805-drone night of 6–7 Sept 2025 (Ukrainian Air Force). Direction:</w:t>
      </w:r>
      <w:r>
        <w:t xml:space="preserve"> </w:t>
      </w:r>
      <w:r>
        <w:t xml:space="preserve">continued industrialisation → the</w:t>
      </w:r>
      <w:r>
        <w:t xml:space="preserve"> </w:t>
      </w:r>
      <w:r>
        <w:t xml:space="preserve">“</w:t>
      </w:r>
      <w:r>
        <w:t xml:space="preserve">cheap</w:t>
      </w:r>
      <w:r>
        <w:t xml:space="preserve">”</w:t>
      </w:r>
      <w:r>
        <w:t xml:space="preserve"> </w:t>
      </w:r>
      <w:r>
        <w:t xml:space="preserve">layer confirms, rather than</w:t>
      </w:r>
      <w:r>
        <w:t xml:space="preserve"> </w:t>
      </w:r>
      <w:r>
        <w:t xml:space="preserve">refutes, the fiscal-military pattern.</w:t>
      </w:r>
    </w:p>
    <w:p>
      <w:pPr>
        <w:pStyle w:val="BodyText"/>
      </w:pPr>
      <w:r>
        <w:rPr>
          <w:bCs/>
          <w:b/>
        </w:rPr>
        <w:t xml:space="preserve">C2-1 — Nationalisation-of-function index</w:t>
      </w:r>
      <w:r>
        <w:t xml:space="preserve"> </w:t>
      </w:r>
      <w:r>
        <w:rPr>
          <w:iCs/>
          <w:i/>
        </w:rPr>
        <w:t xml:space="preserve">(pairs with C4-1)</w:t>
      </w:r>
      <w:r>
        <w:t xml:space="preserve">.</w:t>
      </w:r>
      <w:r>
        <w:t xml:space="preserve"> </w:t>
      </w:r>
      <w:r>
        <w:t xml:space="preserve">Measures: state absorption of platform functions (identity, payments,</w:t>
      </w:r>
      <w:r>
        <w:t xml:space="preserve"> </w:t>
      </w:r>
      <w:r>
        <w:t xml:space="preserve">compute, orbital, model provision) into public or publicly-controlled</w:t>
      </w:r>
      <w:r>
        <w:t xml:space="preserve"> </w:t>
      </w:r>
      <w:r>
        <w:t xml:space="preserve">instruments. Baseline (2025–26): Starshield (</w:t>
      </w:r>
      <w:r>
        <w:t xml:space="preserve">“</w:t>
      </w:r>
      <w:r>
        <w:t xml:space="preserve">owned and controlled by</w:t>
      </w:r>
      <w:r>
        <w:t xml:space="preserve"> </w:t>
      </w:r>
      <w:r>
        <w:t xml:space="preserve">the US government</w:t>
      </w:r>
      <w:r>
        <w:t xml:space="preserve">”</w:t>
      </w:r>
      <w:r>
        <w:t xml:space="preserve">); the GSA $1 agency AI deals (Aug 2025); e-CNY</w:t>
      </w:r>
      <w:r>
        <w:t xml:space="preserve"> </w:t>
      </w:r>
      <w:r>
        <w:t xml:space="preserve">operations centre; WAICO signed by 29 states (16 July 2026); the</w:t>
      </w:r>
      <w:r>
        <w:t xml:space="preserve"> </w:t>
      </w:r>
      <w:r>
        <w:t xml:space="preserve">Private Economy Promotion Law sequence (May 2025). Direction: rising</w:t>
      </w:r>
      <w:r>
        <w:t xml:space="preserve"> </w:t>
      </w:r>
      <w:r>
        <w:t xml:space="preserve">→ the Henrician settlement executing.</w:t>
      </w:r>
    </w:p>
    <w:p>
      <w:pPr>
        <w:pStyle w:val="BodyText"/>
      </w:pPr>
      <w:r>
        <w:rPr>
          <w:bCs/>
          <w:b/>
        </w:rPr>
        <w:t xml:space="preserve">C4-1 — Absorption-mode index.</w:t>
      </w:r>
      <w:r>
        <w:t xml:space="preserve"> </w:t>
      </w:r>
      <w:r>
        <w:t xml:space="preserve">Measures:</w:t>
      </w:r>
      <w:r>
        <w:t xml:space="preserve"> </w:t>
      </w:r>
      <w:r>
        <w:rPr>
          <w:iCs/>
          <w:i/>
        </w:rPr>
        <w:t xml:space="preserve">how</w:t>
      </w:r>
      <w:r>
        <w:t xml:space="preserve"> </w:t>
      </w:r>
      <w:r>
        <w:t xml:space="preserve">each bloc absorbs —</w:t>
      </w:r>
      <w:r>
        <w:t xml:space="preserve"> </w:t>
      </w:r>
      <w:r>
        <w:t xml:space="preserve">procurement/personnel vs regulation vs equity vs fusion. Baseline: US</w:t>
      </w:r>
      <w:r>
        <w:t xml:space="preserve"> </w:t>
      </w:r>
      <w:r>
        <w:t xml:space="preserve">procurement-and-personnel (programmes of record; Detachment 201, 13</w:t>
      </w:r>
      <w:r>
        <w:t xml:space="preserve"> </w:t>
      </w:r>
      <w:r>
        <w:t xml:space="preserve">June 2025; verified absence of golden shares in Palantir/Anduril —</w:t>
      </w:r>
      <w:r>
        <w:t xml:space="preserve"> </w:t>
      </w:r>
      <w:r>
        <w:t xml:space="preserve">against the Intel equity exception); EU canonical; China fused; India</w:t>
      </w:r>
      <w:r>
        <w:t xml:space="preserve"> </w:t>
      </w:r>
      <w:r>
        <w:t xml:space="preserve">sovereign-stack. Direction: convergence toward harder forms (equity,</w:t>
      </w:r>
      <w:r>
        <w:t xml:space="preserve"> </w:t>
      </w:r>
      <w:r>
        <w:t xml:space="preserve">fusion) → acceleration; scored per bloc.</w:t>
      </w:r>
    </w:p>
    <w:p>
      <w:pPr>
        <w:pStyle w:val="BodyText"/>
      </w:pPr>
      <w:r>
        <w:rPr>
          <w:bCs/>
          <w:b/>
        </w:rPr>
        <w:t xml:space="preserve">C2-3 — Platform-independence counter-indicator</w:t>
      </w:r>
      <w:r>
        <w:t xml:space="preserve"> </w:t>
      </w:r>
      <w:r>
        <w:rPr>
          <w:iCs/>
          <w:i/>
        </w:rPr>
        <w:t xml:space="preserve">(the falsifier;</w:t>
      </w:r>
      <w:r>
        <w:rPr>
          <w:iCs/>
          <w:i/>
        </w:rPr>
        <w:t xml:space="preserve"> </w:t>
      </w:r>
      <w:r>
        <w:rPr>
          <w:iCs/>
          <w:i/>
        </w:rPr>
        <w:t xml:space="preserve">pairs with C3-2)</w:t>
      </w:r>
      <w:r>
        <w:t xml:space="preserve">. Measures: an actor combining decisive-relevant</w:t>
      </w:r>
      <w:r>
        <w:t xml:space="preserve"> </w:t>
      </w:r>
      <w:r>
        <w:t xml:space="preserve">capability with a majority-commercial fiscal base that escapes state</w:t>
      </w:r>
      <w:r>
        <w:t xml:space="preserve"> </w:t>
      </w:r>
      <w:r>
        <w:t xml:space="preserve">instruments</w:t>
      </w:r>
      <w:r>
        <w:t xml:space="preserve"> </w:t>
      </w:r>
      <w:r>
        <w:rPr>
          <w:iCs/>
          <w:i/>
        </w:rPr>
        <w:t xml:space="preserve">and resolves disputes with states in fora states do not</w:t>
      </w:r>
      <w:r>
        <w:rPr>
          <w:iCs/>
          <w:i/>
        </w:rPr>
        <w:t xml:space="preserve"> </w:t>
      </w:r>
      <w:r>
        <w:rPr>
          <w:iCs/>
          <w:i/>
        </w:rPr>
        <w:t xml:space="preserve">control</w:t>
      </w:r>
      <w:r>
        <w:t xml:space="preserve">. Baseline: zero instances — the strongest candidate episode</w:t>
      </w:r>
      <w:r>
        <w:t xml:space="preserve"> </w:t>
      </w:r>
      <w:r>
        <w:t xml:space="preserve">(Anthropic, 2026) was resolved in an Article III court, the state’s</w:t>
      </w:r>
      <w:r>
        <w:t xml:space="preserve"> </w:t>
      </w:r>
      <w:r>
        <w:t xml:space="preserve">own forum, both parties bound (injunction 26 Mar 2026; restoration 3</w:t>
      </w:r>
      <w:r>
        <w:t xml:space="preserve"> </w:t>
      </w:r>
      <w:r>
        <w:t xml:space="preserve">Apr 2026). Direction: a genuine instance fails wager condition 3.</w:t>
      </w:r>
    </w:p>
    <w:p>
      <w:pPr>
        <w:pStyle w:val="BodyText"/>
      </w:pPr>
      <w:r>
        <w:rPr>
          <w:bCs/>
          <w:b/>
        </w:rPr>
        <w:t xml:space="preserve">C3-2 — Independent-fiscal-base emergence (the condottiere watch)</w:t>
      </w:r>
      <w:r>
        <w:t xml:space="preserve"> </w:t>
      </w:r>
      <w:r>
        <w:rPr>
          <w:iCs/>
          <w:i/>
        </w:rPr>
        <w:t xml:space="preserve">(refined by C4-2; context from C3-1)</w:t>
      </w:r>
      <w:r>
        <w:t xml:space="preserve">. Measures: contractor-class</w:t>
      </w:r>
      <w:r>
        <w:t xml:space="preserve"> </w:t>
      </w:r>
      <w:r>
        <w:t xml:space="preserve">actors’ revenue independence from the state paymaster. Baseline: the</w:t>
      </w:r>
      <w:r>
        <w:t xml:space="preserve"> </w:t>
      </w:r>
      <w:r>
        <w:t xml:space="preserve">conventional tier files 87–98% government revenue as a formal risk</w:t>
      </w:r>
      <w:r>
        <w:t xml:space="preserve"> </w:t>
      </w:r>
      <w:r>
        <w:t xml:space="preserve">(Booz Allen 98%, CACI 95.7%, Leidos ~87%, FY2023–25 10-Ks); the</w:t>
      </w:r>
      <w:r>
        <w:t xml:space="preserve"> </w:t>
      </w:r>
      <w:r>
        <w:t xml:space="preserve">frontier labs invert it (state ceilings ~$200M vs reported</w:t>
      </w:r>
      <w:r>
        <w:t xml:space="preserve"> </w:t>
      </w:r>
      <w:r>
        <w:t xml:space="preserve">multi-billion commercial run-rates, 2025–26, estimates flagged; a</w:t>
      </w:r>
      <w:r>
        <w:t xml:space="preserve"> </w:t>
      </w:r>
      <w:r>
        <w:t xml:space="preserve">$65bn raise during a federal blacklist, reported). Direction: the</w:t>
      </w:r>
      <w:r>
        <w:t xml:space="preserve"> </w:t>
      </w:r>
      <w:r>
        <w:t xml:space="preserve">inversion spreading beyond the labs, or a lab converting revenue into</w:t>
      </w:r>
      <w:r>
        <w:t xml:space="preserve"> </w:t>
      </w:r>
      <w:r>
        <w:t xml:space="preserve">recognised standing, moves condition 3’s precursors.</w:t>
      </w:r>
    </w:p>
    <w:p>
      <w:pPr>
        <w:pStyle w:val="BodyText"/>
      </w:pPr>
      <w:r>
        <w:rPr>
          <w:bCs/>
          <w:b/>
        </w:rPr>
        <w:t xml:space="preserve">C7-1 — Populist-absorption index.</w:t>
      </w:r>
      <w:r>
        <w:t xml:space="preserve"> </w:t>
      </w:r>
      <w:r>
        <w:t xml:space="preserve">Measures: whether</w:t>
      </w:r>
      <w:r>
        <w:t xml:space="preserve"> </w:t>
      </w:r>
      <w:r>
        <w:t xml:space="preserve">propertied-anxious waves durably reduce the state’s</w:t>
      </w:r>
      <w:r>
        <w:t xml:space="preserve"> </w:t>
      </w:r>
      <w:r>
        <w:t xml:space="preserve">fiscal-administrative reach (the ch07 falsifier). Baseline: the</w:t>
      </w:r>
      <w:r>
        <w:t xml:space="preserve"> </w:t>
      </w:r>
      <w:r>
        <w:t xml:space="preserve">post-Brexit UK tax take projected toward</w:t>
      </w:r>
      <w:r>
        <w:t xml:space="preserve"> </w:t>
      </w:r>
      <w:r>
        <w:t xml:space="preserve">“</w:t>
      </w:r>
      <w:r>
        <w:t xml:space="preserve">a post-war high of 37.1% of</w:t>
      </w:r>
      <w:r>
        <w:t xml:space="preserve"> </w:t>
      </w:r>
      <w:r>
        <w:t xml:space="preserve">GDP by 2028-29</w:t>
      </w:r>
      <w:r>
        <w:t xml:space="preserve">”</w:t>
      </w:r>
      <w:r>
        <w:t xml:space="preserve"> </w:t>
      </w:r>
      <w:r>
        <w:t xml:space="preserve">(OBR, March 2024); no gathered instance of durable</w:t>
      </w:r>
      <w:r>
        <w:t xml:space="preserve"> </w:t>
      </w:r>
      <w:r>
        <w:t xml:space="preserve">reach-reduction. Direction: a populist wave that durably shrinks</w:t>
      </w:r>
      <w:r>
        <w:t xml:space="preserve"> </w:t>
      </w:r>
      <w:r>
        <w:t xml:space="preserve">fiscal reach counts against the book.</w:t>
      </w:r>
    </w:p>
    <w:p>
      <w:pPr>
        <w:pStyle w:val="BodyText"/>
      </w:pPr>
      <w:r>
        <w:rPr>
          <w:bCs/>
          <w:b/>
        </w:rPr>
        <w:t xml:space="preserve">C8-2 — State reassertion over private fora</w:t>
      </w:r>
      <w:r>
        <w:t xml:space="preserve"> </w:t>
      </w:r>
      <w:r>
        <w:rPr>
          <w:iCs/>
          <w:i/>
        </w:rPr>
        <w:t xml:space="preserve">(absorbs C8-1)</w:t>
      </w:r>
      <w:r>
        <w:t xml:space="preserve">.</w:t>
      </w:r>
      <w:r>
        <w:t xml:space="preserve"> </w:t>
      </w:r>
      <w:r>
        <w:t xml:space="preserve">Measures: the tempo of state subordination of private/platform</w:t>
      </w:r>
      <w:r>
        <w:t xml:space="preserve"> </w:t>
      </w:r>
      <w:r>
        <w:t xml:space="preserve">adjudication. Baseline: Achmea (2018)/Komstroy (2021); ECT withdrawal</w:t>
      </w:r>
      <w:r>
        <w:t xml:space="preserve"> </w:t>
      </w:r>
      <w:r>
        <w:t xml:space="preserve">effective 27 June 2025; DSA Art. 21’s non-binding cap; MiCA fully</w:t>
      </w:r>
      <w:r>
        <w:t xml:space="preserve"> </w:t>
      </w:r>
      <w:r>
        <w:t xml:space="preserve">applicable (Dec 2024); Binance $4,316,126,163 (21 Nov 2023); Google</w:t>
      </w:r>
      <w:r>
        <w:t xml:space="preserve"> </w:t>
      </w:r>
      <w:r>
        <w:t xml:space="preserve">remedies (Sept 2025). Direction: continued subordination-not-abolition</w:t>
      </w:r>
      <w:r>
        <w:t xml:space="preserve"> </w:t>
      </w:r>
      <w:r>
        <w:t xml:space="preserve">→ hierarchical plurality consolidating.</w:t>
      </w:r>
    </w:p>
    <w:p>
      <w:pPr>
        <w:pStyle w:val="BodyText"/>
      </w:pPr>
      <w:r>
        <w:rPr>
          <w:bCs/>
          <w:b/>
        </w:rPr>
        <w:t xml:space="preserve">C8-3 — Grey-zone legibility</w:t>
      </w:r>
      <w:r>
        <w:t xml:space="preserve"> </w:t>
      </w:r>
      <w:r>
        <w:rPr>
          <w:iCs/>
          <w:i/>
        </w:rPr>
        <w:t xml:space="preserve">(absorbs C1-3)</w:t>
      </w:r>
      <w:r>
        <w:t xml:space="preserve">. Measures: the</w:t>
      </w:r>
      <w:r>
        <w:t xml:space="preserve"> </w:t>
      </w:r>
      <w:r>
        <w:t xml:space="preserve">offshore stock and, decisively, its untaxed fraction. Baseline:</w:t>
      </w:r>
      <w:r>
        <w:t xml:space="preserve"> </w:t>
      </w:r>
      <w:r>
        <w:t xml:space="preserve">offshore household financial wealth ≈10% of world GDP; untaxed</w:t>
      </w:r>
      <w:r>
        <w:t xml:space="preserve"> </w:t>
      </w:r>
      <w:r>
        <w:t xml:space="preserve">fraction ~25%, down by a factor of ~3 since 2013; $12.6tn</w:t>
      </w:r>
      <w:r>
        <w:t xml:space="preserve"> </w:t>
      </w:r>
      <w:r>
        <w:t xml:space="preserve">CRS-reported in 2022 (EU Tax Observatory 2024). Direction: untaxed</w:t>
      </w:r>
      <w:r>
        <w:t xml:space="preserve"> </w:t>
      </w:r>
      <w:r>
        <w:t xml:space="preserve">fraction falling → legibility winning; rising again → wager condition</w:t>
      </w:r>
      <w:r>
        <w:t xml:space="preserve"> </w:t>
      </w:r>
      <w:r>
        <w:t xml:space="preserve">2 moves against the book.</w:t>
      </w:r>
    </w:p>
    <w:p>
      <w:pPr>
        <w:pStyle w:val="BodyText"/>
      </w:pPr>
      <w:r>
        <w:rPr>
          <w:bCs/>
          <w:b/>
        </w:rPr>
        <w:t xml:space="preserve">C11-2 — Bloc-internal vs cross-bloc fiscal reach.</w:t>
      </w:r>
      <w:r>
        <w:t xml:space="preserve"> </w:t>
      </w:r>
      <w:r>
        <w:t xml:space="preserve">Measures: the</w:t>
      </w:r>
      <w:r>
        <w:t xml:space="preserve"> </w:t>
      </w:r>
      <w:r>
        <w:t xml:space="preserve">divergence between within-bloc consolidation and between-bloc</w:t>
      </w:r>
      <w:r>
        <w:t xml:space="preserve"> </w:t>
      </w:r>
      <w:r>
        <w:t xml:space="preserve">harmonisation. Baseline: CRS/AEOI at 116 jurisdictions, 171M</w:t>
      </w:r>
      <w:r>
        <w:t xml:space="preserve"> </w:t>
      </w:r>
      <w:r>
        <w:t xml:space="preserve">accounts, ~€13tn (2024; OECD 2025) — against the Side-by-Side</w:t>
      </w:r>
      <w:r>
        <w:t xml:space="preserve"> </w:t>
      </w:r>
      <w:r>
        <w:t xml:space="preserve">carve-out taking US-parented groups outside the IIR/UTPR (applying 1</w:t>
      </w:r>
      <w:r>
        <w:t xml:space="preserve"> </w:t>
      </w:r>
      <w:r>
        <w:t xml:space="preserve">Jan 2026) and Canada’s DST rescission (June 2025). Direction:</w:t>
      </w:r>
      <w:r>
        <w:t xml:space="preserve"> </w:t>
      </w:r>
      <w:r>
        <w:t xml:space="preserve">bloc-internal reach rising while cross-bloc instruments fragment →</w:t>
      </w:r>
      <w:r>
        <w:t xml:space="preserve"> </w:t>
      </w:r>
      <w:r>
        <w:t xml:space="preserve">the parallel-settlements geometry; bloc-internal reach</w:t>
      </w:r>
      <w:r>
        <w:t xml:space="preserve"> </w:t>
      </w:r>
      <w:r>
        <w:rPr>
          <w:iCs/>
          <w:i/>
        </w:rPr>
        <w:t xml:space="preserve">falling</w:t>
      </w:r>
      <w:r>
        <w:t xml:space="preserve"> </w:t>
      </w:r>
      <w:r>
        <w:t xml:space="preserve">→</w:t>
      </w:r>
      <w:r>
        <w:t xml:space="preserve"> </w:t>
      </w:r>
      <w:r>
        <w:t xml:space="preserve">condition 2 against the book.</w:t>
      </w:r>
    </w:p>
    <w:p>
      <w:pPr>
        <w:pStyle w:val="BodyText"/>
      </w:pPr>
      <w:r>
        <w:rPr>
          <w:bCs/>
          <w:b/>
        </w:rPr>
        <w:t xml:space="preserve">C11-3 — Court-check series.</w:t>
      </w:r>
      <w:r>
        <w:t xml:space="preserve"> </w:t>
      </w:r>
      <w:r>
        <w:t xml:space="preserve">Measures: instances of consolidating</w:t>
      </w:r>
      <w:r>
        <w:t xml:space="preserve"> </w:t>
      </w:r>
      <w:r>
        <w:t xml:space="preserve">states losing against their own subjects in their own courts — the</w:t>
      </w:r>
      <w:r>
        <w:t xml:space="preserve"> </w:t>
      </w:r>
      <w:r>
        <w:t xml:space="preserve">settlement’s rule-of-law form, kept scoreable. Baseline (2025–26):</w:t>
      </w:r>
      <w:r>
        <w:t xml:space="preserve"> </w:t>
      </w:r>
      <w:r>
        <w:t xml:space="preserve">FTC v. Meta lost (18 Nov 2025, appealed); Apple contempt affirmed</w:t>
      </w:r>
      <w:r>
        <w:t xml:space="preserve"> </w:t>
      </w:r>
      <w:r>
        <w:t xml:space="preserve">against Apple (11 Dec 2025); GC upholds gatekeeper designation</w:t>
      </w:r>
      <w:r>
        <w:t xml:space="preserve"> </w:t>
      </w:r>
      <w:r>
        <w:t xml:space="preserve">against Apple (8 July 2026); the Anthropic injunction against the</w:t>
      </w:r>
      <w:r>
        <w:t xml:space="preserve"> </w:t>
      </w:r>
      <w:r>
        <w:t xml:space="preserve">state (26 Mar 2026). Direction: a continuing mixed series →</w:t>
      </w:r>
      <w:r>
        <w:t xml:space="preserve"> </w:t>
      </w:r>
      <w:r>
        <w:t xml:space="preserve">discipline-through-process (the book’s reading); systematic state</w:t>
      </w:r>
      <w:r>
        <w:t xml:space="preserve"> </w:t>
      </w:r>
      <w:r>
        <w:t xml:space="preserve">defeat on the</w:t>
      </w:r>
      <w:r>
        <w:t xml:space="preserve"> </w:t>
      </w:r>
      <w:r>
        <w:rPr>
          <w:iCs/>
          <w:i/>
        </w:rPr>
        <w:t xml:space="preserve">core</w:t>
      </w:r>
      <w:r>
        <w:t xml:space="preserve"> </w:t>
      </w:r>
      <w:r>
        <w:t xml:space="preserve">moves → the settlement failing.</w:t>
      </w:r>
    </w:p>
    <w:p>
      <w:pPr>
        <w:pStyle w:val="BodyText"/>
      </w:pPr>
      <w:r>
        <w:rPr>
          <w:bCs/>
          <w:b/>
        </w:rPr>
        <w:t xml:space="preserve">C6-3 — Capitulation-as-procurement.</w:t>
      </w:r>
      <w:r>
        <w:t xml:space="preserve"> </w:t>
      </w:r>
      <w:r>
        <w:t xml:space="preserve">Measures: polities choosing</w:t>
      </w:r>
      <w:r>
        <w:t xml:space="preserve"> </w:t>
      </w:r>
      <w:r>
        <w:t xml:space="preserve">to buy/license/align rather than build the decisive layer — ch06’s</w:t>
      </w:r>
      <w:r>
        <w:t xml:space="preserve"> </w:t>
      </w:r>
      <w:r>
        <w:t xml:space="preserve">surrender-without-siege as modern procurement. Baseline: two polities</w:t>
      </w:r>
      <w:r>
        <w:t xml:space="preserve"> </w:t>
      </w:r>
      <w:r>
        <w:t xml:space="preserve">field proliferated military LEO; the EU contracted to ~2030 (IRIS²,</w:t>
      </w:r>
      <w:r>
        <w:t xml:space="preserve"> </w:t>
      </w:r>
      <w:r>
        <w:t xml:space="preserve">16 Dec 2024); client-state patterns in chip and model licensing</w:t>
      </w:r>
      <w:r>
        <w:t xml:space="preserve"> </w:t>
      </w:r>
      <w:r>
        <w:t xml:space="preserve">(2025–26). Direction: alignments deepening → the cascade operating;</w:t>
      </w:r>
      <w:r>
        <w:t xml:space="preserve"> </w:t>
      </w:r>
      <w:r>
        <w:t xml:space="preserve">independent builds proliferating → scored with C10-2 against the</w:t>
      </w:r>
      <w:r>
        <w:t xml:space="preserve"> </w:t>
      </w:r>
      <w:r>
        <w:t xml:space="preserve">book.</w:t>
      </w:r>
    </w:p>
    <w:p>
      <w:r>
        <w:pict>
          <v:rect style="width:0;height:1.5pt" o:hralign="center" o:hrstd="t" o:hr="t"/>
        </w:pict>
      </w:r>
    </w:p>
    <w:bookmarkEnd w:id="155"/>
    <w:bookmarkStart w:id="156" w:name="concordance-absorbed-candidates"/>
    <w:p>
      <w:pPr>
        <w:pStyle w:val="Heading2"/>
      </w:pPr>
      <w:r>
        <w:t xml:space="preserve">Concordance (absorbed candidates)</w:t>
      </w:r>
    </w:p>
    <w:p>
      <w:pPr>
        <w:pStyle w:val="FirstParagraph"/>
      </w:pPr>
      <w:r>
        <w:t xml:space="preserve">C6-1 → C10-2 · C6-2 → C10-1 · C6-4 → C12-1 · C5-1 → C10-3 ·</w:t>
      </w:r>
      <w:r>
        <w:t xml:space="preserve"> </w:t>
      </w:r>
      <w:r>
        <w:t xml:space="preserve">C1-1 → context variable (above) · C1-2 → context (ch08 narrative) ·</w:t>
      </w:r>
      <w:r>
        <w:t xml:space="preserve"> </w:t>
      </w:r>
      <w:r>
        <w:t xml:space="preserve">C1-3 → C8-3 · C8-1 → C8-2 · C3-1 → C3-2 (context) · C4-2 → C3-2 ·</w:t>
      </w:r>
      <w:r>
        <w:t xml:space="preserve"> </w:t>
      </w:r>
      <w:r>
        <w:t xml:space="preserve">C2-2, C5-2, C5-3, C3-3 → retired to chapter narrative (no independent</w:t>
      </w:r>
      <w:r>
        <w:t xml:space="preserve"> </w:t>
      </w:r>
      <w:r>
        <w:t xml:space="preserve">sourced baseline; per §9 discipline they do not appear as scored</w:t>
      </w:r>
      <w:r>
        <w:t xml:space="preserve"> </w:t>
      </w:r>
      <w:r>
        <w:t xml:space="preserve">indicators).</w:t>
      </w:r>
    </w:p>
    <w:p>
      <w:r>
        <w:pict>
          <v:rect style="width:0;height:1.5pt" o:hralign="center" o:hrstd="t" o:hr="t"/>
        </w:pict>
      </w:r>
    </w:p>
    <w:p>
      <w:pPr>
        <w:pStyle w:val="FirstParagraph"/>
      </w:pPr>
      <w:r>
        <w:t xml:space="preserve">STATUS: ASSEMBLED — PENDING HUMAN REVIEW</w:t>
      </w:r>
    </w:p>
    <w:bookmarkEnd w:id="156"/>
    <w:bookmarkStart w:id="157" w:name="e6.-appendix-d"/>
    <w:p>
      <w:pPr>
        <w:pStyle w:val="Heading2"/>
      </w:pPr>
      <w:r>
        <w:t xml:space="preserve">E6. Appendix D</w:t>
      </w:r>
    </w:p>
    <w:bookmarkEnd w:id="157"/>
    <w:bookmarkEnd w:id="158"/>
    <w:bookmarkStart w:id="159" w:name="appendix-d-a-readers-guide"/>
    <w:p>
      <w:pPr>
        <w:pStyle w:val="Heading1"/>
      </w:pPr>
      <w:r>
        <w:t xml:space="preserve">Appendix D — A Reader’s Guide</w:t>
      </w:r>
    </w:p>
    <w:p>
      <w:pPr>
        <w:pStyle w:val="FirstParagraph"/>
      </w:pPr>
      <w:r>
        <w:rPr>
          <w:iCs/>
          <w:i/>
        </w:rPr>
        <w:t xml:space="preserve">ASSEMBLED (first assembly, 2026-08-02). Routes through the book for</w:t>
      </w:r>
      <w:r>
        <w:rPr>
          <w:iCs/>
          <w:i/>
        </w:rPr>
        <w:t xml:space="preserve"> </w:t>
      </w:r>
      <w:r>
        <w:rPr>
          <w:iCs/>
          <w:i/>
        </w:rPr>
        <w:t xml:space="preserve">readers who arrive with different questions; the annotated literature</w:t>
      </w:r>
      <w:r>
        <w:rPr>
          <w:iCs/>
          <w:i/>
        </w:rPr>
        <w:t xml:space="preserve"> </w:t>
      </w:r>
      <w:r>
        <w:rPr>
          <w:iCs/>
          <w:i/>
        </w:rPr>
        <w:t xml:space="preserve">is Appendix A, the comparative register Appendix B, the scoreboard</w:t>
      </w:r>
      <w:r>
        <w:rPr>
          <w:iCs/>
          <w:i/>
        </w:rPr>
        <w:t xml:space="preserve"> </w:t>
      </w:r>
      <w:r>
        <w:rPr>
          <w:iCs/>
          <w:i/>
        </w:rPr>
        <w:t xml:space="preserve">Appendix C.</w:t>
      </w:r>
    </w:p>
    <w:p>
      <w:pPr>
        <w:pStyle w:val="BodyText"/>
      </w:pPr>
      <w:r>
        <w:rPr>
          <w:bCs/>
          <w:b/>
        </w:rPr>
        <w:t xml:space="preserve">If you have one evening.</w:t>
      </w:r>
      <w:r>
        <w:t xml:space="preserve"> </w:t>
      </w:r>
      <w:r>
        <w:t xml:space="preserve">Read the Introduction, Chapter 6, Chapter</w:t>
      </w:r>
      <w:r>
        <w:t xml:space="preserve"> </w:t>
      </w:r>
      <w:r>
        <w:t xml:space="preserve">10 and Chapter 12. That is the spine: the wager, the repricing, the</w:t>
      </w:r>
      <w:r>
        <w:t xml:space="preserve"> </w:t>
      </w:r>
      <w:r>
        <w:t xml:space="preserve">machine, the prediction. Chapter 11 is the first addition if the</w:t>
      </w:r>
      <w:r>
        <w:t xml:space="preserve"> </w:t>
      </w:r>
      <w:r>
        <w:t xml:space="preserve">evening stretches.</w:t>
      </w:r>
    </w:p>
    <w:p>
      <w:pPr>
        <w:pStyle w:val="BodyText"/>
      </w:pPr>
      <w:r>
        <w:rPr>
          <w:bCs/>
          <w:b/>
        </w:rPr>
        <w:t xml:space="preserve">If you come from international relations.</w:t>
      </w:r>
      <w:r>
        <w:t xml:space="preserve"> </w:t>
      </w:r>
      <w:r>
        <w:t xml:space="preserve">Part I is written for</w:t>
      </w:r>
      <w:r>
        <w:t xml:space="preserve"> </w:t>
      </w:r>
      <w:r>
        <w:t xml:space="preserve">you, and its quarrel is with your shelf: Chapter 1 accepts and runs</w:t>
      </w:r>
      <w:r>
        <w:t xml:space="preserve"> </w:t>
      </w:r>
      <w:r>
        <w:t xml:space="preserve">the Bull–Friedrichs–Cerny apparatus; Chapter 2 amends Friedrichs’s</w:t>
      </w:r>
      <w:r>
        <w:t xml:space="preserve"> </w:t>
      </w:r>
      <w:r>
        <w:t xml:space="preserve">second universalism; Chapter 12 §VI states what the book claims to</w:t>
      </w:r>
      <w:r>
        <w:t xml:space="preserve"> </w:t>
      </w:r>
      <w:r>
        <w:t xml:space="preserve">have added. Read the Coda for the precise disagreement with Bull</w:t>
      </w:r>
      <w:r>
        <w:t xml:space="preserve"> </w:t>
      </w:r>
      <w:r>
        <w:t xml:space="preserve">before deciding the book has misread him.</w:t>
      </w:r>
    </w:p>
    <w:p>
      <w:pPr>
        <w:pStyle w:val="BodyText"/>
      </w:pPr>
      <w:r>
        <w:rPr>
          <w:bCs/>
          <w:b/>
        </w:rPr>
        <w:t xml:space="preserve">If you come from medieval history.</w:t>
      </w:r>
      <w:r>
        <w:t xml:space="preserve"> </w:t>
      </w:r>
      <w:r>
        <w:t xml:space="preserve">The book’s medieval claims are</w:t>
      </w:r>
      <w:r>
        <w:t xml:space="preserve"> </w:t>
      </w:r>
      <w:r>
        <w:t xml:space="preserve">deliberately narrower than its title suggests, and every chapter</w:t>
      </w:r>
      <w:r>
        <w:t xml:space="preserve"> </w:t>
      </w:r>
      <w:r>
        <w:t xml:space="preserve">states its debts and its gaps: Chapter 6 rests on Rogers, Curry,</w:t>
      </w:r>
      <w:r>
        <w:t xml:space="preserve"> </w:t>
      </w:r>
      <w:r>
        <w:t xml:space="preserve">DeVries and the chronicle editions, and its central mechanism</w:t>
      </w:r>
      <w:r>
        <w:t xml:space="preserve"> </w:t>
      </w:r>
      <w:r>
        <w:t xml:space="preserve">statement was built to reconcile the first two; Chapter 10 rests on</w:t>
      </w:r>
      <w:r>
        <w:t xml:space="preserve"> </w:t>
      </w:r>
      <w:r>
        <w:t xml:space="preserve">Contamine’s monograph and articles at page level; the objection</w:t>
      </w:r>
      <w:r>
        <w:t xml:space="preserve"> </w:t>
      </w:r>
      <w:r>
        <w:t xml:space="preserve">stress-tests are in each chapter’s critiques file, steelmanned first.</w:t>
      </w:r>
      <w:r>
        <w:t xml:space="preserve"> </w:t>
      </w:r>
      <w:r>
        <w:t xml:space="preserve">The place to attack is the mechanism’s threshold step (Chapter 10</w:t>
      </w:r>
      <w:r>
        <w:t xml:space="preserve"> </w:t>
      </w:r>
      <w:r>
        <w:t xml:space="preserve">§VII) and the falsifiability passage’s condition 1; the book would</w:t>
      </w:r>
      <w:r>
        <w:t xml:space="preserve"> </w:t>
      </w:r>
      <w:r>
        <w:t xml:space="preserve">rather be corrected at page level than admired in general.</w:t>
      </w:r>
    </w:p>
    <w:p>
      <w:pPr>
        <w:pStyle w:val="BodyText"/>
      </w:pPr>
      <w:r>
        <w:rPr>
          <w:bCs/>
          <w:b/>
        </w:rPr>
        <w:t xml:space="preserve">If you come from policy or strategy.</w:t>
      </w:r>
      <w:r>
        <w:t xml:space="preserve"> </w:t>
      </w:r>
      <w:r>
        <w:t xml:space="preserve">Chapters 5, 10, 11 and 12</w:t>
      </w:r>
      <w:r>
        <w:t xml:space="preserve"> </w:t>
      </w:r>
      <w:r>
        <w:t xml:space="preserve">are the working sequence: the failure modes of executive capacity;</w:t>
      </w:r>
      <w:r>
        <w:t xml:space="preserve"> </w:t>
      </w:r>
      <w:r>
        <w:t xml:space="preserve">the mechanism; the five moves with their current instruments, every</w:t>
      </w:r>
      <w:r>
        <w:t xml:space="preserve"> </w:t>
      </w:r>
      <w:r>
        <w:t xml:space="preserve">claim dated; the candidates and the military-technology answer.</w:t>
      </w:r>
      <w:r>
        <w:t xml:space="preserve"> </w:t>
      </w:r>
      <w:r>
        <w:t xml:space="preserve">Appendix C is the standing scoreboard. Nothing in Chapter 12 §VII is</w:t>
      </w:r>
      <w:r>
        <w:t xml:space="preserve"> </w:t>
      </w:r>
      <w:r>
        <w:t xml:space="preserve">investment guidance, by doctrine as well as disclaimer.</w:t>
      </w:r>
    </w:p>
    <w:p>
      <w:pPr>
        <w:pStyle w:val="BodyText"/>
      </w:pPr>
      <w:r>
        <w:rPr>
          <w:bCs/>
          <w:b/>
        </w:rPr>
        <w:t xml:space="preserve">If you come from the technology industry.</w:t>
      </w:r>
      <w:r>
        <w:t xml:space="preserve"> </w:t>
      </w:r>
      <w:r>
        <w:t xml:space="preserve">Read Chapter 2 to see</w:t>
      </w:r>
      <w:r>
        <w:t xml:space="preserve"> </w:t>
      </w:r>
      <w:r>
        <w:t xml:space="preserve">your institutions described functionally, Chapter 3 §V and Chapter 4</w:t>
      </w:r>
      <w:r>
        <w:t xml:space="preserve"> </w:t>
      </w:r>
      <w:r>
        <w:t xml:space="preserve">§V for the absorption pattern operating on your contracts and your</w:t>
      </w:r>
      <w:r>
        <w:t xml:space="preserve"> </w:t>
      </w:r>
      <w:r>
        <w:t xml:space="preserve">colleagues’ commissions, Chapter 9 for the two-body problem in your</w:t>
      </w:r>
      <w:r>
        <w:t xml:space="preserve"> </w:t>
      </w:r>
      <w:r>
        <w:t xml:space="preserve">charters, and Chapter 11 §VII for the settlement the book expects —</w:t>
      </w:r>
      <w:r>
        <w:t xml:space="preserve"> </w:t>
      </w:r>
      <w:r>
        <w:t xml:space="preserve">operative but never invested. The Sforza case (Chapter 4 §III) is</w:t>
      </w:r>
      <w:r>
        <w:t xml:space="preserve"> </w:t>
      </w:r>
      <w:r>
        <w:t xml:space="preserve">the précis: it is about you.</w:t>
      </w:r>
    </w:p>
    <w:p>
      <w:pPr>
        <w:pStyle w:val="BodyText"/>
      </w:pPr>
      <w:r>
        <w:rPr>
          <w:bCs/>
          <w:b/>
        </w:rPr>
        <w:t xml:space="preserve">If you read for the history of ideas.</w:t>
      </w:r>
      <w:r>
        <w:t xml:space="preserve"> </w:t>
      </w:r>
      <w:r>
        <w:t xml:space="preserve">The book’s method is the</w:t>
      </w:r>
      <w:r>
        <w:t xml:space="preserve"> </w:t>
      </w:r>
      <w:r>
        <w:t xml:space="preserve">sceptics-concede thread (introduced in the Introduction’s second</w:t>
      </w:r>
      <w:r>
        <w:t xml:space="preserve"> </w:t>
      </w:r>
      <w:r>
        <w:t xml:space="preserve">inoculation, executed at Chapters 6 §VII, 10 §VII, 11 §V, and</w:t>
      </w:r>
      <w:r>
        <w:t xml:space="preserve"> </w:t>
      </w:r>
      <w:r>
        <w:t xml:space="preserve">summarised at 12 §VI), the falsifiability discipline (Introduction</w:t>
      </w:r>
      <w:r>
        <w:t xml:space="preserve"> </w:t>
      </w:r>
      <w:r>
        <w:t xml:space="preserve">§III; the narrowing deltas in the Coda §IV), and the provenance rules</w:t>
      </w:r>
      <w:r>
        <w:t xml:space="preserve"> </w:t>
      </w:r>
      <w:r>
        <w:t xml:space="preserve">(Coda §III). The book stands or falls on whether those disciplines</w:t>
      </w:r>
      <w:r>
        <w:t xml:space="preserve"> </w:t>
      </w:r>
      <w:r>
        <w:t xml:space="preserve">were kept; the flags in the text — [GAP], [RE-CHECK AT PRESS] — are</w:t>
      </w:r>
      <w:r>
        <w:t xml:space="preserve"> </w:t>
      </w:r>
      <w:r>
        <w:t xml:space="preserve">deliberately left visible in the working drafts so the keeping can be</w:t>
      </w:r>
      <w:r>
        <w:t xml:space="preserve"> </w:t>
      </w:r>
      <w:r>
        <w:t xml:space="preserve">checked.</w:t>
      </w:r>
    </w:p>
    <w:p>
      <w:pPr>
        <w:pStyle w:val="BodyText"/>
      </w:pPr>
      <w:r>
        <w:rPr>
          <w:bCs/>
          <w:b/>
        </w:rPr>
        <w:t xml:space="preserve">A note on the bundled sources.</w:t>
      </w:r>
      <w:r>
        <w:t xml:space="preserve"> </w:t>
      </w:r>
      <w:r>
        <w:t xml:space="preserve">The open-access neomedievalism</w:t>
      </w:r>
      <w:r>
        <w:t xml:space="preserve"> </w:t>
      </w:r>
      <w:r>
        <w:t xml:space="preserve">dossier that seeded Part I (Cerny 2005, Kobrin, McFate’s thesis,</w:t>
      </w:r>
      <w:r>
        <w:t xml:space="preserve"> </w:t>
      </w:r>
      <w:r>
        <w:t xml:space="preserve">Williams, Slaughter chs. 5–6, Kaplan, Wæver, Khanna) is indexed in</w:t>
      </w:r>
      <w:r>
        <w:t xml:space="preserve"> </w:t>
      </w:r>
      <w:r>
        <w:t xml:space="preserve">this appendix’s folder; Appendix A grades it and records what has</w:t>
      </w:r>
      <w:r>
        <w:t xml:space="preserve"> </w:t>
      </w:r>
      <w:r>
        <w:t xml:space="preserve">since been superseded by first-hand retrievals.</w:t>
      </w:r>
    </w:p>
    <w:p>
      <w:pPr>
        <w:pStyle w:val="BodyText"/>
      </w:pPr>
      <w:r>
        <w:t xml:space="preserve">STATUS: ASSEMBLED — PENDING HUMAN REVIEW</w:t>
      </w:r>
    </w:p>
    <w:bookmarkEnd w:id="159"/>
    <w:bookmarkStart w:id="161" w:name="X4e4c348597c43cd4ddf977ff7574f0a3fdc2976"/>
    <w:p>
      <w:pPr>
        <w:pStyle w:val="Heading1"/>
      </w:pPr>
      <w:r>
        <w:t xml:space="preserve">Part F — Reflective research documents (outside the provenance chain)</w:t>
      </w:r>
    </w:p>
    <w:bookmarkStart w:id="160" w:name="f1.-researchbratton-assessment.md-whole"/>
    <w:p>
      <w:pPr>
        <w:pStyle w:val="Heading2"/>
      </w:pPr>
      <w:r>
        <w:t xml:space="preserve">F1. research/bratton-assessment.md (whole)</w:t>
      </w:r>
    </w:p>
    <w:bookmarkEnd w:id="160"/>
    <w:bookmarkEnd w:id="161"/>
    <w:bookmarkStart w:id="169" w:name="Xe8d15bba52b85cd02ae026f0c449cba65912b80"/>
    <w:p>
      <w:pPr>
        <w:pStyle w:val="Heading1"/>
      </w:pPr>
      <w:r>
        <w:t xml:space="preserve">Bratton and the book — how</w:t>
      </w:r>
      <w:r>
        <w:t xml:space="preserve"> </w:t>
      </w:r>
      <w:r>
        <w:rPr>
          <w:iCs/>
          <w:i/>
        </w:rPr>
        <w:t xml:space="preserve">The Stack</w:t>
      </w:r>
      <w:r>
        <w:t xml:space="preserve"> </w:t>
      </w:r>
      <w:r>
        <w:t xml:space="preserve">(2015) and</w:t>
      </w:r>
      <w:r>
        <w:t xml:space="preserve"> </w:t>
      </w:r>
      <w:r>
        <w:t xml:space="preserve">“</w:t>
      </w:r>
      <w:r>
        <w:t xml:space="preserve">Planetary Computation’s Next Phase</w:t>
      </w:r>
      <w:r>
        <w:t xml:space="preserve">”</w:t>
      </w:r>
      <w:r>
        <w:t xml:space="preserve"> </w:t>
      </w:r>
      <w:r>
        <w:t xml:space="preserve">(2026) interact with the thesis</w:t>
      </w:r>
    </w:p>
    <w:bookmarkStart w:id="162" w:name="X367631354fb75b65b54b3063dba5dcf085484c2"/>
    <w:p>
      <w:pPr>
        <w:pStyle w:val="Heading2"/>
      </w:pPr>
      <w:r>
        <w:t xml:space="preserve">1. The council misdescribed Bratton, and the correction helps the book</w:t>
      </w:r>
    </w:p>
    <w:p>
      <w:pPr>
        <w:pStyle w:val="FirstParagraph"/>
      </w:pPr>
      <w:r>
        <w:t xml:space="preserve">The Model Council Synthesis (research/model-council-synthesis.md) states that Bratton’s rival prediction is</w:t>
      </w:r>
      <w:r>
        <w:t xml:space="preserve"> </w:t>
      </w:r>
      <w:r>
        <w:t xml:space="preserve">“</w:t>
      </w:r>
      <w:r>
        <w:t xml:space="preserve">that sovereignty migrates to the stack rather than the state reabsorbing it.</w:t>
      </w:r>
      <w:r>
        <w:t xml:space="preserve">”</w:t>
      </w:r>
      <w:r>
        <w:t xml:space="preserve"> </w:t>
      </w:r>
      <w:r>
        <w:t xml:space="preserve">The book does not say that. It disclaims it twice in almost identical words:</w:t>
      </w:r>
      <w:r>
        <w:t xml:space="preserve"> </w:t>
      </w:r>
      <w:r>
        <w:t xml:space="preserve">“</w:t>
      </w:r>
      <w:r>
        <w:t xml:space="preserve">The implication is not another prophecy of the declining state withering away into the realm of pure network, but to the contrary: the state’s ongoing redefinition is now undertaken in relation to network geographies that it can neither contain nor be contained by</w:t>
      </w:r>
      <w:r>
        <w:t xml:space="preserve">”</w:t>
      </w:r>
      <w:r>
        <w:t xml:space="preserve"> </w:t>
      </w:r>
      <w:r>
        <w:t xml:space="preserve">[scan p.22; repeated scan p.144]. His stated position is mutual and unresolved:</w:t>
      </w:r>
      <w:r>
        <w:t xml:space="preserve"> </w:t>
      </w:r>
      <w:r>
        <w:t xml:space="preserve">“</w:t>
      </w:r>
      <w:r>
        <w:t xml:space="preserve">As Cloud platforms absorb state functions and states realize Cloud platform topologies and methods, The Stack does not necessarily privilege either in favor of the other</w:t>
      </w:r>
      <w:r>
        <w:t xml:space="preserve">”</w:t>
      </w:r>
      <w:r>
        <w:t xml:space="preserve"> </w:t>
      </w:r>
      <w:r>
        <w:t xml:space="preserve">[scan p.304];</w:t>
      </w:r>
      <w:r>
        <w:t xml:space="preserve"> </w:t>
      </w:r>
      <w:r>
        <w:t xml:space="preserve">“</w:t>
      </w:r>
      <w:r>
        <w:t xml:space="preserve">It is less that Cloud platforms ultimately replace states than that two domains become dramatically less distinct from one another, interlacing and folding up in new ways, producing emergent institutional forms not reducible to the direct combination of the two</w:t>
      </w:r>
      <w:r>
        <w:t xml:space="preserve">”</w:t>
      </w:r>
      <w:r>
        <w:t xml:space="preserve"> </w:t>
      </w:r>
      <w:r>
        <w:t xml:space="preserve">[scan p.150];</w:t>
      </w:r>
      <w:r>
        <w:t xml:space="preserve"> </w:t>
      </w:r>
      <w:r>
        <w:t xml:space="preserve">“</w:t>
      </w:r>
      <w:r>
        <w:t xml:space="preserve">states respond forcefully, sometimes by attempting to directly compete with these kinds of sovereignty and sometimes by absorbing them as their own new norms</w:t>
      </w:r>
      <w:r>
        <w:t xml:space="preserve">”</w:t>
      </w:r>
      <w:r>
        <w:t xml:space="preserve"> </w:t>
      </w:r>
      <w:r>
        <w:t xml:space="preserve">[scan p.145];</w:t>
      </w:r>
      <w:r>
        <w:t xml:space="preserve"> </w:t>
      </w:r>
      <w:r>
        <w:t xml:space="preserve">“</w:t>
      </w:r>
      <w:r>
        <w:t xml:space="preserve">the state pushback against today’s version of planetary-scale computation should not be seen as extrinsic, or even contradictory, to the logics of Stack geopolitics</w:t>
      </w:r>
      <w:r>
        <w:t xml:space="preserve">”</w:t>
      </w:r>
      <w:r>
        <w:t xml:space="preserve"> </w:t>
      </w:r>
      <w:r>
        <w:t xml:space="preserve">[scan p.165];</w:t>
      </w:r>
      <w:r>
        <w:t xml:space="preserve"> </w:t>
      </w:r>
      <w:r>
        <w:t xml:space="preserve">“</w:t>
      </w:r>
      <w:r>
        <w:t xml:space="preserve">The state takes on the armature of a machine, because the machine, The Stack, has already taken on the roles and register of the state</w:t>
      </w:r>
      <w:r>
        <w:t xml:space="preserve">”</w:t>
      </w:r>
      <w:r>
        <w:t xml:space="preserve"> </w:t>
      </w:r>
      <w:r>
        <w:t xml:space="preserve">[scan p.44].</w:t>
      </w:r>
    </w:p>
    <w:p>
      <w:pPr>
        <w:pStyle w:val="BodyText"/>
      </w:pPr>
      <w:r>
        <w:t xml:space="preserve">Consequence: Bratton is a hybrid-settlement theorist a decade before the council recommended one. Spine §8(b) — the settlement stated per bloc as a hybrid — is common ground with him, not a concession. Ch12 should cite him as an ally on the</w:t>
      </w:r>
      <w:r>
        <w:t xml:space="preserve"> </w:t>
      </w:r>
      <w:r>
        <w:rPr>
          <w:iCs/>
          <w:i/>
        </w:rPr>
        <w:t xml:space="preserve">form</w:t>
      </w:r>
      <w:r>
        <w:t xml:space="preserve"> </w:t>
      </w:r>
      <w:r>
        <w:t xml:space="preserve">of the outcome and a rival on its</w:t>
      </w:r>
      <w:r>
        <w:t xml:space="preserve"> </w:t>
      </w:r>
      <w:r>
        <w:rPr>
          <w:iCs/>
          <w:i/>
        </w:rPr>
        <w:t xml:space="preserve">cause</w:t>
      </w:r>
      <w:r>
        <w:t xml:space="preserve"> </w:t>
      </w:r>
      <w:r>
        <w:t xml:space="preserve">and</w:t>
      </w:r>
      <w:r>
        <w:t xml:space="preserve"> </w:t>
      </w:r>
      <w:r>
        <w:rPr>
          <w:iCs/>
          <w:i/>
        </w:rPr>
        <w:t xml:space="preserve">direction</w:t>
      </w:r>
      <w:r>
        <w:t xml:space="preserve">.</w:t>
      </w:r>
    </w:p>
    <w:bookmarkEnd w:id="162"/>
    <w:bookmarkStart w:id="163" w:name="where-he-hands-the-book-its-own-argument"/>
    <w:p>
      <w:pPr>
        <w:pStyle w:val="Heading2"/>
      </w:pPr>
      <w:r>
        <w:t xml:space="preserve">2. Where he hands the book its own argument</w:t>
      </w:r>
    </w:p>
    <w:p>
      <w:pPr>
        <w:pStyle w:val="FirstParagraph"/>
      </w:pPr>
      <w:r>
        <w:rPr>
          <w:bCs/>
          <w:b/>
        </w:rPr>
        <w:t xml:space="preserve">The Middle-Ages frame is his.</w:t>
      </w:r>
      <w:r>
        <w:t xml:space="preserve"> </w:t>
      </w:r>
      <w:r>
        <w:t xml:space="preserve">The Cloud layer opens with Kojève (1945):</w:t>
      </w:r>
      <w:r>
        <w:t xml:space="preserve"> </w:t>
      </w:r>
      <w:r>
        <w:t xml:space="preserve">“</w:t>
      </w:r>
      <w:r>
        <w:t xml:space="preserve">a decisive turning point in history, comparable to the one that took place at the end of the Middle Ages… the progressive elimination of</w:t>
      </w:r>
      <w:r>
        <w:t xml:space="preserve"> </w:t>
      </w:r>
      <w:r>
        <w:t xml:space="preserve">‘</w:t>
      </w:r>
      <w:r>
        <w:t xml:space="preserve">feudal</w:t>
      </w:r>
      <w:r>
        <w:t xml:space="preserve">’</w:t>
      </w:r>
      <w:r>
        <w:t xml:space="preserve"> </w:t>
      </w:r>
      <w:r>
        <w:t xml:space="preserve">political formations… to the benefit of kingdoms… At present, it is these nation-States which, irresistibly, are gradually giving way to political formations which transgress national borders and which could be designated with the term</w:t>
      </w:r>
      <w:r>
        <w:t xml:space="preserve"> </w:t>
      </w:r>
      <w:r>
        <w:t xml:space="preserve">‘</w:t>
      </w:r>
      <w:r>
        <w:t xml:space="preserve">Empires</w:t>
      </w:r>
      <w:r>
        <w:t xml:space="preserve">’</w:t>
      </w:r>
      <w:r>
        <w:t xml:space="preserve">… The modern State is only truly a State if it is an Empire</w:t>
      </w:r>
      <w:r>
        <w:t xml:space="preserve">”</w:t>
      </w:r>
      <w:r>
        <w:t xml:space="preserve"> </w:t>
      </w:r>
      <w:r>
        <w:t xml:space="preserve">[scan p.141]. The Introduction lists</w:t>
      </w:r>
      <w:r>
        <w:t xml:space="preserve"> </w:t>
      </w:r>
      <w:r>
        <w:t xml:space="preserve">“</w:t>
      </w:r>
      <w:r>
        <w:t xml:space="preserve">medieval returns</w:t>
      </w:r>
      <w:r>
        <w:t xml:space="preserve">”</w:t>
      </w:r>
      <w:r>
        <w:t xml:space="preserve"> </w:t>
      </w:r>
      <w:r>
        <w:t xml:space="preserve">among the symptoms of the present</w:t>
      </w:r>
      <w:r>
        <w:t xml:space="preserve"> </w:t>
      </w:r>
      <w:r>
        <w:t xml:space="preserve">“</w:t>
      </w:r>
      <w:r>
        <w:t xml:space="preserve">overbordering</w:t>
      </w:r>
      <w:r>
        <w:t xml:space="preserve">”</w:t>
      </w:r>
      <w:r>
        <w:t xml:space="preserve"> </w:t>
      </w:r>
      <w:r>
        <w:t xml:space="preserve">[scan p.19]. The consolidation-at-bloc-scale arc is the epigraph he chose.</w:t>
      </w:r>
    </w:p>
    <w:p>
      <w:pPr>
        <w:pStyle w:val="BodyText"/>
      </w:pPr>
      <w:r>
        <w:rPr>
          <w:bCs/>
          <w:b/>
        </w:rPr>
        <w:t xml:space="preserve">The taille and the off-switch, stated from the platform side.</w:t>
      </w:r>
      <w:r>
        <w:t xml:space="preserve"> </w:t>
      </w:r>
      <w:r>
        <w:t xml:space="preserve">“</w:t>
      </w:r>
      <w:r>
        <w:t xml:space="preserve">The practical locus of governmental control is over the capacity to structure, police, and, especially, tax flows: flows of people, money, data, energy. Through the control of the interfaces of input and output, be that a port city, a great firewall, or a superjurisdictional seizure, the taxation of flows is both the means by which states execute the right to exact capital and the result of sovereignty</w:t>
      </w:r>
      <w:r>
        <w:t xml:space="preserve">”</w:t>
      </w:r>
      <w:r>
        <w:t xml:space="preserve"> </w:t>
      </w:r>
      <w:r>
        <w:t xml:space="preserve">[scan p.164–165]. This is the revocation metric (GPT 5.6 Sol) and the playbook’s</w:t>
      </w:r>
      <w:r>
        <w:t xml:space="preserve"> </w:t>
      </w:r>
      <w:r>
        <w:t xml:space="preserve">“</w:t>
      </w:r>
      <w:r>
        <w:t xml:space="preserve">power switch test</w:t>
      </w:r>
      <w:r>
        <w:t xml:space="preserve">”</w:t>
      </w:r>
      <w:r>
        <w:t xml:space="preserve"> </w:t>
      </w:r>
      <w:r>
        <w:t xml:space="preserve">before either existed; it should be quoted in ch12 as the point of contact.</w:t>
      </w:r>
    </w:p>
    <w:p>
      <w:pPr>
        <w:pStyle w:val="BodyText"/>
      </w:pPr>
      <w:r>
        <w:rPr>
          <w:bCs/>
          <w:b/>
        </w:rPr>
        <w:t xml:space="preserve">China as the state that keeps the riverbed.</w:t>
      </w:r>
      <w:r>
        <w:t xml:space="preserve"> </w:t>
      </w:r>
      <w:r>
        <w:t xml:space="preserve">The Sino-Google War is</w:t>
      </w:r>
      <w:r>
        <w:t xml:space="preserve"> </w:t>
      </w:r>
      <w:r>
        <w:t xml:space="preserve">“</w:t>
      </w:r>
      <w:r>
        <w:t xml:space="preserve">a conflict… over the predominance of two different modes of sovereignty… a state that would dominate and determine the network sovereignty of information and energy flows versus a platform that would… exceed, in deed if not letter, the last-instance sovereignty of the state</w:t>
      </w:r>
      <w:r>
        <w:t xml:space="preserve">”</w:t>
      </w:r>
      <w:r>
        <w:t xml:space="preserve"> </w:t>
      </w:r>
      <w:r>
        <w:t xml:space="preserve">[scan p.143]; Fang Binxing:</w:t>
      </w:r>
      <w:r>
        <w:t xml:space="preserve"> </w:t>
      </w:r>
      <w:r>
        <w:t xml:space="preserve">“</w:t>
      </w:r>
      <w:r>
        <w:t xml:space="preserve">Water has no nationality, but riverbeds are sovereign territories</w:t>
      </w:r>
      <w:r>
        <w:t xml:space="preserve">”</w:t>
      </w:r>
      <w:r>
        <w:t xml:space="preserve"> </w:t>
      </w:r>
      <w:r>
        <w:t xml:space="preserve">[scan p.143]. Spine §5’s</w:t>
      </w:r>
      <w:r>
        <w:t xml:space="preserve"> </w:t>
      </w:r>
      <w:r>
        <w:t xml:space="preserve">“</w:t>
      </w:r>
      <w:r>
        <w:t xml:space="preserve">China closest to current Tudor norms</w:t>
      </w:r>
      <w:r>
        <w:t xml:space="preserve">”</w:t>
      </w:r>
      <w:r>
        <w:t xml:space="preserve"> </w:t>
      </w:r>
      <w:r>
        <w:t xml:space="preserve">has its 2015 witness.</w:t>
      </w:r>
    </w:p>
    <w:p>
      <w:pPr>
        <w:pStyle w:val="BodyText"/>
      </w:pPr>
      <w:r>
        <w:rPr>
          <w:bCs/>
          <w:b/>
        </w:rPr>
        <w:t xml:space="preserve">Capital intensity and concentration, without the conclusion.</w:t>
      </w:r>
      <w:r>
        <w:t xml:space="preserve"> </w:t>
      </w:r>
      <w:r>
        <w:t xml:space="preserve">Cloud economics</w:t>
      </w:r>
      <w:r>
        <w:t xml:space="preserve"> </w:t>
      </w:r>
      <w:r>
        <w:t xml:space="preserve">“</w:t>
      </w:r>
      <w:r>
        <w:t xml:space="preserve">predicated on efficiencies of centralization</w:t>
      </w:r>
      <w:r>
        <w:t xml:space="preserve">”</w:t>
      </w:r>
      <w:r>
        <w:t xml:space="preserve"> </w:t>
      </w:r>
      <w:r>
        <w:t xml:space="preserve">produce</w:t>
      </w:r>
      <w:r>
        <w:t xml:space="preserve"> </w:t>
      </w:r>
      <w:r>
        <w:t xml:space="preserve">“</w:t>
      </w:r>
      <w:r>
        <w:t xml:space="preserve">the rapid centripetal centralization of information toward a small number of global Cloud platforms capable of supporting and leveraging service infrastructures at such a massive scale</w:t>
      </w:r>
      <w:r>
        <w:t xml:space="preserve">”</w:t>
      </w:r>
      <w:r>
        <w:t xml:space="preserve"> </w:t>
      </w:r>
      <w:r>
        <w:t xml:space="preserve">[scan p.146]; the platforms’ future as</w:t>
      </w:r>
      <w:r>
        <w:t xml:space="preserve"> </w:t>
      </w:r>
      <w:r>
        <w:t xml:space="preserve">“</w:t>
      </w:r>
      <w:r>
        <w:t xml:space="preserve">quasi-independent geopolitical domains may be determined to a significant degree by their ability to deploy their own competitively effective, end-to-end cyberinfrastructures</w:t>
      </w:r>
      <w:r>
        <w:t xml:space="preserve">”</w:t>
      </w:r>
      <w:r>
        <w:t xml:space="preserve"> </w:t>
      </w:r>
      <w:r>
        <w:t xml:space="preserve">[scan p.148]; data centres under mountains beside dams, the energy appetite of the next billions of users and objects, oceanic data centres [scan pp.144–146]. He documents the concentration the book’s mechanism requires — few chokepoints, so an off-switch is possible — and stops at</w:t>
      </w:r>
      <w:r>
        <w:t xml:space="preserve"> </w:t>
      </w:r>
      <w:r>
        <w:t xml:space="preserve">“</w:t>
      </w:r>
      <w:r>
        <w:t xml:space="preserve">sovereignty is not just made about infrastructural lines; it is made by infrastructural lines</w:t>
      </w:r>
      <w:r>
        <w:t xml:space="preserve">”</w:t>
      </w:r>
      <w:r>
        <w:t xml:space="preserve"> </w:t>
      </w:r>
      <w:r>
        <w:t xml:space="preserve">[scan p.41]. The book asks who can pay for the lines.</w:t>
      </w:r>
    </w:p>
    <w:p>
      <w:pPr>
        <w:pStyle w:val="BodyText"/>
      </w:pPr>
      <w:r>
        <w:rPr>
          <w:bCs/>
          <w:b/>
        </w:rPr>
        <w:t xml:space="preserve">The state as stack-builder.</w:t>
      </w:r>
      <w:r>
        <w:t xml:space="preserve"> </w:t>
      </w:r>
      <w:r>
        <w:t xml:space="preserve">“</w:t>
      </w:r>
      <w:r>
        <w:t xml:space="preserve">Even the US Department of Defense are Stack theorists, having made their own version of a Stack model of planetary-scale computation in semisecrecy</w:t>
      </w:r>
      <w:r>
        <w:t xml:space="preserve">”</w:t>
      </w:r>
      <w:r>
        <w:t xml:space="preserve"> </w:t>
      </w:r>
      <w:r>
        <w:t xml:space="preserve">[scan p.284; also p.347].</w:t>
      </w:r>
    </w:p>
    <w:p>
      <w:pPr>
        <w:pStyle w:val="BodyText"/>
      </w:pPr>
      <w:r>
        <w:rPr>
          <w:bCs/>
          <w:b/>
        </w:rPr>
        <w:t xml:space="preserve">Cartography and citizenship.</w:t>
      </w:r>
      <w:r>
        <w:t xml:space="preserve"> </w:t>
      </w:r>
      <w:r>
        <w:t xml:space="preserve">Google Maps shifting the Nicaragua–Costa Rica line (2010) and Google recognising Palestine ahead of the UN [scan p.148]; platforms</w:t>
      </w:r>
      <w:r>
        <w:t xml:space="preserve"> </w:t>
      </w:r>
      <w:r>
        <w:t xml:space="preserve">“</w:t>
      </w:r>
      <w:r>
        <w:t xml:space="preserve">assumed and absorbed several core political functions of the modern state</w:t>
      </w:r>
      <w:r>
        <w:t xml:space="preserve">”</w:t>
      </w:r>
      <w:r>
        <w:t xml:space="preserve"> </w:t>
      </w:r>
      <w:r>
        <w:t xml:space="preserve">[scan p.148]; the challenge to</w:t>
      </w:r>
      <w:r>
        <w:t xml:space="preserve"> </w:t>
      </w:r>
      <w:r>
        <w:t xml:space="preserve">“</w:t>
      </w:r>
      <w:r>
        <w:t xml:space="preserve">the state’s monopoly on legitimate violence… but also its monopoly on legitimate citizenships</w:t>
      </w:r>
      <w:r>
        <w:t xml:space="preserve">”</w:t>
      </w:r>
      <w:r>
        <w:t xml:space="preserve"> </w:t>
      </w:r>
      <w:r>
        <w:t xml:space="preserve">[scan p.150];</w:t>
      </w:r>
      <w:r>
        <w:t xml:space="preserve"> </w:t>
      </w:r>
      <w:r>
        <w:t xml:space="preserve">“</w:t>
      </w:r>
      <w:r>
        <w:t xml:space="preserve">Clouds become de facto states</w:t>
      </w:r>
      <w:r>
        <w:t xml:space="preserve">”</w:t>
      </w:r>
      <w:r>
        <w:t xml:space="preserve"> </w:t>
      </w:r>
      <w:r>
        <w:t xml:space="preserve">[scan p.149]. For ch02 (the New Church) this is the sharpest contemporary statement of a universalist institution assuming sovereign functions.</w:t>
      </w:r>
    </w:p>
    <w:bookmarkEnd w:id="163"/>
    <w:bookmarkStart w:id="164" w:name="X14e5e48968ffc3259306bd627e17b7770eaf1aa"/>
    <w:p>
      <w:pPr>
        <w:pStyle w:val="Heading2"/>
      </w:pPr>
      <w:r>
        <w:t xml:space="preserve">3. The 2026 piece: Bratton has moved toward the book</w:t>
      </w:r>
    </w:p>
    <w:p>
      <w:pPr>
        <w:pStyle w:val="FirstParagraph"/>
      </w:pPr>
      <w:r>
        <w:t xml:space="preserve">“</w:t>
      </w:r>
      <w:r>
        <w:t xml:space="preserve">Planetary Computation’s Next Phase</w:t>
      </w:r>
      <w:r>
        <w:t xml:space="preserve">”</w:t>
      </w:r>
      <w:r>
        <w:t xml:space="preserve"> </w:t>
      </w:r>
      <w:r>
        <w:t xml:space="preserve">(5 Feb 2026) adds four things. (a) The four blocs, named:</w:t>
      </w:r>
      <w:r>
        <w:t xml:space="preserve"> </w:t>
      </w:r>
      <w:r>
        <w:t xml:space="preserve">“</w:t>
      </w:r>
      <w:r>
        <w:t xml:space="preserve">The term I coined for this fragmentation is Hemispherical Stacks: a China Stack, a US Stack, an India Stack, an EU Stack, and so forth</w:t>
      </w:r>
      <w:r>
        <w:t xml:space="preserve">”</w:t>
      </w:r>
      <w:r>
        <w:t xml:space="preserve"> </w:t>
      </w:r>
      <w:r>
        <w:t xml:space="preserve">— the book’s four polities, India included, from the opposite direction. (b) Geopolitics and computation are one thing:</w:t>
      </w:r>
      <w:r>
        <w:t xml:space="preserve"> </w:t>
      </w:r>
      <w:r>
        <w:t xml:space="preserve">“</w:t>
      </w:r>
      <w:r>
        <w:t xml:space="preserve">the multipolarization of geopolitics over the last decade and the multipolarization of planetary computation over the same period not only track one another; they are the same thing. To build a Stack is to build a society and vice versa, a truth that drives the new adversarial dynamics of world affairs over the competitive access to foundational Stack capacities.</w:t>
      </w:r>
      <w:r>
        <w:t xml:space="preserve">”</w:t>
      </w:r>
      <w:r>
        <w:t xml:space="preserve"> </w:t>
      </w:r>
      <w:r>
        <w:t xml:space="preserve">(c) Re-subordination observed:</w:t>
      </w:r>
      <w:r>
        <w:t xml:space="preserve"> </w:t>
      </w:r>
      <w:r>
        <w:t xml:space="preserve">“</w:t>
      </w:r>
      <w:r>
        <w:t xml:space="preserve">an increasing encapsulation of global platforms within the expanded borders of their host hemisphere: service withdrawals, app bans, deeper, direct connections with the state… caused by a fundamental shift in the basic relations between data and sovereignty</w:t>
      </w:r>
      <w:r>
        <w:t xml:space="preserve">”</w:t>
      </w:r>
      <w:r>
        <w:t xml:space="preserve">; AI</w:t>
      </w:r>
      <w:r>
        <w:t xml:space="preserve"> </w:t>
      </w:r>
      <w:r>
        <w:t xml:space="preserve">“</w:t>
      </w:r>
      <w:r>
        <w:t xml:space="preserve">is already identified as a primary domain of state security.</w:t>
      </w:r>
      <w:r>
        <w:t xml:space="preserve">”</w:t>
      </w:r>
      <w:r>
        <w:t xml:space="preserve"> </w:t>
      </w:r>
      <w:r>
        <w:t xml:space="preserve">(d) The Earth layer as contest:</w:t>
      </w:r>
      <w:r>
        <w:t xml:space="preserve"> </w:t>
      </w:r>
      <w:r>
        <w:t xml:space="preserve">“</w:t>
      </w:r>
      <w:r>
        <w:t xml:space="preserve">competition between China and the US for access to the minerals and compounds necessary for Stack construction has moved from an obscure policy discourse to the front pages</w:t>
      </w:r>
      <w:r>
        <w:t xml:space="preserve">”</w:t>
      </w:r>
      <w:r>
        <w:t xml:space="preserve">; platforms</w:t>
      </w:r>
      <w:r>
        <w:t xml:space="preserve"> </w:t>
      </w:r>
      <w:r>
        <w:t xml:space="preserve">“</w:t>
      </w:r>
      <w:r>
        <w:t xml:space="preserve">secure as much electricity as possible.</w:t>
      </w:r>
      <w:r>
        <w:t xml:space="preserve">”</w:t>
      </w:r>
      <w:r>
        <w:t xml:space="preserve"> </w:t>
      </w:r>
      <w:r>
        <w:t xml:space="preserve">Against all of this he keeps the hybrid: private enterprises</w:t>
      </w:r>
      <w:r>
        <w:t xml:space="preserve"> </w:t>
      </w:r>
      <w:r>
        <w:t xml:space="preserve">“</w:t>
      </w:r>
      <w:r>
        <w:t xml:space="preserve">may operate more independently,</w:t>
      </w:r>
      <w:r>
        <w:t xml:space="preserve">”</w:t>
      </w:r>
      <w:r>
        <w:t xml:space="preserve"> </w:t>
      </w:r>
      <w:r>
        <w:t xml:space="preserve">and the machinations are</w:t>
      </w:r>
      <w:r>
        <w:t xml:space="preserve"> </w:t>
      </w:r>
      <w:r>
        <w:t xml:space="preserve">“</w:t>
      </w:r>
      <w:r>
        <w:t xml:space="preserve">uncertain.</w:t>
      </w:r>
      <w:r>
        <w:t xml:space="preserve">”</w:t>
      </w:r>
    </w:p>
    <w:p>
      <w:pPr>
        <w:pStyle w:val="BodyText"/>
      </w:pPr>
      <w:r>
        <w:t xml:space="preserve">So by 2026 Bratton describes the dispersal (functional governance</w:t>
      </w:r>
      <w:r>
        <w:t xml:space="preserve"> </w:t>
      </w:r>
      <w:r>
        <w:t xml:space="preserve">“</w:t>
      </w:r>
      <w:r>
        <w:t xml:space="preserve">infused into the operations of those technical systems at the expense of legal and legislative institutions</w:t>
      </w:r>
      <w:r>
        <w:t xml:space="preserve">”</w:t>
      </w:r>
      <w:r>
        <w:t xml:space="preserve">) and the encapsulation within blocs with</w:t>
      </w:r>
      <w:r>
        <w:t xml:space="preserve"> </w:t>
      </w:r>
      <w:r>
        <w:t xml:space="preserve">“</w:t>
      </w:r>
      <w:r>
        <w:t xml:space="preserve">direct connections with the state</w:t>
      </w:r>
      <w:r>
        <w:t xml:space="preserve">”</w:t>
      </w:r>
      <w:r>
        <w:t xml:space="preserve"> </w:t>
      </w:r>
      <w:r>
        <w:t xml:space="preserve">in the same paragraph — the neomedieval condition and the beginning of its reversal — and still supplies no mechanism that decides between them. That is the book’s opening.</w:t>
      </w:r>
    </w:p>
    <w:bookmarkEnd w:id="164"/>
    <w:bookmarkStart w:id="165" w:name="X74fd5d0d8b29c4b5f46cb55375d5c2ad8ffdc31"/>
    <w:p>
      <w:pPr>
        <w:pStyle w:val="Heading2"/>
      </w:pPr>
      <w:r>
        <w:t xml:space="preserve">4. The genuine disagreements, to engage rather than smooth</w:t>
      </w:r>
    </w:p>
    <w:p>
      <w:pPr>
        <w:numPr>
          <w:ilvl w:val="0"/>
          <w:numId w:val="1058"/>
        </w:numPr>
      </w:pPr>
      <w:r>
        <w:rPr>
          <w:bCs/>
          <w:b/>
        </w:rPr>
        <w:t xml:space="preserve">No teleology versus a compelled outcome.</w:t>
      </w:r>
      <w:r>
        <w:t xml:space="preserve"> </w:t>
      </w:r>
      <w:r>
        <w:t xml:space="preserve">“</w:t>
      </w:r>
      <w:r>
        <w:t xml:space="preserve">The Stack suggests no teleology or necessary outcome, and the specter of Cloud feudalism becoming the normal twenty-first-century macroeconomics is a real possibility</w:t>
      </w:r>
      <w:r>
        <w:t xml:space="preserve">”</w:t>
      </w:r>
      <w:r>
        <w:t xml:space="preserve"> </w:t>
      </w:r>
      <w:r>
        <w:t xml:space="preserve">[scan p.165];</w:t>
      </w:r>
      <w:r>
        <w:t xml:space="preserve"> </w:t>
      </w:r>
      <w:r>
        <w:t xml:space="preserve">“</w:t>
      </w:r>
      <w:r>
        <w:t xml:space="preserve">Who knows? They may get what they want, but they may not want what they get</w:t>
      </w:r>
      <w:r>
        <w:t xml:space="preserve">”</w:t>
      </w:r>
      <w:r>
        <w:t xml:space="preserve"> </w:t>
      </w:r>
      <w:r>
        <w:t xml:space="preserve">[scan p.293]. His Cloud feudalism (enclaves, exit over voice, Srinivasan’s</w:t>
      </w:r>
      <w:r>
        <w:t xml:space="preserve"> </w:t>
      </w:r>
      <w:r>
        <w:t xml:space="preserve">“</w:t>
      </w:r>
      <w:r>
        <w:t xml:space="preserve">Ultimate Exit,</w:t>
      </w:r>
      <w:r>
        <w:t xml:space="preserve">”</w:t>
      </w:r>
      <w:r>
        <w:t xml:space="preserve"> </w:t>
      </w:r>
      <w:r>
        <w:t xml:space="preserve">Hanson’s trillionaires —</w:t>
      </w:r>
      <w:r>
        <w:t xml:space="preserve"> </w:t>
      </w:r>
      <w:r>
        <w:t xml:space="preserve">“</w:t>
      </w:r>
      <w:r>
        <w:t xml:space="preserve">psychotic, incestuous autocracies</w:t>
      </w:r>
      <w:r>
        <w:t xml:space="preserve">”</w:t>
      </w:r>
      <w:r>
        <w:t xml:space="preserve"> </w:t>
      </w:r>
      <w:r>
        <w:t xml:space="preserve">[scan p.306]) is the book’s dispersal seen from inside the platforms; his Kojèvian Empire is the book’s consolidation. He declines to choose. The book’s claim against him is not that he is wrong about the present but that the price of decisive force decides the choice — and spine §7’s tense (compelled, not accomplished) is exactly the register in which to say so.</w:t>
      </w:r>
    </w:p>
    <w:p>
      <w:pPr>
        <w:numPr>
          <w:ilvl w:val="0"/>
          <w:numId w:val="1058"/>
        </w:numPr>
      </w:pPr>
      <w:r>
        <w:rPr>
          <w:bCs/>
          <w:b/>
        </w:rPr>
        <w:t xml:space="preserve">Uncontrollable in both directions.</w:t>
      </w:r>
      <w:r>
        <w:t xml:space="preserve"> </w:t>
      </w:r>
      <w:r>
        <w:t xml:space="preserve">The platform is</w:t>
      </w:r>
      <w:r>
        <w:t xml:space="preserve"> </w:t>
      </w:r>
      <w:r>
        <w:t xml:space="preserve">“</w:t>
      </w:r>
      <w:r>
        <w:t xml:space="preserve">perhaps both too big for the state to control… and too small to control</w:t>
      </w:r>
      <w:r>
        <w:t xml:space="preserve">”</w:t>
      </w:r>
      <w:r>
        <w:t xml:space="preserve"> </w:t>
      </w:r>
      <w:r>
        <w:t xml:space="preserve">[scan p.143], able to</w:t>
      </w:r>
      <w:r>
        <w:t xml:space="preserve"> </w:t>
      </w:r>
      <w:r>
        <w:t xml:space="preserve">“</w:t>
      </w:r>
      <w:r>
        <w:t xml:space="preserve">pour down on Chinese sovereign territory in such a way that the state would be as powerless to enforce policy on it as it is on the rain</w:t>
      </w:r>
      <w:r>
        <w:t xml:space="preserve">”</w:t>
      </w:r>
      <w:r>
        <w:t xml:space="preserve"> </w:t>
      </w:r>
      <w:r>
        <w:t xml:space="preserve">[scan p.145]; platform sovereignties are</w:t>
      </w:r>
      <w:r>
        <w:t xml:space="preserve"> </w:t>
      </w:r>
      <w:r>
        <w:t xml:space="preserve">“</w:t>
      </w:r>
      <w:r>
        <w:t xml:space="preserve">quite capable of bending state claims against their will</w:t>
      </w:r>
      <w:r>
        <w:t xml:space="preserve">”</w:t>
      </w:r>
      <w:r>
        <w:t xml:space="preserve"> </w:t>
      </w:r>
      <w:r>
        <w:t xml:space="preserve">[scan p.42]. This is the strongest form of the objection. The answer is about layers: it is an argument about packets, not about fabs, launch, compute and finance — the layers he himself calls centralised and ruinously expensive. The state does not need to control the water; it needs to own the reservoir. Bratton concedes the decisive layer already secedes: alternative networks</w:t>
      </w:r>
      <w:r>
        <w:t xml:space="preserve"> </w:t>
      </w:r>
      <w:r>
        <w:t xml:space="preserve">“</w:t>
      </w:r>
      <w:r>
        <w:t xml:space="preserve">for some military and financial sectors… already exist and thrive</w:t>
      </w:r>
      <w:r>
        <w:t xml:space="preserve">”</w:t>
      </w:r>
      <w:r>
        <w:t xml:space="preserve"> </w:t>
      </w:r>
      <w:r>
        <w:t xml:space="preserve">[scan p.41].</w:t>
      </w:r>
    </w:p>
    <w:p>
      <w:pPr>
        <w:numPr>
          <w:ilvl w:val="0"/>
          <w:numId w:val="1058"/>
        </w:numPr>
      </w:pPr>
      <w:r>
        <w:rPr>
          <w:bCs/>
          <w:b/>
        </w:rPr>
        <w:t xml:space="preserve">Divisibility.</w:t>
      </w:r>
      <w:r>
        <w:t xml:space="preserve"> </w:t>
      </w:r>
      <w:r>
        <w:t xml:space="preserve">Layers may be</w:t>
      </w:r>
      <w:r>
        <w:t xml:space="preserve"> </w:t>
      </w:r>
      <w:r>
        <w:t xml:space="preserve">“</w:t>
      </w:r>
      <w:r>
        <w:t xml:space="preserve">strongly incorporated… into complete vertical systems</w:t>
      </w:r>
      <w:r>
        <w:t xml:space="preserve">”</w:t>
      </w:r>
      <w:r>
        <w:t xml:space="preserve"> </w:t>
      </w:r>
      <w:r>
        <w:t xml:space="preserve">or</w:t>
      </w:r>
      <w:r>
        <w:t xml:space="preserve"> </w:t>
      </w:r>
      <w:r>
        <w:t xml:space="preserve">“</w:t>
      </w:r>
      <w:r>
        <w:t xml:space="preserve">strongly modular… into separate and counterprogrammable components</w:t>
      </w:r>
      <w:r>
        <w:t xml:space="preserve">”</w:t>
      </w:r>
      <w:r>
        <w:t xml:space="preserve"> </w:t>
      </w:r>
      <w:r>
        <w:t xml:space="preserve">[scan p.302]; exit can be taken</w:t>
      </w:r>
      <w:r>
        <w:t xml:space="preserve"> </w:t>
      </w:r>
      <w:r>
        <w:t xml:space="preserve">“</w:t>
      </w:r>
      <w:r>
        <w:t xml:space="preserve">at whatever level</w:t>
      </w:r>
      <w:r>
        <w:t xml:space="preserve">”</w:t>
      </w:r>
      <w:r>
        <w:t xml:space="preserve"> </w:t>
      </w:r>
      <w:r>
        <w:t xml:space="preserve">[scan p.301]. The council’s divisibility disanalogy (GLM 5.2) is Bratton’s own. The book must say which layers are indivisible — those that require a fisc — and concede the rest are rentable.</w:t>
      </w:r>
    </w:p>
    <w:p>
      <w:pPr>
        <w:numPr>
          <w:ilvl w:val="0"/>
          <w:numId w:val="1058"/>
        </w:numPr>
      </w:pPr>
      <w:r>
        <w:rPr>
          <w:bCs/>
          <w:b/>
        </w:rPr>
        <w:t xml:space="preserve">His normative disposition.</w:t>
      </w:r>
      <w:r>
        <w:t xml:space="preserve"> </w:t>
      </w:r>
      <w:r>
        <w:t xml:space="preserve">Data localisation is</w:t>
      </w:r>
      <w:r>
        <w:t xml:space="preserve"> </w:t>
      </w:r>
      <w:r>
        <w:t xml:space="preserve">“</w:t>
      </w:r>
      <w:r>
        <w:t xml:space="preserve">a reactionary counter-policing that is of dubious value in the long run… the sort of nationalism that always ends in tears</w:t>
      </w:r>
      <w:r>
        <w:t xml:space="preserve">”</w:t>
      </w:r>
      <w:r>
        <w:t xml:space="preserve"> </w:t>
      </w:r>
      <w:r>
        <w:t xml:space="preserve">[scan p.41]. Reviewers in his camp will bring this. The reply: the book predicts a control settlement (licensing, revocation, the switch), not the balkanised internet he rejects; and his own 2026 text now records</w:t>
      </w:r>
      <w:r>
        <w:t xml:space="preserve"> </w:t>
      </w:r>
      <w:r>
        <w:t xml:space="preserve">“</w:t>
      </w:r>
      <w:r>
        <w:t xml:space="preserve">app bans</w:t>
      </w:r>
      <w:r>
        <w:t xml:space="preserve">”</w:t>
      </w:r>
      <w:r>
        <w:t xml:space="preserve"> </w:t>
      </w:r>
      <w:r>
        <w:t xml:space="preserve">and</w:t>
      </w:r>
      <w:r>
        <w:t xml:space="preserve"> </w:t>
      </w:r>
      <w:r>
        <w:t xml:space="preserve">“</w:t>
      </w:r>
      <w:r>
        <w:t xml:space="preserve">service withdrawals</w:t>
      </w:r>
      <w:r>
        <w:t xml:space="preserve">”</w:t>
      </w:r>
      <w:r>
        <w:t xml:space="preserve"> </w:t>
      </w:r>
      <w:r>
        <w:t xml:space="preserve">as the observed condition.</w:t>
      </w:r>
    </w:p>
    <w:p>
      <w:pPr>
        <w:numPr>
          <w:ilvl w:val="0"/>
          <w:numId w:val="1058"/>
        </w:numPr>
      </w:pPr>
      <w:r>
        <w:rPr>
          <w:bCs/>
          <w:b/>
        </w:rPr>
        <w:t xml:space="preserve">Schmitt.</w:t>
      </w:r>
      <w:r>
        <w:t xml:space="preserve"> </w:t>
      </w:r>
      <w:r>
        <w:t xml:space="preserve">Bratton uses Schmitt’s nomos (seizure–division–tending; Landnahme) to argue that the Stack</w:t>
      </w:r>
      <w:r>
        <w:t xml:space="preserve"> </w:t>
      </w:r>
      <w:r>
        <w:t xml:space="preserve">“</w:t>
      </w:r>
      <w:r>
        <w:t xml:space="preserve">may be what retires the Schmittian nomos altogether</w:t>
      </w:r>
      <w:r>
        <w:t xml:space="preserve">”</w:t>
      </w:r>
      <w:r>
        <w:t xml:space="preserve"> </w:t>
      </w:r>
      <w:r>
        <w:t xml:space="preserve">[scan p.32], that</w:t>
      </w:r>
      <w:r>
        <w:t xml:space="preserve"> </w:t>
      </w:r>
      <w:r>
        <w:t xml:space="preserve">“</w:t>
      </w:r>
      <w:r>
        <w:t xml:space="preserve">the Stack is occupying itself</w:t>
      </w:r>
      <w:r>
        <w:t xml:space="preserve">”</w:t>
      </w:r>
      <w:r>
        <w:t xml:space="preserve"> </w:t>
      </w:r>
      <w:r>
        <w:t xml:space="preserve">[scan p.35], and that no external appropriator is needed. The book’s evidence is that walls stopped mattering in 1450 for a cost reason and that the order which replaced them was more grounded (fiscal-administrative), not less. The appropriator is the polity that can pay for decisive force. This is the theoretical joint where the book and Bratton are furthest apart and where ch12/coda should place the engagement.</w:t>
      </w:r>
    </w:p>
    <w:bookmarkEnd w:id="165"/>
    <w:bookmarkStart w:id="166" w:name="Xb1370be02bc81bfac466ea48ea049e7a4ad53d4"/>
    <w:p>
      <w:pPr>
        <w:pStyle w:val="Heading2"/>
      </w:pPr>
      <w:r>
        <w:t xml:space="preserve">5. Placement (proposals for Roderick’s ruling)</w:t>
      </w:r>
    </w:p>
    <w:p>
      <w:pPr>
        <w:numPr>
          <w:ilvl w:val="0"/>
          <w:numId w:val="1059"/>
        </w:numPr>
        <w:pStyle w:val="Compact"/>
      </w:pPr>
      <w:r>
        <w:rPr>
          <w:bCs/>
          <w:b/>
        </w:rPr>
        <w:t xml:space="preserve">ch12 §IV and the per-bloc hybrid:</w:t>
      </w:r>
      <w:r>
        <w:t xml:space="preserve"> </w:t>
      </w:r>
      <w:r>
        <w:t xml:space="preserve">Bratton by name; the council’s reading corrected; the tax-flows sentence and the Kojève epigraph quoted; the 2026 Hemispherical Stacks as independent confirmation of the four-bloc casting; the disagreement stated as no-teleology versus compelled outcome, and the layer at which control is possible; his 2015 scenario of a Californian</w:t>
      </w:r>
      <w:r>
        <w:t xml:space="preserve"> </w:t>
      </w:r>
      <w:r>
        <w:t xml:space="preserve">“</w:t>
      </w:r>
      <w:r>
        <w:t xml:space="preserve">paying taxes to a state other than the one on [his] passport according to terms of service</w:t>
      </w:r>
      <w:r>
        <w:t xml:space="preserve">”</w:t>
      </w:r>
      <w:r>
        <w:t xml:space="preserve"> </w:t>
      </w:r>
      <w:r>
        <w:t xml:space="preserve">while China’s bloc is</w:t>
      </w:r>
      <w:r>
        <w:t xml:space="preserve"> </w:t>
      </w:r>
      <w:r>
        <w:t xml:space="preserve">“</w:t>
      </w:r>
      <w:r>
        <w:t xml:space="preserve">programmed to prevent interoperation with the EU platform</w:t>
      </w:r>
      <w:r>
        <w:t xml:space="preserve">”</w:t>
      </w:r>
      <w:r>
        <w:t xml:space="preserve"> </w:t>
      </w:r>
      <w:r>
        <w:t xml:space="preserve">[scan pp.304–305] as the hemispherical settlement sketched from the platform side.</w:t>
      </w:r>
    </w:p>
    <w:p>
      <w:pPr>
        <w:numPr>
          <w:ilvl w:val="0"/>
          <w:numId w:val="1059"/>
        </w:numPr>
        <w:pStyle w:val="Compact"/>
      </w:pPr>
      <w:r>
        <w:rPr>
          <w:bCs/>
          <w:b/>
        </w:rPr>
        <w:t xml:space="preserve">ch02:</w:t>
      </w:r>
      <w:r>
        <w:t xml:space="preserve"> </w:t>
      </w:r>
      <w:r>
        <w:t xml:space="preserve">the cartography and citizenship material [scan pp.148–150] as the contemporary statement of the platform as universalist institution.</w:t>
      </w:r>
    </w:p>
    <w:p>
      <w:pPr>
        <w:numPr>
          <w:ilvl w:val="0"/>
          <w:numId w:val="1059"/>
        </w:numPr>
        <w:pStyle w:val="Compact"/>
      </w:pPr>
      <w:r>
        <w:rPr>
          <w:bCs/>
          <w:b/>
        </w:rPr>
        <w:t xml:space="preserve">ch01 / Appendix A:</w:t>
      </w:r>
      <w:r>
        <w:t xml:space="preserve"> </w:t>
      </w:r>
      <w:r>
        <w:t xml:space="preserve">Bratton as theorist of the dispersal’s</w:t>
      </w:r>
      <w:r>
        <w:t xml:space="preserve"> </w:t>
      </w:r>
      <w:r>
        <w:rPr>
          <w:iCs/>
          <w:i/>
        </w:rPr>
        <w:t xml:space="preserve">shape</w:t>
      </w:r>
      <w:r>
        <w:t xml:space="preserve"> </w:t>
      </w:r>
      <w:r>
        <w:t xml:space="preserve">— from Westphalian</w:t>
      </w:r>
      <w:r>
        <w:t xml:space="preserve"> </w:t>
      </w:r>
      <w:r>
        <w:t xml:space="preserve">“</w:t>
      </w:r>
      <w:r>
        <w:t xml:space="preserve">loops on a plane</w:t>
      </w:r>
      <w:r>
        <w:t xml:space="preserve">”</w:t>
      </w:r>
      <w:r>
        <w:t xml:space="preserve"> </w:t>
      </w:r>
      <w:r>
        <w:t xml:space="preserve">to</w:t>
      </w:r>
      <w:r>
        <w:t xml:space="preserve"> </w:t>
      </w:r>
      <w:r>
        <w:t xml:space="preserve">“</w:t>
      </w:r>
      <w:r>
        <w:t xml:space="preserve">a vertical, sectional stack</w:t>
      </w:r>
      <w:r>
        <w:t xml:space="preserve">”</w:t>
      </w:r>
      <w:r>
        <w:t xml:space="preserve"> </w:t>
      </w:r>
      <w:r>
        <w:t xml:space="preserve">[scan pp.42, 142];</w:t>
      </w:r>
      <w:r>
        <w:t xml:space="preserve"> </w:t>
      </w:r>
      <w:r>
        <w:t xml:space="preserve">“</w:t>
      </w:r>
      <w:r>
        <w:t xml:space="preserve">medieval returns</w:t>
      </w:r>
      <w:r>
        <w:t xml:space="preserve">”</w:t>
      </w:r>
      <w:r>
        <w:t xml:space="preserve"> </w:t>
      </w:r>
      <w:r>
        <w:t xml:space="preserve">[scan p.19].</w:t>
      </w:r>
    </w:p>
    <w:p>
      <w:pPr>
        <w:numPr>
          <w:ilvl w:val="0"/>
          <w:numId w:val="1059"/>
        </w:numPr>
        <w:pStyle w:val="Compact"/>
      </w:pPr>
      <w:r>
        <w:rPr>
          <w:bCs/>
          <w:b/>
        </w:rPr>
        <w:t xml:space="preserve">ch11 / coda:</w:t>
      </w:r>
      <w:r>
        <w:t xml:space="preserve"> </w:t>
      </w:r>
      <w:r>
        <w:t xml:space="preserve">Cloud feudalism versus Empire as Bratton’s own binary; his refusal to choose is the space the wager fills.</w:t>
      </w:r>
    </w:p>
    <w:p>
      <w:pPr>
        <w:numPr>
          <w:ilvl w:val="0"/>
          <w:numId w:val="1059"/>
        </w:numPr>
        <w:pStyle w:val="Compact"/>
      </w:pPr>
      <w:r>
        <w:rPr>
          <w:bCs/>
          <w:b/>
        </w:rPr>
        <w:t xml:space="preserve">Appendix C:</w:t>
      </w:r>
      <w:r>
        <w:t xml:space="preserve"> </w:t>
      </w:r>
      <w:r>
        <w:t xml:space="preserve">his 2015 observations as pre-registered baselines the decade has moved — states wanting</w:t>
      </w:r>
      <w:r>
        <w:t xml:space="preserve"> </w:t>
      </w:r>
      <w:r>
        <w:t xml:space="preserve">“</w:t>
      </w:r>
      <w:r>
        <w:t xml:space="preserve">to meter and tax Google for sending data over their lines</w:t>
      </w:r>
      <w:r>
        <w:t xml:space="preserve">”</w:t>
      </w:r>
      <w:r>
        <w:t xml:space="preserve"> </w:t>
      </w:r>
      <w:r>
        <w:t xml:space="preserve">[scan p.165] was an ITU aspiration then and is DMA/chip-control practice now; his 2026</w:t>
      </w:r>
      <w:r>
        <w:t xml:space="preserve"> </w:t>
      </w:r>
      <w:r>
        <w:t xml:space="preserve">“</w:t>
      </w:r>
      <w:r>
        <w:t xml:space="preserve">encapsulation… app bans… direct connections with the state</w:t>
      </w:r>
      <w:r>
        <w:t xml:space="preserve">”</w:t>
      </w:r>
      <w:r>
        <w:t xml:space="preserve"> </w:t>
      </w:r>
      <w:r>
        <w:t xml:space="preserve">as a dated observation for CA-8.</w:t>
      </w:r>
    </w:p>
    <w:p>
      <w:pPr>
        <w:numPr>
          <w:ilvl w:val="0"/>
          <w:numId w:val="1059"/>
        </w:numPr>
        <w:pStyle w:val="Compact"/>
      </w:pPr>
      <w:r>
        <w:rPr>
          <w:bCs/>
          <w:b/>
        </w:rPr>
        <w:t xml:space="preserve">ch10 §VIII:</w:t>
      </w:r>
      <w:r>
        <w:t xml:space="preserve"> </w:t>
      </w:r>
      <w:r>
        <w:t xml:space="preserve">the concentration passages [scan pp.146–148] as the platform-side statement of capital intensity.</w:t>
      </w:r>
    </w:p>
    <w:bookmarkEnd w:id="166"/>
    <w:bookmarkStart w:id="167" w:name="retrieval-consequences-1"/>
    <w:p>
      <w:pPr>
        <w:pStyle w:val="Heading2"/>
      </w:pPr>
      <w:r>
        <w:t xml:space="preserve">6. Retrieval consequences</w:t>
      </w:r>
    </w:p>
    <w:p>
      <w:pPr>
        <w:numPr>
          <w:ilvl w:val="0"/>
          <w:numId w:val="1060"/>
        </w:numPr>
        <w:pStyle w:val="Compact"/>
      </w:pPr>
      <w:r>
        <w:t xml:space="preserve">Bratton 2015: IN REPO as a partial, disordered scan (Black Stack chs. 75–77 absent; OCR degraded after ~scan p.340; scan pp.374–376 contaminated). For page pins a copy with printed pagination is needed — the MIT Press ebook or the tenth-anniversary edition (2026), which would also carry the revised text the 2026 article is adapted from. BUY.</w:t>
      </w:r>
    </w:p>
    <w:p>
      <w:pPr>
        <w:numPr>
          <w:ilvl w:val="0"/>
          <w:numId w:val="1060"/>
        </w:numPr>
        <w:pStyle w:val="Compact"/>
      </w:pPr>
      <w:r>
        <w:t xml:space="preserve">Bratton 2026 (MIT Press Reader): IN REPO, text captured.</w:t>
      </w:r>
    </w:p>
    <w:p>
      <w:pPr>
        <w:numPr>
          <w:ilvl w:val="0"/>
          <w:numId w:val="1060"/>
        </w:numPr>
        <w:pStyle w:val="Compact"/>
      </w:pPr>
      <w:r>
        <w:t xml:space="preserve">The tenth-anniversary edition of</w:t>
      </w:r>
      <w:r>
        <w:t xml:space="preserve"> </w:t>
      </w:r>
      <w:r>
        <w:rPr>
          <w:iCs/>
          <w:i/>
        </w:rPr>
        <w:t xml:space="preserve">The Stack</w:t>
      </w:r>
      <w:r>
        <w:t xml:space="preserve"> </w:t>
      </w:r>
      <w:r>
        <w:t xml:space="preserve">(MIT Press, 2026): PENDING — the authoritative statement of</w:t>
      </w:r>
      <w:r>
        <w:t xml:space="preserve"> </w:t>
      </w:r>
      <w:r>
        <w:t xml:space="preserve">“</w:t>
      </w:r>
      <w:r>
        <w:t xml:space="preserve">Hemispherical Stacks</w:t>
      </w:r>
      <w:r>
        <w:t xml:space="preserve">”</w:t>
      </w:r>
      <w:r>
        <w:t xml:space="preserve"> </w:t>
      </w:r>
      <w:r>
        <w:t xml:space="preserve">at book length.</w:t>
      </w:r>
    </w:p>
    <w:bookmarkEnd w:id="167"/>
    <w:bookmarkStart w:id="168" w:name="X51fe0c8adbf33251f403ef42496e518a4da81d1"/>
    <w:p>
      <w:pPr>
        <w:pStyle w:val="Heading2"/>
      </w:pPr>
      <w:r>
        <w:t xml:space="preserve">F2. research/overmighty-citizen-playbook.md — provenance header only (the body is your own commission; read at source)</w:t>
      </w:r>
    </w:p>
    <w:p>
      <w:pPr>
        <w:pStyle w:val="FirstParagraph"/>
      </w:pPr>
      <w:r>
        <w:t xml:space="preserve">Severing the Power Switch: An American Legislative</w:t>
      </w:r>
      <w:r>
        <w:t xml:space="preserve"> </w:t>
      </w:r>
      <w:r>
        <w:t xml:space="preserve">Strategy for the Tech Barons</w:t>
      </w:r>
      <w:r>
        <w:t xml:space="preserve"> </w:t>
      </w:r>
      <w:r>
        <w:t xml:space="preserve">1. Executive summary</w:t>
      </w:r>
      <w:r>
        <w:t xml:space="preserve"> </w:t>
      </w:r>
      <w:r>
        <w:t xml:space="preserve">The American response to private power has usually been neither confiscation nor laissezfaire. When a private actor controls a bottleneck through which public life must pass, Congress,</w:t>
      </w:r>
      <w:r>
        <w:t xml:space="preserve"> </w:t>
      </w:r>
      <w:r>
        <w:t xml:space="preserve">courts, and administrative agencies have repeatedly altered the architecture of control:</w:t>
      </w:r>
      <w:r>
        <w:t xml:space="preserve"> </w:t>
      </w:r>
      <w:r>
        <w:t xml:space="preserve">separate business lines, divest a vertical link, prohibit discriminatory access, simplify a</w:t>
      </w:r>
      <w:r>
        <w:t xml:space="preserve"> </w:t>
      </w:r>
      <w:r>
        <w:t xml:space="preserve">holding company, open an interface, or place rates and conduct under public supervision. The</w:t>
      </w:r>
      <w:r>
        <w:t xml:space="preserve"> </w:t>
      </w:r>
      <w:r>
        <w:t xml:space="preserve">object is not to make the proprietor poor. It is to make the proprietor unable to exercise</w:t>
      </w:r>
      <w:r>
        <w:t xml:space="preserve"> </w:t>
      </w:r>
      <w:r>
        <w:t xml:space="preserve">sovereign-like control through a privately owned switch.</w:t>
      </w:r>
      <w:r>
        <w:t xml:space="preserve"> </w:t>
      </w:r>
      <w:r>
        <w:t xml:space="preserve">Rockefeller remains the archetype. The Supreme Court applied the Sherman Act to dissolve</w:t>
      </w:r>
      <w:r>
        <w:t xml:space="preserve"> </w:t>
      </w:r>
      <w:r>
        <w:t xml:space="preserve">Standard Oil into 34 companies, yet Rockefeller retained his shares and became richer as the</w:t>
      </w:r>
    </w:p>
    <w:bookmarkEnd w:id="168"/>
    <w:bookmarkEnd w:id="169"/>
    <w:bookmarkStart w:id="170" w:name="part-g-spine-audit.md-whole"/>
    <w:p>
      <w:pPr>
        <w:pStyle w:val="Heading1"/>
      </w:pPr>
      <w:r>
        <w:t xml:space="preserve">Part G — spine-audit.md (whole)</w:t>
      </w:r>
    </w:p>
    <w:bookmarkEnd w:id="170"/>
    <w:bookmarkStart w:id="185" w:name="X5afefc0a7e0a7024ba6a2415944d9a5621f4864"/>
    <w:p>
      <w:pPr>
        <w:pStyle w:val="Heading1"/>
      </w:pPr>
      <w:r>
        <w:t xml:space="preserve">SPINE Audit — Draft Register vs the Conviction Map</w:t>
      </w:r>
    </w:p>
    <w:p>
      <w:pPr>
        <w:pStyle w:val="FirstParagraph"/>
      </w:pPr>
      <w:r>
        <w:rPr>
          <w:iCs/>
          <w:i/>
        </w:rPr>
        <w:t xml:space="preserve">Produced 2026-08-03 on instruction. Each entry: the passage quoted, its</w:t>
      </w:r>
      <w:r>
        <w:rPr>
          <w:iCs/>
          <w:i/>
        </w:rPr>
        <w:t xml:space="preserve"> </w:t>
      </w:r>
      <w:r>
        <w:rPr>
          <w:iCs/>
          <w:i/>
        </w:rPr>
        <w:t xml:space="preserve">location, and the conflict stated in one line. Nothing is proposed; no</w:t>
      </w:r>
      <w:r>
        <w:rPr>
          <w:iCs/>
          <w:i/>
        </w:rPr>
        <w:t xml:space="preserve"> </w:t>
      </w:r>
      <w:r>
        <w:rPr>
          <w:iCs/>
          <w:i/>
        </w:rPr>
        <w:t xml:space="preserve">draft was edited (the ch12 status apparatus alone was adjusted, per the</w:t>
      </w:r>
      <w:r>
        <w:rPr>
          <w:iCs/>
          <w:i/>
        </w:rPr>
        <w:t xml:space="preserve"> </w:t>
      </w:r>
      <w:r>
        <w:rPr>
          <w:iCs/>
          <w:i/>
        </w:rPr>
        <w:t xml:space="preserve">same instruction, to mark the two SPINE-directed insertions PENDING</w:t>
      </w:r>
      <w:r>
        <w:rPr>
          <w:iCs/>
          <w:i/>
        </w:rPr>
        <w:t xml:space="preserve"> </w:t>
      </w:r>
      <w:r>
        <w:rPr>
          <w:iCs/>
          <w:i/>
        </w:rPr>
        <w:t xml:space="preserve">HUMAN REVIEW). The conviction map’s tiers: DEFEND (the mechanism and its</w:t>
      </w:r>
      <w:r>
        <w:rPr>
          <w:iCs/>
          <w:i/>
        </w:rPr>
        <w:t xml:space="preserve"> </w:t>
      </w:r>
      <w:r>
        <w:rPr>
          <w:iCs/>
          <w:i/>
        </w:rPr>
        <w:t xml:space="preserve">present-day operation through the AI-military stack), HOLD (the</w:t>
      </w:r>
      <w:r>
        <w:rPr>
          <w:iCs/>
          <w:i/>
        </w:rPr>
        <w:t xml:space="preserve"> </w:t>
      </w:r>
      <w:r>
        <w:rPr>
          <w:iCs/>
          <w:i/>
        </w:rPr>
        <w:t xml:space="preserve">pendulum; licensing-not-socialisation in the American case; China</w:t>
      </w:r>
      <w:r>
        <w:rPr>
          <w:iCs/>
          <w:i/>
        </w:rPr>
        <w:t xml:space="preserve"> </w:t>
      </w:r>
      <w:r>
        <w:rPr>
          <w:iCs/>
          <w:i/>
        </w:rPr>
        <w:t xml:space="preserve">furthest along), WAGER (the four-polity casting and internal ranking;</w:t>
      </w:r>
      <w:r>
        <w:rPr>
          <w:iCs/>
          <w:i/>
        </w:rPr>
        <w:t xml:space="preserve"> </w:t>
      </w:r>
      <w:r>
        <w:rPr>
          <w:iCs/>
          <w:i/>
        </w:rPr>
        <w:t xml:space="preserve">the seize-the-train reading; the timetable).</w:t>
      </w:r>
    </w:p>
    <w:p>
      <w:r>
        <w:pict>
          <v:rect style="width:0;height:1.5pt" o:hralign="center" o:hrstd="t" o:hr="t"/>
        </w:pict>
      </w:r>
    </w:p>
    <w:bookmarkStart w:id="171" w:name="introduction-ch00-introdraft.md"/>
    <w:p>
      <w:pPr>
        <w:pStyle w:val="Heading2"/>
      </w:pPr>
      <w:r>
        <w:t xml:space="preserve">Introduction (ch00-intro/draft.md)</w:t>
      </w:r>
    </w:p>
    <w:p>
      <w:pPr>
        <w:pStyle w:val="FirstParagraph"/>
      </w:pPr>
      <w:r>
        <w:rPr>
          <w:bCs/>
          <w:b/>
        </w:rPr>
        <w:t xml:space="preserve">1.</w:t>
      </w:r>
      <w:r>
        <w:t xml:space="preserve"> </w:t>
      </w:r>
      <w:r>
        <w:rPr>
          <w:iCs/>
          <w:i/>
        </w:rPr>
        <w:t xml:space="preserve">“</w:t>
      </w:r>
      <w:r>
        <w:rPr>
          <w:iCs/>
          <w:i/>
        </w:rPr>
        <w:t xml:space="preserve">A mechanism assembled from its critics’ concessions may still</w:t>
      </w:r>
      <w:r>
        <w:rPr>
          <w:iCs/>
          <w:i/>
        </w:rPr>
        <w:t xml:space="preserve"> </w:t>
      </w:r>
      <w:r>
        <w:rPr>
          <w:iCs/>
          <w:i/>
        </w:rPr>
        <w:t xml:space="preserve">be wrong, but it cannot be fantasy</w:t>
      </w:r>
      <w:r>
        <w:rPr>
          <w:iCs/>
          <w:i/>
        </w:rPr>
        <w:t xml:space="preserve">”</w:t>
      </w:r>
      <w:r>
        <w:t xml:space="preserve"> </w:t>
      </w:r>
      <w:r>
        <w:t xml:space="preserve">(§IV, the fairyland inoculation).</w:t>
      </w:r>
      <w:r>
        <w:t xml:space="preserve"> </w:t>
      </w:r>
      <w:r>
        <w:t xml:space="preserve">— A DEFEND-tier claim (the mechanism) conceded as possibly wrong in</w:t>
      </w:r>
      <w:r>
        <w:t xml:space="preserve"> </w:t>
      </w:r>
      <w:r>
        <w:t xml:space="preserve">passing; the concession is rhetorical set-up for the fantasy rebuttal,</w:t>
      </w:r>
      <w:r>
        <w:t xml:space="preserve"> </w:t>
      </w:r>
      <w:r>
        <w:t xml:space="preserve">but it hedges the map’s firmest tier further than the map licenses.</w:t>
      </w:r>
    </w:p>
    <w:p>
      <w:pPr>
        <w:pStyle w:val="BodyText"/>
      </w:pPr>
      <w:r>
        <w:rPr>
          <w:bCs/>
          <w:b/>
        </w:rPr>
        <w:t xml:space="preserve">2.</w:t>
      </w:r>
      <w:r>
        <w:t xml:space="preserve"> </w:t>
      </w:r>
      <w:r>
        <w:rPr>
          <w:iCs/>
          <w:i/>
        </w:rPr>
        <w:t xml:space="preserve">“</w:t>
      </w:r>
      <w:r>
        <w:rPr>
          <w:iCs/>
          <w:i/>
        </w:rPr>
        <w:t xml:space="preserve">he charged not in despair but for the guns themselves… (a</w:t>
      </w:r>
      <w:r>
        <w:rPr>
          <w:iCs/>
          <w:i/>
        </w:rPr>
        <w:t xml:space="preserve"> </w:t>
      </w:r>
      <w:r>
        <w:rPr>
          <w:iCs/>
          <w:i/>
        </w:rPr>
        <w:t xml:space="preserve">possibility Chapter 6 weighs and declines to decide)</w:t>
      </w:r>
      <w:r>
        <w:rPr>
          <w:iCs/>
          <w:i/>
        </w:rPr>
        <w:t xml:space="preserve">”</w:t>
      </w:r>
      <w:r>
        <w:t xml:space="preserve"> </w:t>
      </w:r>
      <w:r>
        <w:t xml:space="preserve">(§I, the</w:t>
      </w:r>
      <w:r>
        <w:t xml:space="preserve"> </w:t>
      </w:r>
      <w:r>
        <w:t xml:space="preserve">authorised hedged clause). — The seize-the-train reading is</w:t>
      </w:r>
      <w:r>
        <w:t xml:space="preserve"> </w:t>
      </w:r>
      <w:r>
        <w:t xml:space="preserve">WAGER-tier — a stake the spine takes knowingly — while the draft</w:t>
      </w:r>
      <w:r>
        <w:t xml:space="preserve"> </w:t>
      </w:r>
      <w:r>
        <w:t xml:space="preserve">abstains rather than wagers; noted with the context that the</w:t>
      </w:r>
      <w:r>
        <w:t xml:space="preserve"> </w:t>
      </w:r>
      <w:r>
        <w:t xml:space="preserve">“</w:t>
      </w:r>
      <w:r>
        <w:t xml:space="preserve">weighs-and-declines</w:t>
      </w:r>
      <w:r>
        <w:t xml:space="preserve">”</w:t>
      </w:r>
      <w:r>
        <w:t xml:space="preserve"> </w:t>
      </w:r>
      <w:r>
        <w:t xml:space="preserve">calibration was itself ordered at the 2026-08-01</w:t>
      </w:r>
      <w:r>
        <w:t xml:space="preserve"> </w:t>
      </w:r>
      <w:r>
        <w:t xml:space="preserve">review, so the conflict is between the spine and that earlier</w:t>
      </w:r>
      <w:r>
        <w:t xml:space="preserve"> </w:t>
      </w:r>
      <w:r>
        <w:t xml:space="preserve">instruction, not a drafting drift.</w:t>
      </w:r>
    </w:p>
    <w:bookmarkEnd w:id="171"/>
    <w:bookmarkStart w:id="172" w:name="chapter-1-no-conflicts-found"/>
    <w:p>
      <w:pPr>
        <w:pStyle w:val="Heading2"/>
      </w:pPr>
      <w:r>
        <w:t xml:space="preserve">Chapter 1 — no conflicts found</w:t>
      </w:r>
    </w:p>
    <w:p>
      <w:pPr>
        <w:pStyle w:val="FirstParagraph"/>
      </w:pPr>
      <w:r>
        <w:t xml:space="preserve">The Bull inversion, the pendulum framing (§IV’s characteristic-2</w:t>
      </w:r>
      <w:r>
        <w:t xml:space="preserve"> </w:t>
      </w:r>
      <w:r>
        <w:t xml:space="preserve">turn) and the state-as-episode close all sit at or below HOLD tier as</w:t>
      </w:r>
      <w:r>
        <w:t xml:space="preserve"> </w:t>
      </w:r>
      <w:r>
        <w:t xml:space="preserve">the map assigns them.</w:t>
      </w:r>
    </w:p>
    <w:bookmarkEnd w:id="172"/>
    <w:bookmarkStart w:id="173" w:name="chapter-2"/>
    <w:p>
      <w:pPr>
        <w:pStyle w:val="Heading2"/>
      </w:pPr>
      <w:r>
        <w:t xml:space="preserve">Chapter 2</w:t>
      </w:r>
    </w:p>
    <w:p>
      <w:pPr>
        <w:pStyle w:val="FirstParagraph"/>
      </w:pPr>
      <w:r>
        <w:rPr>
          <w:bCs/>
          <w:b/>
        </w:rPr>
        <w:t xml:space="preserve">3.</w:t>
      </w:r>
      <w:r>
        <w:t xml:space="preserve"> </w:t>
      </w:r>
      <w:r>
        <w:rPr>
          <w:iCs/>
          <w:i/>
        </w:rPr>
        <w:t xml:space="preserve">“</w:t>
      </w:r>
      <w:r>
        <w:rPr>
          <w:iCs/>
          <w:i/>
        </w:rPr>
        <w:t xml:space="preserve">the pattern of the 2020s already leans Henrician: the</w:t>
      </w:r>
      <w:r>
        <w:rPr>
          <w:iCs/>
          <w:i/>
        </w:rPr>
        <w:t xml:space="preserve"> </w:t>
      </w:r>
      <w:r>
        <w:rPr>
          <w:iCs/>
          <w:i/>
        </w:rPr>
        <w:t xml:space="preserve">American state converting subsidy into equity in its foundational</w:t>
      </w:r>
      <w:r>
        <w:rPr>
          <w:iCs/>
          <w:i/>
        </w:rPr>
        <w:t xml:space="preserve"> </w:t>
      </w:r>
      <w:r>
        <w:rPr>
          <w:iCs/>
          <w:i/>
        </w:rPr>
        <w:t xml:space="preserve">infrastructure</w:t>
      </w:r>
      <w:r>
        <w:rPr>
          <w:iCs/>
          <w:i/>
        </w:rPr>
        <w:t xml:space="preserve">”</w:t>
      </w:r>
      <w:r>
        <w:t xml:space="preserve"> </w:t>
      </w:r>
      <w:r>
        <w:t xml:space="preserve">(§VI). — The American absorption’s leading emblem is</w:t>
      </w:r>
      <w:r>
        <w:t xml:space="preserve"> </w:t>
      </w:r>
      <w:r>
        <w:t xml:space="preserve">an ownership instrument (the Intel equity), where the spine’s</w:t>
      </w:r>
      <w:r>
        <w:t xml:space="preserve"> </w:t>
      </w:r>
      <w:r>
        <w:t xml:space="preserve">HOLD-tier prediction for the American case is licensing-not-</w:t>
      </w:r>
      <w:r>
        <w:t xml:space="preserve"> </w:t>
      </w:r>
      <w:r>
        <w:t xml:space="preserve">socialisation; the passage reads as ownership-mode evidence for a</w:t>
      </w:r>
      <w:r>
        <w:t xml:space="preserve"> </w:t>
      </w:r>
      <w:r>
        <w:t xml:space="preserve">licensing-mode prediction (the foundry/platform distinction narrows</w:t>
      </w:r>
      <w:r>
        <w:t xml:space="preserve"> </w:t>
      </w:r>
      <w:r>
        <w:t xml:space="preserve">but does not remove the tension).</w:t>
      </w:r>
    </w:p>
    <w:bookmarkEnd w:id="173"/>
    <w:bookmarkStart w:id="174" w:name="chapter-3-no-conflicts-found"/>
    <w:p>
      <w:pPr>
        <w:pStyle w:val="Heading2"/>
      </w:pPr>
      <w:r>
        <w:t xml:space="preserve">Chapter 3 — no conflicts found</w:t>
      </w:r>
    </w:p>
    <w:p>
      <w:pPr>
        <w:pStyle w:val="FirstParagraph"/>
      </w:pPr>
      <w:r>
        <w:t xml:space="preserve">The paymaster disanalogy and the licensing-instrument analysis (FAR,</w:t>
      </w:r>
      <w:r>
        <w:t xml:space="preserve"> </w:t>
      </w:r>
      <w:r>
        <w:t xml:space="preserve">clearance, ITAR; the 1504 structure) run with, not against, the</w:t>
      </w:r>
      <w:r>
        <w:t xml:space="preserve"> </w:t>
      </w:r>
      <w:r>
        <w:t xml:space="preserve">spine’s American-mode judgment.</w:t>
      </w:r>
    </w:p>
    <w:bookmarkEnd w:id="174"/>
    <w:bookmarkStart w:id="175" w:name="chapter-4-no-conflicts-found"/>
    <w:p>
      <w:pPr>
        <w:pStyle w:val="Heading2"/>
      </w:pPr>
      <w:r>
        <w:t xml:space="preserve">Chapter 4 — no conflicts found</w:t>
      </w:r>
    </w:p>
    <w:p>
      <w:pPr>
        <w:pStyle w:val="FirstParagraph"/>
      </w:pPr>
      <w:r>
        <w:t xml:space="preserve">§V’s</w:t>
      </w:r>
      <w:r>
        <w:t xml:space="preserve"> </w:t>
      </w:r>
      <w:r>
        <w:t xml:space="preserve">“</w:t>
      </w:r>
      <w:r>
        <w:t xml:space="preserve">no federal equity stake, no golden share… procurement and</w:t>
      </w:r>
      <w:r>
        <w:t xml:space="preserve"> </w:t>
      </w:r>
      <w:r>
        <w:t xml:space="preserve">personnel — not through ownership</w:t>
      </w:r>
      <w:r>
        <w:t xml:space="preserve">”</w:t>
      </w:r>
      <w:r>
        <w:t xml:space="preserve"> </w:t>
      </w:r>
      <w:r>
        <w:t xml:space="preserve">is the spine’s American mode stated</w:t>
      </w:r>
      <w:r>
        <w:t xml:space="preserve"> </w:t>
      </w:r>
      <w:r>
        <w:t xml:space="preserve">from the record; the Sforza reading is confined to ch06 as the map</w:t>
      </w:r>
      <w:r>
        <w:t xml:space="preserve"> </w:t>
      </w:r>
      <w:r>
        <w:t xml:space="preserve">expects.</w:t>
      </w:r>
    </w:p>
    <w:bookmarkEnd w:id="175"/>
    <w:bookmarkStart w:id="176" w:name="chapter-5-no-conflicts-found"/>
    <w:p>
      <w:pPr>
        <w:pStyle w:val="Heading2"/>
      </w:pPr>
      <w:r>
        <w:t xml:space="preserve">Chapter 5 — no conflicts found</w:t>
      </w:r>
    </w:p>
    <w:p>
      <w:pPr>
        <w:pStyle w:val="FirstParagraph"/>
      </w:pPr>
      <w:r>
        <w:t xml:space="preserve">The undermighty-king framing, the McFarlane crediting and the</w:t>
      </w:r>
      <w:r>
        <w:t xml:space="preserve"> </w:t>
      </w:r>
      <w:r>
        <w:t xml:space="preserve">causal-direction spine are consistent with SPINE §2 throughout.</w:t>
      </w:r>
    </w:p>
    <w:bookmarkEnd w:id="176"/>
    <w:bookmarkStart w:id="177" w:name="chapter-6"/>
    <w:p>
      <w:pPr>
        <w:pStyle w:val="Heading2"/>
      </w:pPr>
      <w:r>
        <w:t xml:space="preserve">Chapter 6</w:t>
      </w:r>
    </w:p>
    <w:p>
      <w:pPr>
        <w:pStyle w:val="FirstParagraph"/>
      </w:pPr>
      <w:r>
        <w:rPr>
          <w:bCs/>
          <w:b/>
        </w:rPr>
        <w:t xml:space="preserve">4.</w:t>
      </w:r>
      <w:r>
        <w:t xml:space="preserve"> </w:t>
      </w:r>
      <w:r>
        <w:rPr>
          <w:iCs/>
          <w:i/>
        </w:rPr>
        <w:t xml:space="preserve">“</w:t>
      </w:r>
      <w:r>
        <w:rPr>
          <w:iCs/>
          <w:i/>
        </w:rPr>
        <w:t xml:space="preserve">prising a hitherto-unbeaten defensive system out of the</w:t>
      </w:r>
      <w:r>
        <w:rPr>
          <w:iCs/>
          <w:i/>
        </w:rPr>
        <w:t xml:space="preserve"> </w:t>
      </w:r>
      <w:r>
        <w:rPr>
          <w:iCs/>
          <w:i/>
        </w:rPr>
        <w:t xml:space="preserve">posture that had won Crécy, Poitiers and Agincourt</w:t>
      </w:r>
      <w:r>
        <w:rPr>
          <w:iCs/>
          <w:i/>
        </w:rPr>
        <w:t xml:space="preserve">”</w:t>
      </w:r>
      <w:r>
        <w:t xml:space="preserve"> </w:t>
      </w:r>
      <w:r>
        <w:t xml:space="preserve">(§VI, Formigny;</w:t>
      </w:r>
      <w:r>
        <w:t xml:space="preserve"> </w:t>
      </w:r>
      <w:r>
        <w:t xml:space="preserve">the same triad appears at §IV, Harfleur). — Substantive tension with</w:t>
      </w:r>
      <w:r>
        <w:t xml:space="preserve"> </w:t>
      </w:r>
      <w:r>
        <w:t xml:space="preserve">SPINE §2’s Agincourt note (not a longbow story alone: cohesion and</w:t>
      </w:r>
      <w:r>
        <w:t xml:space="preserve"> </w:t>
      </w:r>
      <w:r>
        <w:t xml:space="preserve">logistics against an undermighty king already in civil war); the draft</w:t>
      </w:r>
      <w:r>
        <w:t xml:space="preserve"> </w:t>
      </w:r>
      <w:r>
        <w:t xml:space="preserve">twice attributes Agincourt to the archer-defensive system without the</w:t>
      </w:r>
      <w:r>
        <w:t xml:space="preserve"> </w:t>
      </w:r>
      <w:r>
        <w:t xml:space="preserve">spine’s qualification.</w:t>
      </w:r>
    </w:p>
    <w:p>
      <w:pPr>
        <w:pStyle w:val="BodyText"/>
      </w:pPr>
      <w:r>
        <w:rPr>
          <w:bCs/>
          <w:b/>
        </w:rPr>
        <w:t xml:space="preserve">5.</w:t>
      </w:r>
      <w:r>
        <w:t xml:space="preserve"> </w:t>
      </w:r>
      <w:r>
        <w:rPr>
          <w:iCs/>
          <w:i/>
        </w:rPr>
        <w:t xml:space="preserve">“</w:t>
      </w:r>
      <w:r>
        <w:rPr>
          <w:iCs/>
          <w:i/>
        </w:rPr>
        <w:t xml:space="preserve">The record cannot decide between folly and a last rational</w:t>
      </w:r>
      <w:r>
        <w:rPr>
          <w:iCs/>
          <w:i/>
        </w:rPr>
        <w:t xml:space="preserve"> </w:t>
      </w:r>
      <w:r>
        <w:rPr>
          <w:iCs/>
          <w:i/>
        </w:rPr>
        <w:t xml:space="preserve">lunge at the instrument that had ended his war; the book does not</w:t>
      </w:r>
      <w:r>
        <w:rPr>
          <w:iCs/>
          <w:i/>
        </w:rPr>
        <w:t xml:space="preserve"> </w:t>
      </w:r>
      <w:r>
        <w:rPr>
          <w:iCs/>
          <w:i/>
        </w:rPr>
        <w:t xml:space="preserve">pretend it can</w:t>
      </w:r>
      <w:r>
        <w:rPr>
          <w:iCs/>
          <w:i/>
        </w:rPr>
        <w:t xml:space="preserve">”</w:t>
      </w:r>
      <w:r>
        <w:t xml:space="preserve"> </w:t>
      </w:r>
      <w:r>
        <w:t xml:space="preserve">(§VI, the seize-the-train passage). — As entry 2: the</w:t>
      </w:r>
      <w:r>
        <w:t xml:space="preserve"> </w:t>
      </w:r>
      <w:r>
        <w:t xml:space="preserve">spine ranks the reading WAGER (a stake taken knowingly); the draft’s</w:t>
      </w:r>
      <w:r>
        <w:t xml:space="preserve"> </w:t>
      </w:r>
      <w:r>
        <w:t xml:space="preserve">close abstains — the wording was ordered at the 2026-08-01 review, so</w:t>
      </w:r>
      <w:r>
        <w:t xml:space="preserve"> </w:t>
      </w:r>
      <w:r>
        <w:t xml:space="preserve">this is a spine-vs-prior-instruction conflict, recorded without</w:t>
      </w:r>
      <w:r>
        <w:t xml:space="preserve"> </w:t>
      </w:r>
      <w:r>
        <w:t xml:space="preserve">proposal.</w:t>
      </w:r>
    </w:p>
    <w:bookmarkEnd w:id="177"/>
    <w:bookmarkStart w:id="178" w:name="chapter-7-no-conflicts-found"/>
    <w:p>
      <w:pPr>
        <w:pStyle w:val="Heading2"/>
      </w:pPr>
      <w:r>
        <w:t xml:space="preserve">Chapter 7 — no conflicts found</w:t>
      </w:r>
    </w:p>
    <w:p>
      <w:pPr>
        <w:pStyle w:val="FirstParagraph"/>
      </w:pPr>
      <w:r>
        <w:t xml:space="preserve">Shape-but-not-prevent is not mapped by the spine; its register</w:t>
      </w:r>
      <w:r>
        <w:t xml:space="preserve"> </w:t>
      </w:r>
      <w:r>
        <w:t xml:space="preserve">(book’s inference, falsifiable) raises no tier conflict.</w:t>
      </w:r>
    </w:p>
    <w:bookmarkEnd w:id="178"/>
    <w:bookmarkStart w:id="179" w:name="chapter-8-no-conflicts-found"/>
    <w:p>
      <w:pPr>
        <w:pStyle w:val="Heading2"/>
      </w:pPr>
      <w:r>
        <w:t xml:space="preserve">Chapter 8 — no conflicts found</w:t>
      </w:r>
    </w:p>
    <w:p>
      <w:pPr>
        <w:pStyle w:val="FirstParagraph"/>
      </w:pPr>
      <w:r>
        <w:t xml:space="preserve">Hierarchical plurality and the outspent close are unmapped by the</w:t>
      </w:r>
      <w:r>
        <w:t xml:space="preserve"> </w:t>
      </w:r>
      <w:r>
        <w:t xml:space="preserve">spine and consistent with its mechanism tier.</w:t>
      </w:r>
    </w:p>
    <w:bookmarkEnd w:id="179"/>
    <w:bookmarkStart w:id="180" w:name="chapter-9-no-conflicts-found"/>
    <w:p>
      <w:pPr>
        <w:pStyle w:val="Heading2"/>
      </w:pPr>
      <w:r>
        <w:t xml:space="preserve">Chapter 9 — no conflicts found</w:t>
      </w:r>
    </w:p>
    <w:p>
      <w:pPr>
        <w:pStyle w:val="FirstParagraph"/>
      </w:pPr>
      <w:r>
        <w:t xml:space="preserve">The two-bodies argument and the modern personalisation section align</w:t>
      </w:r>
      <w:r>
        <w:t xml:space="preserve"> </w:t>
      </w:r>
      <w:r>
        <w:t xml:space="preserve">with SPINE §§1–2; no tier conflicts located.</w:t>
      </w:r>
    </w:p>
    <w:bookmarkEnd w:id="180"/>
    <w:bookmarkStart w:id="181" w:name="chapter-10"/>
    <w:p>
      <w:pPr>
        <w:pStyle w:val="Heading2"/>
      </w:pPr>
      <w:r>
        <w:t xml:space="preserve">Chapter 10</w:t>
      </w:r>
    </w:p>
    <w:p>
      <w:pPr>
        <w:pStyle w:val="FirstParagraph"/>
      </w:pPr>
      <w:r>
        <w:rPr>
          <w:bCs/>
          <w:b/>
        </w:rPr>
        <w:t xml:space="preserve">6.</w:t>
      </w:r>
      <w:r>
        <w:t xml:space="preserve"> </w:t>
      </w:r>
      <w:r>
        <w:rPr>
          <w:iCs/>
          <w:i/>
        </w:rPr>
        <w:t xml:space="preserve">“</w:t>
      </w:r>
      <w:r>
        <w:rPr>
          <w:iCs/>
          <w:i/>
        </w:rPr>
        <w:t xml:space="preserve">The artillery state bought guns; this state is buying the</w:t>
      </w:r>
      <w:r>
        <w:rPr>
          <w:iCs/>
          <w:i/>
        </w:rPr>
        <w:t xml:space="preserve"> </w:t>
      </w:r>
      <w:r>
        <w:rPr>
          <w:iCs/>
          <w:i/>
        </w:rPr>
        <w:t xml:space="preserve">foundry</w:t>
      </w:r>
      <w:r>
        <w:rPr>
          <w:iCs/>
          <w:i/>
        </w:rPr>
        <w:t xml:space="preserve">”</w:t>
      </w:r>
      <w:r>
        <w:t xml:space="preserve"> </w:t>
      </w:r>
      <w:r>
        <w:t xml:space="preserve">(§VIII, the chapter’s aphorism; repeated in the footer</w:t>
      </w:r>
      <w:r>
        <w:t xml:space="preserve"> </w:t>
      </w:r>
      <w:r>
        <w:t xml:space="preserve">ledger). — The chapter’s most quotable modern line makes ownership</w:t>
      </w:r>
      <w:r>
        <w:t xml:space="preserve"> </w:t>
      </w:r>
      <w:r>
        <w:t xml:space="preserve">the American pattern’s signature, in tension with the spine’s</w:t>
      </w:r>
      <w:r>
        <w:t xml:space="preserve"> </w:t>
      </w:r>
      <w:r>
        <w:t xml:space="preserve">HOLD-tier licensing-not-socialisation judgment; the aphorism concerns</w:t>
      </w:r>
      <w:r>
        <w:t xml:space="preserve"> </w:t>
      </w:r>
      <w:r>
        <w:t xml:space="preserve">the foundry rather than the platforms, so the conflict is of emphasis</w:t>
      </w:r>
      <w:r>
        <w:t xml:space="preserve"> </w:t>
      </w:r>
      <w:r>
        <w:t xml:space="preserve">and emblem, not of fact.</w:t>
      </w:r>
    </w:p>
    <w:bookmarkEnd w:id="181"/>
    <w:bookmarkStart w:id="182" w:name="chapter-11"/>
    <w:p>
      <w:pPr>
        <w:pStyle w:val="Heading2"/>
      </w:pPr>
      <w:r>
        <w:t xml:space="preserve">Chapter 11</w:t>
      </w:r>
    </w:p>
    <w:p>
      <w:pPr>
        <w:pStyle w:val="FirstParagraph"/>
      </w:pPr>
      <w:r>
        <w:rPr>
          <w:bCs/>
          <w:b/>
        </w:rPr>
        <w:t xml:space="preserve">7.</w:t>
      </w:r>
      <w:r>
        <w:t xml:space="preserve"> </w:t>
      </w:r>
      <w:r>
        <w:rPr>
          <w:iCs/>
          <w:i/>
        </w:rPr>
        <w:t xml:space="preserve">“</w:t>
      </w:r>
      <w:r>
        <w:rPr>
          <w:iCs/>
          <w:i/>
        </w:rPr>
        <w:t xml:space="preserve">The consolidating states will not break their platforms.</w:t>
      </w:r>
      <w:r>
        <w:rPr>
          <w:iCs/>
          <w:i/>
        </w:rPr>
        <w:t xml:space="preserve"> </w:t>
      </w:r>
      <w:r>
        <w:rPr>
          <w:iCs/>
          <w:i/>
        </w:rPr>
        <w:t xml:space="preserve">They will nationalise their</w:t>
      </w:r>
      <w:r>
        <w:rPr>
          <w:iCs/>
          <w:i/>
        </w:rPr>
        <w:t xml:space="preserve"> </w:t>
      </w:r>
      <w:r>
        <w:rPr>
          <w:iCs/>
          <w:i/>
          <w:iCs/>
          <w:i/>
        </w:rPr>
        <w:t xml:space="preserve">functions</w:t>
      </w:r>
      <w:r>
        <w:rPr>
          <w:iCs/>
          <w:i/>
        </w:rPr>
        <w:t xml:space="preserve"> </w:t>
      </w:r>
      <w:r>
        <w:rPr>
          <w:iCs/>
          <w:i/>
        </w:rPr>
        <w:t xml:space="preserve">— by security-clearance and</w:t>
      </w:r>
      <w:r>
        <w:rPr>
          <w:iCs/>
          <w:i/>
        </w:rPr>
        <w:t xml:space="preserve"> </w:t>
      </w:r>
      <w:r>
        <w:rPr>
          <w:iCs/>
          <w:i/>
        </w:rPr>
        <w:t xml:space="preserve">procurement integration in the United States…</w:t>
      </w:r>
      <w:r>
        <w:rPr>
          <w:iCs/>
          <w:i/>
        </w:rPr>
        <w:t xml:space="preserve">”</w:t>
      </w:r>
      <w:r>
        <w:t xml:space="preserve"> </w:t>
      </w:r>
      <w:r>
        <w:t xml:space="preserve">(§VII). — The</w:t>
      </w:r>
      <w:r>
        <w:t xml:space="preserve"> </w:t>
      </w:r>
      <w:r>
        <w:t xml:space="preserve">HOLD-tier platform-centralisation prediction is stated flat</w:t>
      </w:r>
      <w:r>
        <w:t xml:space="preserve"> </w:t>
      </w:r>
      <w:r>
        <w:t xml:space="preserve">(</w:t>
      </w:r>
      <w:r>
        <w:t xml:space="preserve">“</w:t>
      </w:r>
      <w:r>
        <w:t xml:space="preserve">will… will</w:t>
      </w:r>
      <w:r>
        <w:t xml:space="preserve">”</w:t>
      </w:r>
      <w:r>
        <w:t xml:space="preserve">), above its on-balance rank; and the American</w:t>
      </w:r>
      <w:r>
        <w:t xml:space="preserve"> </w:t>
      </w:r>
      <w:r>
        <w:t xml:space="preserve">instrument named is procurement-and-personnel where the spine’s</w:t>
      </w:r>
      <w:r>
        <w:t xml:space="preserve"> </w:t>
      </w:r>
      <w:r>
        <w:t xml:space="preserve">judgment specifies licensing fees as the revenue instrument — the</w:t>
      </w:r>
      <w:r>
        <w:t xml:space="preserve"> </w:t>
      </w:r>
      <w:r>
        <w:t xml:space="preserve">licensing limb appears nowhere in ch11’s American mode.</w:t>
      </w:r>
    </w:p>
    <w:bookmarkEnd w:id="182"/>
    <w:bookmarkStart w:id="183" w:name="chapter-12"/>
    <w:p>
      <w:pPr>
        <w:pStyle w:val="Heading2"/>
      </w:pPr>
      <w:r>
        <w:t xml:space="preserve">Chapter 12</w:t>
      </w:r>
    </w:p>
    <w:p>
      <w:pPr>
        <w:pStyle w:val="FirstParagraph"/>
      </w:pPr>
      <w:r>
        <w:rPr>
          <w:bCs/>
          <w:b/>
        </w:rPr>
        <w:t xml:space="preserve">8.</w:t>
      </w:r>
      <w:r>
        <w:t xml:space="preserve"> </w:t>
      </w:r>
      <w:r>
        <w:rPr>
          <w:iCs/>
          <w:i/>
        </w:rPr>
        <w:t xml:space="preserve">“</w:t>
      </w:r>
      <w:r>
        <w:rPr>
          <w:iCs/>
          <w:i/>
        </w:rPr>
        <w:t xml:space="preserve">What remains is the wager: that the same mechanism,</w:t>
      </w:r>
      <w:r>
        <w:rPr>
          <w:iCs/>
          <w:i/>
        </w:rPr>
        <w:t xml:space="preserve"> </w:t>
      </w:r>
      <w:r>
        <w:rPr>
          <w:iCs/>
          <w:i/>
        </w:rPr>
        <w:t xml:space="preserve">operating now, produces… three or four parallel Tudor settlements</w:t>
      </w:r>
      <w:r>
        <w:rPr>
          <w:iCs/>
          <w:i/>
        </w:rPr>
        <w:t xml:space="preserve">”</w:t>
      </w:r>
      <w:r>
        <w:t xml:space="preserve"> </w:t>
      </w:r>
      <w:r>
        <w:t xml:space="preserve">(§I). — The sentence folds a DEFEND-tier claim (the mechanism’s</w:t>
      </w:r>
      <w:r>
        <w:t xml:space="preserve"> </w:t>
      </w:r>
      <w:r>
        <w:t xml:space="preserve">present-day operation) inside the wager frame; on the map, only the</w:t>
      </w:r>
      <w:r>
        <w:t xml:space="preserve"> </w:t>
      </w:r>
      <w:r>
        <w:t xml:space="preserve">casting, ranking and timetable are wagered — the operation itself is</w:t>
      </w:r>
      <w:r>
        <w:t xml:space="preserve"> </w:t>
      </w:r>
      <w:r>
        <w:t xml:space="preserve">defended.</w:t>
      </w:r>
    </w:p>
    <w:p>
      <w:pPr>
        <w:pStyle w:val="BodyText"/>
      </w:pPr>
      <w:r>
        <w:rPr>
          <w:bCs/>
          <w:b/>
        </w:rPr>
        <w:t xml:space="preserve">9.</w:t>
      </w:r>
      <w:r>
        <w:t xml:space="preserve"> </w:t>
      </w:r>
      <w:r>
        <w:rPr>
          <w:iCs/>
          <w:i/>
        </w:rPr>
        <w:t xml:space="preserve">“</w:t>
      </w:r>
      <w:r>
        <w:rPr>
          <w:iCs/>
          <w:i/>
        </w:rPr>
        <w:t xml:space="preserve">The United States is the most probable case, and the least</w:t>
      </w:r>
      <w:r>
        <w:rPr>
          <w:iCs/>
          <w:i/>
        </w:rPr>
        <w:t xml:space="preserve"> </w:t>
      </w:r>
      <w:r>
        <w:rPr>
          <w:iCs/>
          <w:i/>
        </w:rPr>
        <w:t xml:space="preserve">self-aware</w:t>
      </w:r>
      <w:r>
        <w:rPr>
          <w:iCs/>
          <w:i/>
        </w:rPr>
        <w:t xml:space="preserve">”</w:t>
      </w:r>
      <w:r>
        <w:t xml:space="preserve"> </w:t>
      </w:r>
      <w:r>
        <w:t xml:space="preserve">(§IV, opening the candidacies). — A WAGER-tier internal</w:t>
      </w:r>
      <w:r>
        <w:t xml:space="preserve"> </w:t>
      </w:r>
      <w:r>
        <w:t xml:space="preserve">ranking stated flat and first, and in tension with SPINE §5’s cooler</w:t>
      </w:r>
      <w:r>
        <w:t xml:space="preserve"> </w:t>
      </w:r>
      <w:r>
        <w:t xml:space="preserve">judgment (</w:t>
      </w:r>
      <w:r>
        <w:t xml:space="preserve">“</w:t>
      </w:r>
      <w:r>
        <w:t xml:space="preserve">has the stack but has not centralised the universalist</w:t>
      </w:r>
      <w:r>
        <w:t xml:space="preserve"> </w:t>
      </w:r>
      <w:r>
        <w:t xml:space="preserve">platforms, and until it does it is not truly competing</w:t>
      </w:r>
      <w:r>
        <w:t xml:space="preserve">”</w:t>
      </w:r>
      <w:r>
        <w:t xml:space="preserve">); the</w:t>
      </w:r>
      <w:r>
        <w:t xml:space="preserve"> </w:t>
      </w:r>
      <w:r>
        <w:t xml:space="preserve">Revisions-3 insertion later in the same section carries the spine’s</w:t>
      </w:r>
      <w:r>
        <w:t xml:space="preserve"> </w:t>
      </w:r>
      <w:r>
        <w:t xml:space="preserve">qualification, but the section still opens on the flat superlative.</w:t>
      </w:r>
    </w:p>
    <w:p>
      <w:pPr>
        <w:pStyle w:val="BodyText"/>
      </w:pPr>
      <w:r>
        <w:rPr>
          <w:bCs/>
          <w:b/>
        </w:rPr>
        <w:t xml:space="preserve">10.</w:t>
      </w:r>
      <w:r>
        <w:t xml:space="preserve"> </w:t>
      </w:r>
      <w:r>
        <w:rPr>
          <w:iCs/>
          <w:i/>
        </w:rPr>
        <w:t xml:space="preserve">“</w:t>
      </w:r>
      <w:r>
        <w:rPr>
          <w:iCs/>
          <w:i/>
        </w:rPr>
        <w:t xml:space="preserve">China has substantially executed the settlement already</w:t>
      </w:r>
      <w:r>
        <w:rPr>
          <w:iCs/>
          <w:i/>
        </w:rPr>
        <w:t xml:space="preserve">”</w:t>
      </w:r>
      <w:r>
        <w:t xml:space="preserve"> </w:t>
      </w:r>
      <w:r>
        <w:t xml:space="preserve">(§IV). — The spine HOLDS</w:t>
      </w:r>
      <w:r>
        <w:t xml:space="preserve"> </w:t>
      </w:r>
      <w:r>
        <w:t xml:space="preserve">“</w:t>
      </w:r>
      <w:r>
        <w:t xml:space="preserve">China is probably closest to current Tudor</w:t>
      </w:r>
      <w:r>
        <w:t xml:space="preserve"> </w:t>
      </w:r>
      <w:r>
        <w:t xml:space="preserve">norms</w:t>
      </w:r>
      <w:r>
        <w:t xml:space="preserve">”</w:t>
      </w:r>
      <w:r>
        <w:t xml:space="preserve"> </w:t>
      </w:r>
      <w:r>
        <w:t xml:space="preserve">on balance; the draft states it flatter than its rank</w:t>
      </w:r>
      <w:r>
        <w:t xml:space="preserve"> </w:t>
      </w:r>
      <w:r>
        <w:t xml:space="preserve">(</w:t>
      </w:r>
      <w:r>
        <w:t xml:space="preserve">“</w:t>
      </w:r>
      <w:r>
        <w:t xml:space="preserve">substantially executed,</w:t>
      </w:r>
      <w:r>
        <w:t xml:space="preserve">”</w:t>
      </w:r>
      <w:r>
        <w:t xml:space="preserve"> </w:t>
      </w:r>
      <w:r>
        <w:t xml:space="preserve">no</w:t>
      </w:r>
      <w:r>
        <w:t xml:space="preserve"> </w:t>
      </w:r>
      <w:r>
        <w:t xml:space="preserve">“</w:t>
      </w:r>
      <w:r>
        <w:t xml:space="preserve">probably</w:t>
      </w:r>
      <w:r>
        <w:t xml:space="preserve">”</w:t>
      </w:r>
      <w:r>
        <w:t xml:space="preserve">).</w:t>
      </w:r>
    </w:p>
    <w:p>
      <w:pPr>
        <w:pStyle w:val="BodyText"/>
      </w:pPr>
      <w:r>
        <w:rPr>
          <w:bCs/>
          <w:b/>
        </w:rPr>
        <w:t xml:space="preserve">11.</w:t>
      </w:r>
      <w:r>
        <w:t xml:space="preserve"> </w:t>
      </w:r>
      <w:r>
        <w:rPr>
          <w:iCs/>
          <w:i/>
        </w:rPr>
        <w:t xml:space="preserve">“</w:t>
      </w:r>
      <w:r>
        <w:rPr>
          <w:iCs/>
          <w:i/>
        </w:rPr>
        <w:t xml:space="preserve">canonically the strongest actor of the four… and</w:t>
      </w:r>
      <w:r>
        <w:rPr>
          <w:iCs/>
          <w:i/>
        </w:rPr>
        <w:t xml:space="preserve"> </w:t>
      </w:r>
      <w:r>
        <w:rPr>
          <w:iCs/>
          <w:i/>
        </w:rPr>
        <w:t xml:space="preserve">structurally the weakest: no single fisc, no single executive</w:t>
      </w:r>
      <w:r>
        <w:rPr>
          <w:iCs/>
          <w:i/>
        </w:rPr>
        <w:t xml:space="preserve">”</w:t>
      </w:r>
      <w:r>
        <w:t xml:space="preserve"> </w:t>
      </w:r>
      <w:r>
        <w:t xml:space="preserve">(§IV, the EU assessment). — Substantive divergence from SPINE §5’s</w:t>
      </w:r>
      <w:r>
        <w:t xml:space="preserve"> </w:t>
      </w:r>
      <w:r>
        <w:t xml:space="preserve">“</w:t>
      </w:r>
      <w:r>
        <w:t xml:space="preserve">the EU bloc has the tax base and the tools</w:t>
      </w:r>
      <w:r>
        <w:t xml:space="preserve">”</w:t>
      </w:r>
      <w:r>
        <w:t xml:space="preserve">: the draft denies the</w:t>
      </w:r>
      <w:r>
        <w:t xml:space="preserve"> </w:t>
      </w:r>
      <w:r>
        <w:t xml:space="preserve">single fisc the spine credits; the two judgments agree on the</w:t>
      </w:r>
      <w:r>
        <w:t xml:space="preserve"> </w:t>
      </w:r>
      <w:r>
        <w:t xml:space="preserve">Depreter conditional but disagree on the EU’s fiscal starting</w:t>
      </w:r>
      <w:r>
        <w:t xml:space="preserve"> </w:t>
      </w:r>
      <w:r>
        <w:t xml:space="preserve">position.</w:t>
      </w:r>
    </w:p>
    <w:bookmarkEnd w:id="183"/>
    <w:bookmarkStart w:id="184" w:name="coda-no-conflicts-found"/>
    <w:p>
      <w:pPr>
        <w:pStyle w:val="Heading2"/>
      </w:pPr>
      <w:r>
        <w:t xml:space="preserve">Coda — no conflicts found</w:t>
      </w:r>
    </w:p>
    <w:p>
      <w:pPr>
        <w:pStyle w:val="FirstParagraph"/>
      </w:pPr>
      <w:r>
        <w:t xml:space="preserve">The mechanism-under-conditions statement, the disclaimers and the</w:t>
      </w:r>
      <w:r>
        <w:t xml:space="preserve"> </w:t>
      </w:r>
      <w:r>
        <w:t xml:space="preserve">Bull disagreement match the map’s tiers;</w:t>
      </w:r>
      <w:r>
        <w:t xml:space="preserve"> </w:t>
      </w:r>
      <w:r>
        <w:t xml:space="preserve">“</w:t>
      </w:r>
      <w:r>
        <w:t xml:space="preserve">the book predicts, and</w:t>
      </w:r>
      <w:r>
        <w:t xml:space="preserve"> </w:t>
      </w:r>
      <w:r>
        <w:t xml:space="preserve">declines to bless</w:t>
      </w:r>
      <w:r>
        <w:t xml:space="preserve">”</w:t>
      </w:r>
      <w:r>
        <w:t xml:space="preserve"> </w:t>
      </w:r>
      <w:r>
        <w:t xml:space="preserve">is register the spine’s §6 does not constrain.</w:t>
      </w:r>
    </w:p>
    <w:p>
      <w:r>
        <w:pict>
          <v:rect style="width:0;height:1.5pt" o:hralign="center" o:hrstd="t" o:hr="t"/>
        </w:pict>
      </w:r>
    </w:p>
    <w:p>
      <w:pPr>
        <w:pStyle w:val="FirstParagraph"/>
      </w:pPr>
      <w:r>
        <w:rPr>
          <w:iCs/>
          <w:i/>
        </w:rPr>
        <w:t xml:space="preserve">Eleven findings: two over-hedged DEFEND claims (entries 1, 8), three</w:t>
      </w:r>
      <w:r>
        <w:rPr>
          <w:iCs/>
          <w:i/>
        </w:rPr>
        <w:t xml:space="preserve"> </w:t>
      </w:r>
      <w:r>
        <w:rPr>
          <w:iCs/>
          <w:i/>
        </w:rPr>
        <w:t xml:space="preserve">WAGER/HOLD claims stated flatter than rank (7, 9, 10), two wagers</w:t>
      </w:r>
      <w:r>
        <w:rPr>
          <w:iCs/>
          <w:i/>
        </w:rPr>
        <w:t xml:space="preserve"> </w:t>
      </w:r>
      <w:r>
        <w:rPr>
          <w:iCs/>
          <w:i/>
        </w:rPr>
        <w:t xml:space="preserve">stated below rank (2, 5 — both tracing to the 2026-08-01 ordered</w:t>
      </w:r>
      <w:r>
        <w:rPr>
          <w:iCs/>
          <w:i/>
        </w:rPr>
        <w:t xml:space="preserve"> </w:t>
      </w:r>
      <w:r>
        <w:rPr>
          <w:iCs/>
          <w:i/>
        </w:rPr>
        <w:t xml:space="preserve">wording), and four substantive tensions with SPINE judgments (3, 4, 6,</w:t>
      </w:r>
      <w:r>
        <w:rPr>
          <w:iCs/>
          <w:i/>
        </w:rPr>
        <w:t xml:space="preserve"> </w:t>
      </w:r>
      <w:r>
        <w:rPr>
          <w:iCs/>
          <w:i/>
        </w:rPr>
        <w:t xml:space="preserve">11). The two SPINE-directed ch12 insertions (Revisions 3) stand</w:t>
      </w:r>
      <w:r>
        <w:rPr>
          <w:iCs/>
          <w:i/>
        </w:rPr>
        <w:t xml:space="preserve"> </w:t>
      </w:r>
      <w:r>
        <w:rPr>
          <w:iCs/>
          <w:i/>
        </w:rPr>
        <w:t xml:space="preserve">PENDING HUMAN REVIEW per today’s instruction and are not audited here,</w:t>
      </w:r>
      <w:r>
        <w:rPr>
          <w:iCs/>
          <w:i/>
        </w:rPr>
        <w:t xml:space="preserve"> </w:t>
      </w:r>
      <w:r>
        <w:rPr>
          <w:iCs/>
          <w:i/>
        </w:rPr>
        <w:t xml:space="preserve">being the spine’s own text executed.</w:t>
      </w:r>
    </w:p>
    <w:p>
      <w:r>
        <w:pict>
          <v:rect style="width:0;height:1.5pt" o:hralign="center" o:hrstd="t" o:hr="t"/>
        </w:pict>
      </w:r>
    </w:p>
    <w:bookmarkEnd w:id="184"/>
    <w:bookmarkEnd w:id="185"/>
    <w:bookmarkStart w:id="186" w:name="X85fec5b7e971bf37cd397d5fa57f89a336e49e3"/>
    <w:p>
      <w:pPr>
        <w:pStyle w:val="Heading1"/>
      </w:pPr>
      <w:r>
        <w:t xml:space="preserve">Addendum — SPINE §7 tense-conformance sweep (2026-08-03; re-run, complete, superseding the same-day first pass)</w:t>
      </w:r>
    </w:p>
    <w:p>
      <w:pPr>
        <w:pStyle w:val="FirstParagraph"/>
      </w:pPr>
      <w:r>
        <w:rPr>
          <w:iCs/>
          <w:i/>
        </w:rPr>
        <w:t xml:space="preserve">Re-run on instruction against §7 (</w:t>
      </w:r>
      <w:r>
        <w:rPr>
          <w:iCs/>
          <w:i/>
        </w:rPr>
        <w:t xml:space="preserve">“</w:t>
      </w:r>
      <w:r>
        <w:rPr>
          <w:iCs/>
          <w:i/>
        </w:rPr>
        <w:t xml:space="preserve">wherever a draft states the</w:t>
      </w:r>
      <w:r>
        <w:rPr>
          <w:iCs/>
          <w:i/>
        </w:rPr>
        <w:t xml:space="preserve"> </w:t>
      </w:r>
      <w:r>
        <w:rPr>
          <w:iCs/>
          <w:i/>
        </w:rPr>
        <w:t xml:space="preserve">reassertion as achieved rather than required, that is a conformance</w:t>
      </w:r>
      <w:r>
        <w:rPr>
          <w:iCs/>
          <w:i/>
        </w:rPr>
        <w:t xml:space="preserve"> </w:t>
      </w:r>
      <w:r>
        <w:rPr>
          <w:iCs/>
          <w:i/>
        </w:rPr>
        <w:t xml:space="preserve">error</w:t>
      </w:r>
      <w:r>
        <w:rPr>
          <w:iCs/>
          <w:i/>
        </w:rPr>
        <w:t xml:space="preserve">”</w:t>
      </w:r>
      <w:r>
        <w:rPr>
          <w:iCs/>
          <w:i/>
        </w:rPr>
        <w:t xml:space="preserve">). Criterion applied: statements about the settlement,</w:t>
      </w:r>
      <w:r>
        <w:rPr>
          <w:iCs/>
          <w:i/>
        </w:rPr>
        <w:t xml:space="preserve"> </w:t>
      </w:r>
      <w:r>
        <w:rPr>
          <w:iCs/>
          <w:i/>
        </w:rPr>
        <w:t xml:space="preserve">consolidation or reassertion at bloc level in achieved register —</w:t>
      </w:r>
      <w:r>
        <w:rPr>
          <w:iCs/>
          <w:i/>
        </w:rPr>
        <w:t xml:space="preserve"> </w:t>
      </w:r>
      <w:r>
        <w:rPr>
          <w:iCs/>
          <w:i/>
        </w:rPr>
        <w:t xml:space="preserve">discrete documented events (a fine paid, a company absorbed) are facts</w:t>
      </w:r>
      <w:r>
        <w:rPr>
          <w:iCs/>
          <w:i/>
        </w:rPr>
        <w:t xml:space="preserve"> </w:t>
      </w:r>
      <w:r>
        <w:rPr>
          <w:iCs/>
          <w:i/>
        </w:rPr>
        <w:t xml:space="preserve">and are excluded unless they carry bloc-level completion. Quoted,</w:t>
      </w:r>
      <w:r>
        <w:rPr>
          <w:iCs/>
          <w:i/>
        </w:rPr>
        <w:t xml:space="preserve"> </w:t>
      </w:r>
      <w:r>
        <w:rPr>
          <w:iCs/>
          <w:i/>
        </w:rPr>
        <w:t xml:space="preserve">located, one line each; nothing proposed. The two items §7 reserves to</w:t>
      </w:r>
      <w:r>
        <w:rPr>
          <w:iCs/>
          <w:i/>
        </w:rPr>
        <w:t xml:space="preserve"> </w:t>
      </w:r>
      <w:r>
        <w:rPr>
          <w:iCs/>
          <w:i/>
        </w:rPr>
        <w:t xml:space="preserve">Roderick’s hand — the ch01 §III [DELTA] resolution and the</w:t>
      </w:r>
      <w:r>
        <w:rPr>
          <w:iCs/>
          <w:i/>
        </w:rPr>
        <w:t xml:space="preserve"> </w:t>
      </w:r>
      <w:r>
        <w:rPr>
          <w:iCs/>
          <w:i/>
        </w:rPr>
        <w:t xml:space="preserve">Introduction’s closing page — are untouched and excluded.</w:t>
      </w:r>
    </w:p>
    <w:p>
      <w:pPr>
        <w:pStyle w:val="BodyText"/>
      </w:pPr>
      <w:r>
        <w:rPr>
          <w:bCs/>
          <w:b/>
        </w:rPr>
        <w:t xml:space="preserve">A1.</w:t>
      </w:r>
      <w:r>
        <w:t xml:space="preserve"> </w:t>
      </w:r>
      <w:r>
        <w:rPr>
          <w:iCs/>
          <w:i/>
        </w:rPr>
        <w:t xml:space="preserve">“</w:t>
      </w:r>
      <w:r>
        <w:rPr>
          <w:iCs/>
          <w:i/>
        </w:rPr>
        <w:t xml:space="preserve">China has substantially executed the settlement already</w:t>
      </w:r>
      <w:r>
        <w:rPr>
          <w:iCs/>
          <w:i/>
        </w:rPr>
        <w:t xml:space="preserve">”</w:t>
      </w:r>
      <w:r>
        <w:t xml:space="preserve"> </w:t>
      </w:r>
      <w:r>
        <w:t xml:space="preserve">(ch12 §IV); echoed in the Coda §V (</w:t>
      </w:r>
      <w:r>
        <w:rPr>
          <w:iCs/>
          <w:i/>
        </w:rPr>
        <w:t xml:space="preserve">“</w:t>
      </w:r>
      <w:r>
        <w:rPr>
          <w:iCs/>
          <w:i/>
        </w:rPr>
        <w:t xml:space="preserve">the Chinese substantially</w:t>
      </w:r>
      <w:r>
        <w:rPr>
          <w:iCs/>
          <w:i/>
        </w:rPr>
        <w:t xml:space="preserve"> </w:t>
      </w:r>
      <w:r>
        <w:rPr>
          <w:iCs/>
          <w:i/>
        </w:rPr>
        <w:t xml:space="preserve">executed but exposed at the summit</w:t>
      </w:r>
      <w:r>
        <w:rPr>
          <w:iCs/>
          <w:i/>
        </w:rPr>
        <w:t xml:space="preserve">”</w:t>
      </w:r>
      <w:r>
        <w:t xml:space="preserve">). — The sweep’s clearest error:</w:t>
      </w:r>
      <w:r>
        <w:t xml:space="preserve"> </w:t>
      </w:r>
      <w:r>
        <w:t xml:space="preserve">achieved register (</w:t>
      </w:r>
      <w:r>
        <w:t xml:space="preserve">“</w:t>
      </w:r>
      <w:r>
        <w:t xml:space="preserve">has executed… already</w:t>
      </w:r>
      <w:r>
        <w:t xml:space="preserve">”</w:t>
      </w:r>
      <w:r>
        <w:t xml:space="preserve">) where §7’s tense is</w:t>
      </w:r>
      <w:r>
        <w:t xml:space="preserve"> </w:t>
      </w:r>
      <w:r>
        <w:t xml:space="preserve">progressive (</w:t>
      </w:r>
      <w:r>
        <w:t xml:space="preserve">“</w:t>
      </w:r>
      <w:r>
        <w:t xml:space="preserve">China is executing it</w:t>
      </w:r>
      <w:r>
        <w:t xml:space="preserve">”</w:t>
      </w:r>
      <w:r>
        <w:t xml:space="preserve">); compounds main-audit entry 10.</w:t>
      </w:r>
    </w:p>
    <w:p>
      <w:pPr>
        <w:pStyle w:val="BodyText"/>
      </w:pPr>
      <w:r>
        <w:rPr>
          <w:bCs/>
          <w:b/>
        </w:rPr>
        <w:t xml:space="preserve">A2.</w:t>
      </w:r>
      <w:r>
        <w:t xml:space="preserve"> </w:t>
      </w:r>
      <w:r>
        <w:rPr>
          <w:iCs/>
          <w:i/>
        </w:rPr>
        <w:t xml:space="preserve">“</w:t>
      </w:r>
      <w:r>
        <w:rPr>
          <w:iCs/>
          <w:i/>
        </w:rPr>
        <w:t xml:space="preserve">Seen from inside, the settlement’s texture is already</w:t>
      </w:r>
      <w:r>
        <w:rPr>
          <w:iCs/>
          <w:i/>
        </w:rPr>
        <w:t xml:space="preserve"> </w:t>
      </w:r>
      <w:r>
        <w:rPr>
          <w:iCs/>
          <w:i/>
        </w:rPr>
        <w:t xml:space="preserve">documented</w:t>
      </w:r>
      <w:r>
        <w:rPr>
          <w:iCs/>
          <w:i/>
        </w:rPr>
        <w:t xml:space="preserve">”</w:t>
      </w:r>
      <w:r>
        <w:t xml:space="preserve"> </w:t>
      </w:r>
      <w:r>
        <w:t xml:space="preserve">(ch12 §III, the section’s frame; also</w:t>
      </w:r>
      <w:r>
        <w:t xml:space="preserve"> </w:t>
      </w:r>
      <w:r>
        <w:rPr>
          <w:iCs/>
          <w:i/>
        </w:rPr>
        <w:t xml:space="preserve">“</w:t>
      </w:r>
      <w:r>
        <w:rPr>
          <w:iCs/>
          <w:i/>
        </w:rPr>
        <w:t xml:space="preserve">the lived order</w:t>
      </w:r>
      <w:r>
        <w:rPr>
          <w:iCs/>
          <w:i/>
        </w:rPr>
        <w:t xml:space="preserve"> </w:t>
      </w:r>
      <w:r>
        <w:rPr>
          <w:iCs/>
          <w:i/>
        </w:rPr>
        <w:t xml:space="preserve">the chapters have assembled</w:t>
      </w:r>
      <w:r>
        <w:rPr>
          <w:iCs/>
          <w:i/>
        </w:rPr>
        <w:t xml:space="preserve">”</w:t>
      </w:r>
      <w:r>
        <w:t xml:space="preserve">). — Presents current instruments as the</w:t>
      </w:r>
      <w:r>
        <w:t xml:space="preserve"> </w:t>
      </w:r>
      <w:r>
        <w:t xml:space="preserve">interior of a settlement §7 holds is NOT accomplished; the facts are</w:t>
      </w:r>
      <w:r>
        <w:t xml:space="preserve"> </w:t>
      </w:r>
      <w:r>
        <w:t xml:space="preserve">current, the frame gives the settlement an inside it does not yet</w:t>
      </w:r>
      <w:r>
        <w:t xml:space="preserve"> </w:t>
      </w:r>
      <w:r>
        <w:t xml:space="preserve">have.</w:t>
      </w:r>
    </w:p>
    <w:p>
      <w:pPr>
        <w:pStyle w:val="BodyText"/>
      </w:pPr>
      <w:r>
        <w:rPr>
          <w:bCs/>
          <w:b/>
        </w:rPr>
        <w:t xml:space="preserve">A3.</w:t>
      </w:r>
      <w:r>
        <w:t xml:space="preserve"> </w:t>
      </w:r>
      <w:r>
        <w:rPr>
          <w:iCs/>
          <w:i/>
        </w:rPr>
        <w:t xml:space="preserve">“</w:t>
      </w:r>
      <w:r>
        <w:rPr>
          <w:iCs/>
          <w:i/>
        </w:rPr>
        <w:t xml:space="preserve">China closed out its 2020–23 platform discipline and moved</w:t>
      </w:r>
      <w:r>
        <w:rPr>
          <w:iCs/>
          <w:i/>
        </w:rPr>
        <w:t xml:space="preserve"> </w:t>
      </w:r>
      <w:r>
        <w:rPr>
          <w:iCs/>
          <w:i/>
        </w:rPr>
        <w:t xml:space="preserve">to normalisation… the sequence, note, being subordination first,</w:t>
      </w:r>
      <w:r>
        <w:rPr>
          <w:iCs/>
          <w:i/>
        </w:rPr>
        <w:t xml:space="preserve"> </w:t>
      </w:r>
      <w:r>
        <w:rPr>
          <w:iCs/>
          <w:i/>
        </w:rPr>
        <w:t xml:space="preserve">normalisation after</w:t>
      </w:r>
      <w:r>
        <w:rPr>
          <w:iCs/>
          <w:i/>
        </w:rPr>
        <w:t xml:space="preserve">”</w:t>
      </w:r>
      <w:r>
        <w:t xml:space="preserve"> </w:t>
      </w:r>
      <w:r>
        <w:t xml:space="preserve">(ch11 §VI, move two). — Move-level completion</w:t>
      </w:r>
      <w:r>
        <w:t xml:space="preserve"> </w:t>
      </w:r>
      <w:r>
        <w:t xml:space="preserve">stated for a candidate bloc; under §7, even China’s moves are</w:t>
      </w:r>
      <w:r>
        <w:t xml:space="preserve"> </w:t>
      </w:r>
      <w:r>
        <w:t xml:space="preserve">“</w:t>
      </w:r>
      <w:r>
        <w:t xml:space="preserve">in</w:t>
      </w:r>
      <w:r>
        <w:t xml:space="preserve"> </w:t>
      </w:r>
      <w:r>
        <w:t xml:space="preserve">execution,</w:t>
      </w:r>
      <w:r>
        <w:t xml:space="preserve">”</w:t>
      </w:r>
      <w:r>
        <w:t xml:space="preserve"> </w:t>
      </w:r>
      <w:r>
        <w:t xml:space="preserve">and the completed-discipline framing (inherited from the</w:t>
      </w:r>
      <w:r>
        <w:t xml:space="preserve"> </w:t>
      </w:r>
      <w:r>
        <w:t xml:space="preserve">memo) reads one notch past it.</w:t>
      </w:r>
    </w:p>
    <w:p>
      <w:pPr>
        <w:pStyle w:val="BodyText"/>
      </w:pPr>
      <w:r>
        <w:rPr>
          <w:bCs/>
          <w:b/>
        </w:rPr>
        <w:t xml:space="preserve">A4.</w:t>
      </w:r>
      <w:r>
        <w:t xml:space="preserve"> </w:t>
      </w:r>
      <w:r>
        <w:rPr>
          <w:iCs/>
          <w:i/>
        </w:rPr>
        <w:t xml:space="preserve">“</w:t>
      </w:r>
      <w:r>
        <w:rPr>
          <w:iCs/>
          <w:i/>
        </w:rPr>
        <w:t xml:space="preserve">US 4/5 moves in execution… China 5/5 in execution</w:t>
      </w:r>
      <w:r>
        <w:rPr>
          <w:iCs/>
          <w:i/>
        </w:rPr>
        <w:t xml:space="preserve">”</w:t>
      </w:r>
      <w:r>
        <w:t xml:space="preserve"> </w:t>
      </w:r>
      <w:r>
        <w:t xml:space="preserve">(Appendix C, the C11-1 scorecard baseline). —</w:t>
      </w:r>
      <w:r>
        <w:t xml:space="preserve"> </w:t>
      </w:r>
      <w:r>
        <w:t xml:space="preserve">“</w:t>
      </w:r>
      <w:r>
        <w:t xml:space="preserve">In execution</w:t>
      </w:r>
      <w:r>
        <w:t xml:space="preserve">”</w:t>
      </w:r>
      <w:r>
        <w:t xml:space="preserve"> </w:t>
      </w:r>
      <w:r>
        <w:t xml:space="preserve">is</w:t>
      </w:r>
      <w:r>
        <w:t xml:space="preserve"> </w:t>
      </w:r>
      <w:r>
        <w:t xml:space="preserve">§7-conformant;</w:t>
      </w:r>
      <w:r>
        <w:t xml:space="preserve"> </w:t>
      </w:r>
      <w:r>
        <w:t xml:space="preserve">“</w:t>
      </w:r>
      <w:r>
        <w:t xml:space="preserve">5/5</w:t>
      </w:r>
      <w:r>
        <w:t xml:space="preserve">”</w:t>
      </w:r>
      <w:r>
        <w:t xml:space="preserve"> </w:t>
      </w:r>
      <w:r>
        <w:t xml:space="preserve">states the full move-set entered, which combined</w:t>
      </w:r>
      <w:r>
        <w:t xml:space="preserve"> </w:t>
      </w:r>
      <w:r>
        <w:t xml:space="preserve">with A1’s prose reads as completion; the scorecard’s China row is the</w:t>
      </w:r>
      <w:r>
        <w:t xml:space="preserve"> </w:t>
      </w:r>
      <w:r>
        <w:t xml:space="preserve">number behind the achieved register elsewhere.</w:t>
      </w:r>
    </w:p>
    <w:p>
      <w:pPr>
        <w:pStyle w:val="BodyText"/>
      </w:pPr>
      <w:r>
        <w:rPr>
          <w:bCs/>
          <w:b/>
        </w:rPr>
        <w:t xml:space="preserve">A5.</w:t>
      </w:r>
      <w:r>
        <w:t xml:space="preserve"> </w:t>
      </w:r>
      <w:r>
        <w:rPr>
          <w:iCs/>
          <w:i/>
        </w:rPr>
        <w:t xml:space="preserve">“</w:t>
      </w:r>
      <w:r>
        <w:rPr>
          <w:iCs/>
          <w:i/>
        </w:rPr>
        <w:t xml:space="preserve">The settlement, seen from outside, is already legible in</w:t>
      </w:r>
      <w:r>
        <w:rPr>
          <w:iCs/>
          <w:i/>
        </w:rPr>
        <w:t xml:space="preserve"> </w:t>
      </w:r>
      <w:r>
        <w:rPr>
          <w:iCs/>
          <w:i/>
        </w:rPr>
        <w:t xml:space="preserve">the blocs’ own declarations</w:t>
      </w:r>
      <w:r>
        <w:rPr>
          <w:iCs/>
          <w:i/>
        </w:rPr>
        <w:t xml:space="preserve">”</w:t>
      </w:r>
      <w:r>
        <w:t xml:space="preserve"> </w:t>
      </w:r>
      <w:r>
        <w:t xml:space="preserve">(ch12 §II). — Borderline:</w:t>
      </w:r>
      <w:r>
        <w:t xml:space="preserve"> </w:t>
      </w:r>
      <w:r>
        <w:t xml:space="preserve">“</w:t>
      </w:r>
      <w:r>
        <w:t xml:space="preserve">legible</w:t>
      </w:r>
      <w:r>
        <w:t xml:space="preserve">”</w:t>
      </w:r>
      <w:r>
        <w:t xml:space="preserve"> </w:t>
      </w:r>
      <w:r>
        <w:t xml:space="preserve">claims emergence, but the noun governs — what the declarations make</w:t>
      </w:r>
      <w:r>
        <w:t xml:space="preserve"> </w:t>
      </w:r>
      <w:r>
        <w:t xml:space="preserve">legible is pressure and programmes, not a settlement.</w:t>
      </w:r>
    </w:p>
    <w:p>
      <w:pPr>
        <w:pStyle w:val="BodyText"/>
      </w:pPr>
      <w:r>
        <w:rPr>
          <w:bCs/>
          <w:b/>
        </w:rPr>
        <w:t xml:space="preserve">A6.</w:t>
      </w:r>
      <w:r>
        <w:t xml:space="preserve"> </w:t>
      </w:r>
      <w:r>
        <w:rPr>
          <w:iCs/>
          <w:i/>
        </w:rPr>
        <w:t xml:space="preserve">“</w:t>
      </w:r>
      <w:r>
        <w:rPr>
          <w:iCs/>
          <w:i/>
        </w:rPr>
        <w:t xml:space="preserve">What remains is the wager: that the same mechanism,</w:t>
      </w:r>
      <w:r>
        <w:rPr>
          <w:iCs/>
          <w:i/>
        </w:rPr>
        <w:t xml:space="preserve"> </w:t>
      </w:r>
      <w:r>
        <w:rPr>
          <w:iCs/>
          <w:i/>
        </w:rPr>
        <w:t xml:space="preserve">operating now, produces…</w:t>
      </w:r>
      <w:r>
        <w:rPr>
          <w:iCs/>
          <w:i/>
        </w:rPr>
        <w:t xml:space="preserve">”</w:t>
      </w:r>
      <w:r>
        <w:t xml:space="preserve"> </w:t>
      </w:r>
      <w:r>
        <w:t xml:space="preserve">(ch12 §I; the same operating-now</w:t>
      </w:r>
      <w:r>
        <w:t xml:space="preserve"> </w:t>
      </w:r>
      <w:r>
        <w:t xml:space="preserve">construction opens ch11 §VI’s translation and closes ch12 §VIII,</w:t>
      </w:r>
      <w:r>
        <w:t xml:space="preserve"> </w:t>
      </w:r>
      <w:r>
        <w:t xml:space="preserve">“</w:t>
      </w:r>
      <w:r>
        <w:t xml:space="preserve">it</w:t>
      </w:r>
      <w:r>
        <w:t xml:space="preserve"> </w:t>
      </w:r>
      <w:r>
        <w:t xml:space="preserve">is running again</w:t>
      </w:r>
      <w:r>
        <w:t xml:space="preserve">”</w:t>
      </w:r>
      <w:r>
        <w:t xml:space="preserve">). — Trend register where §7 rests the wager on</w:t>
      </w:r>
      <w:r>
        <w:t xml:space="preserve"> </w:t>
      </w:r>
      <w:r>
        <w:t xml:space="preserve">requirement (</w:t>
      </w:r>
      <w:r>
        <w:t xml:space="preserve">“</w:t>
      </w:r>
      <w:r>
        <w:t xml:space="preserve">that is why it will happen, not because it is already</w:t>
      </w:r>
      <w:r>
        <w:t xml:space="preserve"> </w:t>
      </w:r>
      <w:r>
        <w:t xml:space="preserve">happening</w:t>
      </w:r>
      <w:r>
        <w:t xml:space="preserve">”</w:t>
      </w:r>
      <w:r>
        <w:t xml:space="preserve">); the modern sections generally argue from observed motion</w:t>
      </w:r>
      <w:r>
        <w:t xml:space="preserve"> </w:t>
      </w:r>
      <w:r>
        <w:t xml:space="preserve">where §7 argues from compulsion; noted once for the family.</w:t>
      </w:r>
    </w:p>
    <w:p>
      <w:pPr>
        <w:pStyle w:val="BodyText"/>
      </w:pPr>
      <w:r>
        <w:rPr>
          <w:bCs/>
          <w:b/>
        </w:rPr>
        <w:t xml:space="preserve">A7.</w:t>
      </w:r>
      <w:r>
        <w:t xml:space="preserve"> </w:t>
      </w:r>
      <w:r>
        <w:rPr>
          <w:iCs/>
          <w:i/>
        </w:rPr>
        <w:t xml:space="preserve">“</w:t>
      </w:r>
      <w:r>
        <w:rPr>
          <w:iCs/>
          <w:i/>
        </w:rPr>
        <w:t xml:space="preserve">Russia completed the re-monopolisation Chapter 4</w:t>
      </w:r>
      <w:r>
        <w:rPr>
          <w:iCs/>
          <w:i/>
        </w:rPr>
        <w:t xml:space="preserve"> </w:t>
      </w:r>
      <w:r>
        <w:rPr>
          <w:iCs/>
          <w:i/>
        </w:rPr>
        <w:t xml:space="preserve">narrated</w:t>
      </w:r>
      <w:r>
        <w:rPr>
          <w:iCs/>
          <w:i/>
        </w:rPr>
        <w:t xml:space="preserve">”</w:t>
      </w:r>
      <w:r>
        <w:t xml:space="preserve"> </w:t>
      </w:r>
      <w:r>
        <w:t xml:space="preserve">(ch11 §VI, move three). — Completion language, but Russia</w:t>
      </w:r>
      <w:r>
        <w:t xml:space="preserve"> </w:t>
      </w:r>
      <w:r>
        <w:t xml:space="preserve">is SPINE §5’s demonstration case, not a candidate, and the Wagner</w:t>
      </w:r>
      <w:r>
        <w:t xml:space="preserve"> </w:t>
      </w:r>
      <w:r>
        <w:t xml:space="preserve">absorption is a discrete documented event; flagged for the</w:t>
      </w:r>
      <w:r>
        <w:t xml:space="preserve"> </w:t>
      </w:r>
      <w:r>
        <w:t xml:space="preserve">completion verb only, with the distinction stated.</w:t>
      </w:r>
    </w:p>
    <w:p>
      <w:pPr>
        <w:pStyle w:val="BodyText"/>
      </w:pPr>
      <w:r>
        <w:rPr>
          <w:bCs/>
          <w:b/>
        </w:rPr>
        <w:t xml:space="preserve">A8.</w:t>
      </w:r>
      <w:r>
        <w:t xml:space="preserve"> </w:t>
      </w:r>
      <w:r>
        <w:rPr>
          <w:iCs/>
          <w:i/>
        </w:rPr>
        <w:t xml:space="preserve">“</w:t>
      </w:r>
      <w:r>
        <w:rPr>
          <w:iCs/>
          <w:i/>
        </w:rPr>
        <w:t xml:space="preserve">the dispersal’s most developed actors are everywhere being</w:t>
      </w:r>
      <w:r>
        <w:rPr>
          <w:iCs/>
          <w:i/>
        </w:rPr>
        <w:t xml:space="preserve"> </w:t>
      </w:r>
      <w:r>
        <w:rPr>
          <w:iCs/>
          <w:i/>
        </w:rPr>
        <w:t xml:space="preserve">absorbed by fiscally capable centres</w:t>
      </w:r>
      <w:r>
        <w:rPr>
          <w:iCs/>
          <w:i/>
        </w:rPr>
        <w:t xml:space="preserve">”</w:t>
      </w:r>
      <w:r>
        <w:t xml:space="preserve"> </w:t>
      </w:r>
      <w:r>
        <w:t xml:space="preserve">(ch04 §VII, Part I’s closing</w:t>
      </w:r>
      <w:r>
        <w:t xml:space="preserve"> </w:t>
      </w:r>
      <w:r>
        <w:t xml:space="preserve">verdict). — Progressive and therefore near-conformant, but</w:t>
      </w:r>
      <w:r>
        <w:t xml:space="preserve"> </w:t>
      </w:r>
      <w:r>
        <w:t xml:space="preserve">“</w:t>
      </w:r>
      <w:r>
        <w:t xml:space="preserve">everywhere</w:t>
      </w:r>
      <w:r>
        <w:t xml:space="preserve">”</w:t>
      </w:r>
      <w:r>
        <w:t xml:space="preserve"> </w:t>
      </w:r>
      <w:r>
        <w:t xml:space="preserve">universalises an absorption §7 casts as uneven (</w:t>
      </w:r>
      <w:r>
        <w:t xml:space="preserve">“</w:t>
      </w:r>
      <w:r>
        <w:t xml:space="preserve">China</w:t>
      </w:r>
      <w:r>
        <w:t xml:space="preserve"> </w:t>
      </w:r>
      <w:r>
        <w:t xml:space="preserve">is executing it; Europe is assembling; the USA… has not taken it</w:t>
      </w:r>
      <w:r>
        <w:t xml:space="preserve"> </w:t>
      </w:r>
      <w:r>
        <w:t xml:space="preserve">back</w:t>
      </w:r>
      <w:r>
        <w:t xml:space="preserve">”</w:t>
      </w:r>
      <w:r>
        <w:t xml:space="preserve">).</w:t>
      </w:r>
    </w:p>
    <w:p>
      <w:pPr>
        <w:pStyle w:val="BodyText"/>
      </w:pPr>
      <w:r>
        <w:rPr>
          <w:bCs/>
          <w:b/>
        </w:rPr>
        <w:t xml:space="preserve">A9.</w:t>
      </w:r>
      <w:r>
        <w:t xml:space="preserve"> </w:t>
      </w:r>
      <w:r>
        <w:rPr>
          <w:iCs/>
          <w:i/>
        </w:rPr>
        <w:t xml:space="preserve">“</w:t>
      </w:r>
      <w:r>
        <w:rPr>
          <w:iCs/>
          <w:i/>
        </w:rPr>
        <w:t xml:space="preserve">the pattern of the 2020s already leans Henrician</w:t>
      </w:r>
      <w:r>
        <w:rPr>
          <w:iCs/>
          <w:i/>
        </w:rPr>
        <w:t xml:space="preserve">”</w:t>
      </w:r>
      <w:r>
        <w:t xml:space="preserve"> </w:t>
      </w:r>
      <w:r>
        <w:t xml:space="preserve">(ch02</w:t>
      </w:r>
      <w:r>
        <w:t xml:space="preserve"> </w:t>
      </w:r>
      <w:r>
        <w:t xml:space="preserve">§VI). — Borderline:</w:t>
      </w:r>
      <w:r>
        <w:t xml:space="preserve"> </w:t>
      </w:r>
      <w:r>
        <w:t xml:space="preserve">“</w:t>
      </w:r>
      <w:r>
        <w:t xml:space="preserve">leans</w:t>
      </w:r>
      <w:r>
        <w:t xml:space="preserve">”</w:t>
      </w:r>
      <w:r>
        <w:t xml:space="preserve"> </w:t>
      </w:r>
      <w:r>
        <w:t xml:space="preserve">is emergent, and the passage’s examples</w:t>
      </w:r>
      <w:r>
        <w:t xml:space="preserve"> </w:t>
      </w:r>
      <w:r>
        <w:t xml:space="preserve">are discrete facts; listed because</w:t>
      </w:r>
      <w:r>
        <w:t xml:space="preserve"> </w:t>
      </w:r>
      <w:r>
        <w:t xml:space="preserve">“</w:t>
      </w:r>
      <w:r>
        <w:t xml:space="preserve">already</w:t>
      </w:r>
      <w:r>
        <w:t xml:space="preserve">”</w:t>
      </w:r>
      <w:r>
        <w:t xml:space="preserve"> </w:t>
      </w:r>
      <w:r>
        <w:t xml:space="preserve">pulls the Henrician</w:t>
      </w:r>
      <w:r>
        <w:t xml:space="preserve"> </w:t>
      </w:r>
      <w:r>
        <w:t xml:space="preserve">settlement toward the present tense; overlaps main-audit entry 3.</w:t>
      </w:r>
    </w:p>
    <w:p>
      <w:pPr>
        <w:pStyle w:val="BodyText"/>
      </w:pPr>
      <w:r>
        <w:rPr>
          <w:bCs/>
          <w:b/>
        </w:rPr>
        <w:t xml:space="preserve">Conforming counter-examples, for the rewrite’s reference:</w:t>
      </w:r>
      <w:r>
        <w:t xml:space="preserve"> </w:t>
      </w:r>
      <w:r>
        <w:t xml:space="preserve">ch10</w:t>
      </w:r>
      <w:r>
        <w:t xml:space="preserve"> </w:t>
      </w:r>
      <w:r>
        <w:t xml:space="preserve">§VIII (</w:t>
      </w:r>
      <w:r>
        <w:t xml:space="preserve">“</w:t>
      </w:r>
      <w:r>
        <w:t xml:space="preserve">The modern half ends earlier in the arc — nearer 1445 than</w:t>
      </w:r>
      <w:r>
        <w:t xml:space="preserve"> </w:t>
      </w:r>
      <w:r>
        <w:t xml:space="preserve">1494… the programmes legislated, the accounts opened, the first</w:t>
      </w:r>
      <w:r>
        <w:t xml:space="preserve"> </w:t>
      </w:r>
      <w:r>
        <w:t xml:space="preserve">awards finalised, the execution uneven, the outcome unproven</w:t>
      </w:r>
      <w:r>
        <w:t xml:space="preserve">”</w:t>
      </w:r>
      <w:r>
        <w:t xml:space="preserve">) and</w:t>
      </w:r>
      <w:r>
        <w:t xml:space="preserve"> </w:t>
      </w:r>
      <w:r>
        <w:t xml:space="preserve">ch08 §VII (</w:t>
      </w:r>
      <w:r>
        <w:t xml:space="preserve">“</w:t>
      </w:r>
      <w:r>
        <w:t xml:space="preserve">The modern re-assertion is observable, dateable, and</w:t>
      </w:r>
      <w:r>
        <w:t xml:space="preserve"> </w:t>
      </w:r>
      <w:r>
        <w:t xml:space="preserve">early in its arc</w:t>
      </w:r>
      <w:r>
        <w:t xml:space="preserve">”</w:t>
      </w:r>
      <w:r>
        <w:t xml:space="preserve">) state §7’s tense exactly; ch12 §IV’s US passage</w:t>
      </w:r>
      <w:r>
        <w:t xml:space="preserve"> </w:t>
      </w:r>
      <w:r>
        <w:t xml:space="preserve">(</w:t>
      </w:r>
      <w:r>
        <w:t xml:space="preserve">“</w:t>
      </w:r>
      <w:r>
        <w:t xml:space="preserve">the candidacy is incomplete,</w:t>
      </w:r>
      <w:r>
        <w:t xml:space="preserve">”</w:t>
      </w:r>
      <w:r>
        <w:t xml:space="preserve"> </w:t>
      </w:r>
      <w:r>
        <w:t xml:space="preserve">“</w:t>
      </w:r>
      <w:r>
        <w:t xml:space="preserve">until it runs</w:t>
      </w:r>
      <w:r>
        <w:t xml:space="preserve">”</w:t>
      </w:r>
      <w:r>
        <w:t xml:space="preserve">) and ch12 §IV’s EU</w:t>
      </w:r>
      <w:r>
        <w:t xml:space="preserve"> </w:t>
      </w:r>
      <w:r>
        <w:t xml:space="preserve">conditional (</w:t>
      </w:r>
      <w:r>
        <w:t xml:space="preserve">“</w:t>
      </w:r>
      <w:r>
        <w:t xml:space="preserve">either the assertion-to-enforcement lag closes… or…</w:t>
      </w:r>
      <w:r>
        <w:t xml:space="preserve">”</w:t>
      </w:r>
      <w:r>
        <w:t xml:space="preserve">)</w:t>
      </w:r>
      <w:r>
        <w:t xml:space="preserve"> </w:t>
      </w:r>
      <w:r>
        <w:t xml:space="preserve">are likewise conformant. The heaviest concentration of achieved</w:t>
      </w:r>
      <w:r>
        <w:t xml:space="preserve"> </w:t>
      </w:r>
      <w:r>
        <w:t xml:space="preserve">register sits in ch12 §§II–IV and its Appendix C echo — one chapter’s</w:t>
      </w:r>
      <w:r>
        <w:t xml:space="preserve"> </w:t>
      </w:r>
      <w:r>
        <w:t xml:space="preserve">frame, not a book-wide drift.</w:t>
      </w:r>
    </w:p>
    <w:p>
      <w:pPr>
        <w:pStyle w:val="BodyText"/>
      </w:pPr>
      <w:r>
        <w:rPr>
          <w:iCs/>
          <w:i/>
        </w:rPr>
        <w:t xml:space="preserve">Nine findings (A1–A2 clear errors; A3–A4 move-level completion; A5,</w:t>
      </w:r>
      <w:r>
        <w:rPr>
          <w:iCs/>
          <w:i/>
        </w:rPr>
        <w:t xml:space="preserve"> </w:t>
      </w:r>
      <w:r>
        <w:rPr>
          <w:iCs/>
          <w:i/>
        </w:rPr>
        <w:t xml:space="preserve">A8–A9 borderline; A6 the trend-vs-requirement register family; A7 a</w:t>
      </w:r>
      <w:r>
        <w:rPr>
          <w:iCs/>
          <w:i/>
        </w:rPr>
        <w:t xml:space="preserve"> </w:t>
      </w:r>
      <w:r>
        <w:rPr>
          <w:iCs/>
          <w:i/>
        </w:rPr>
        <w:t xml:space="preserve">completion verb on a non-candidate). Note for the rewrite only,</w:t>
      </w:r>
      <w:r>
        <w:rPr>
          <w:iCs/>
          <w:i/>
        </w:rPr>
        <w:t xml:space="preserve"> </w:t>
      </w:r>
      <w:r>
        <w:rPr>
          <w:iCs/>
          <w:i/>
        </w:rPr>
        <w:t xml:space="preserve">proposing nothing: §7’s England-as-latecomer casting and its</w:t>
      </w:r>
      <w:r>
        <w:rPr>
          <w:iCs/>
          <w:i/>
        </w:rPr>
        <w:t xml:space="preserve"> </w:t>
      </w:r>
      <w:r>
        <w:rPr>
          <w:iCs/>
          <w:i/>
        </w:rPr>
        <w:t xml:space="preserve">requirement framing would resolve A1–A6 and main-audit entries 9–10</w:t>
      </w:r>
      <w:r>
        <w:rPr>
          <w:iCs/>
          <w:i/>
        </w:rPr>
        <w:t xml:space="preserve"> </w:t>
      </w:r>
      <w:r>
        <w:rPr>
          <w:iCs/>
          <w:i/>
        </w:rPr>
        <w:t xml:space="preserve">in a single register decision.</w:t>
      </w:r>
    </w:p>
    <w:bookmarkEnd w:id="1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21475">
    <w:nsid w:val="A99421475"/>
    <w:multiLevelType w:val="multilevel"/>
    <w:lvl w:ilvl="0">
      <w:start w:val="1475"/>
      <w:numFmt w:val="decimal"/>
      <w:lvlText w:val="%1)"/>
      <w:lvlJc w:val="left"/>
      <w:pPr>
        <w:ind w:left="720" w:hanging="480"/>
      </w:pPr>
    </w:lvl>
    <w:lvl w:ilvl="1">
      <w:start w:val="1475"/>
      <w:numFmt w:val="decimal"/>
      <w:lvlText w:val="%2)"/>
      <w:lvlJc w:val="left"/>
      <w:pPr>
        <w:ind w:left="1440" w:hanging="480"/>
      </w:pPr>
    </w:lvl>
    <w:lvl w:ilvl="2">
      <w:start w:val="1475"/>
      <w:numFmt w:val="decimal"/>
      <w:lvlText w:val="%3)"/>
      <w:lvlJc w:val="left"/>
      <w:pPr>
        <w:ind w:left="2160" w:hanging="480"/>
      </w:pPr>
    </w:lvl>
    <w:lvl w:ilvl="3">
      <w:start w:val="1475"/>
      <w:numFmt w:val="decimal"/>
      <w:lvlText w:val="%4)"/>
      <w:lvlJc w:val="left"/>
      <w:pPr>
        <w:ind w:left="2880" w:hanging="480"/>
      </w:pPr>
    </w:lvl>
    <w:lvl w:ilvl="4">
      <w:start w:val="1475"/>
      <w:numFmt w:val="decimal"/>
      <w:lvlText w:val="%5)"/>
      <w:lvlJc w:val="left"/>
      <w:pPr>
        <w:ind w:left="3600" w:hanging="480"/>
      </w:pPr>
    </w:lvl>
    <w:lvl w:ilvl="5">
      <w:start w:val="1475"/>
      <w:numFmt w:val="decimal"/>
      <w:lvlText w:val="%6)"/>
      <w:lvlJc w:val="left"/>
      <w:pPr>
        <w:ind w:left="4320" w:hanging="480"/>
      </w:pPr>
    </w:lvl>
    <w:lvl w:ilvl="6">
      <w:start w:val="1475"/>
      <w:numFmt w:val="decimal"/>
      <w:lvlText w:val="%7)"/>
      <w:lvlJc w:val="left"/>
      <w:pPr>
        <w:ind w:left="5040" w:hanging="480"/>
      </w:pPr>
    </w:lvl>
    <w:lvl w:ilvl="7">
      <w:start w:val="1475"/>
      <w:numFmt w:val="decimal"/>
      <w:lvlText w:val="%8)"/>
      <w:lvlJc w:val="left"/>
      <w:pPr>
        <w:ind w:left="5760" w:hanging="480"/>
      </w:pPr>
    </w:lvl>
    <w:lvl w:ilvl="8">
      <w:start w:val="1475"/>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734">
    <w:nsid w:val="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532">
    <w:nsid w:val="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422012">
    <w:nsid w:val="A99422012"/>
    <w:multiLevelType w:val="multilevel"/>
    <w:lvl w:ilvl="0">
      <w:start w:val="2012"/>
      <w:numFmt w:val="decimal"/>
      <w:lvlText w:val="%1)"/>
      <w:lvlJc w:val="left"/>
      <w:pPr>
        <w:ind w:left="720" w:hanging="480"/>
      </w:pPr>
    </w:lvl>
    <w:lvl w:ilvl="1">
      <w:start w:val="2012"/>
      <w:numFmt w:val="decimal"/>
      <w:lvlText w:val="%2)"/>
      <w:lvlJc w:val="left"/>
      <w:pPr>
        <w:ind w:left="1440" w:hanging="480"/>
      </w:pPr>
    </w:lvl>
    <w:lvl w:ilvl="2">
      <w:start w:val="2012"/>
      <w:numFmt w:val="decimal"/>
      <w:lvlText w:val="%3)"/>
      <w:lvlJc w:val="left"/>
      <w:pPr>
        <w:ind w:left="2160" w:hanging="480"/>
      </w:pPr>
    </w:lvl>
    <w:lvl w:ilvl="3">
      <w:start w:val="2012"/>
      <w:numFmt w:val="decimal"/>
      <w:lvlText w:val="%4)"/>
      <w:lvlJc w:val="left"/>
      <w:pPr>
        <w:ind w:left="2880" w:hanging="480"/>
      </w:pPr>
    </w:lvl>
    <w:lvl w:ilvl="4">
      <w:start w:val="2012"/>
      <w:numFmt w:val="decimal"/>
      <w:lvlText w:val="%5)"/>
      <w:lvlJc w:val="left"/>
      <w:pPr>
        <w:ind w:left="3600" w:hanging="480"/>
      </w:pPr>
    </w:lvl>
    <w:lvl w:ilvl="5">
      <w:start w:val="2012"/>
      <w:numFmt w:val="decimal"/>
      <w:lvlText w:val="%6)"/>
      <w:lvlJc w:val="left"/>
      <w:pPr>
        <w:ind w:left="4320" w:hanging="480"/>
      </w:pPr>
    </w:lvl>
    <w:lvl w:ilvl="6">
      <w:start w:val="2012"/>
      <w:numFmt w:val="decimal"/>
      <w:lvlText w:val="%7)"/>
      <w:lvlJc w:val="left"/>
      <w:pPr>
        <w:ind w:left="5040" w:hanging="480"/>
      </w:pPr>
    </w:lvl>
    <w:lvl w:ilvl="7">
      <w:start w:val="2012"/>
      <w:numFmt w:val="decimal"/>
      <w:lvlText w:val="%8)"/>
      <w:lvlJc w:val="left"/>
      <w:pPr>
        <w:ind w:left="5760" w:hanging="480"/>
      </w:pPr>
    </w:lvl>
    <w:lvl w:ilvl="8">
      <w:start w:val="2012"/>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7">
    <w:abstractNumId w:val="991"/>
  </w:num>
  <w:num w:numId="101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9">
    <w:abstractNumId w:val="991"/>
  </w:num>
  <w:num w:numId="1020">
    <w:abstractNumId w:val="99421475"/>
    <w:lvlOverride w:ilvl="0">
      <w:startOverride w:val="1475"/>
    </w:lvlOverride>
    <w:lvlOverride w:ilvl="1">
      <w:startOverride w:val="1475"/>
    </w:lvlOverride>
    <w:lvlOverride w:ilvl="2">
      <w:startOverride w:val="1475"/>
    </w:lvlOverride>
    <w:lvlOverride w:ilvl="3">
      <w:startOverride w:val="1475"/>
    </w:lvlOverride>
    <w:lvlOverride w:ilvl="4">
      <w:startOverride w:val="1475"/>
    </w:lvlOverride>
    <w:lvlOverride w:ilvl="5">
      <w:startOverride w:val="1475"/>
    </w:lvlOverride>
    <w:lvlOverride w:ilvl="6">
      <w:startOverride w:val="1475"/>
    </w:lvlOverride>
    <w:lvlOverride w:ilvl="7">
      <w:startOverride w:val="1475"/>
    </w:lvlOverride>
    <w:lvlOverride w:ilvl="8">
      <w:startOverride w:val="1475"/>
    </w:lvlOverride>
  </w:num>
  <w:num w:numId="1021">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2">
    <w:abstractNumId w:val="991"/>
  </w:num>
  <w:num w:numId="1023">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4">
    <w:abstractNumId w:val="991"/>
  </w:num>
  <w:num w:numId="103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6">
    <w:abstractNumId w:val="99422012"/>
    <w:lvlOverride w:ilvl="0">
      <w:startOverride w:val="2012"/>
    </w:lvlOverride>
    <w:lvlOverride w:ilvl="1">
      <w:startOverride w:val="2012"/>
    </w:lvlOverride>
    <w:lvlOverride w:ilvl="2">
      <w:startOverride w:val="2012"/>
    </w:lvlOverride>
    <w:lvlOverride w:ilvl="3">
      <w:startOverride w:val="2012"/>
    </w:lvlOverride>
    <w:lvlOverride w:ilvl="4">
      <w:startOverride w:val="2012"/>
    </w:lvlOverride>
    <w:lvlOverride w:ilvl="5">
      <w:startOverride w:val="2012"/>
    </w:lvlOverride>
    <w:lvlOverride w:ilvl="6">
      <w:startOverride w:val="2012"/>
    </w:lvlOverride>
    <w:lvlOverride w:ilvl="7">
      <w:startOverride w:val="2012"/>
    </w:lvlOverride>
    <w:lvlOverride w:ilvl="8">
      <w:startOverride w:val="2012"/>
    </w:lvlOverride>
  </w:num>
  <w:num w:numId="104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2026-09-02T05:22:50Z</dcterms:created>
  <dcterms:modified xsi:type="dcterms:W3CDTF">2026-09-02T05:22:50Z</dcterms:modified>
</cp:coreProperties>
</file>

<file path=docProps/custom.xml><?xml version="1.0" encoding="utf-8"?>
<Properties xmlns="http://schemas.openxmlformats.org/officeDocument/2006/custom-properties" xmlns:vt="http://schemas.openxmlformats.org/officeDocument/2006/docPropsVTypes"/>
</file>