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Georgia" w:cs="Georgia" w:eastAsia="Georgia" w:hAnsi="Georgia"/>
          <w:b/>
          <w:bCs/>
          <w:color w:val="1F3864"/>
          <w:sz w:val="48"/>
          <w:szCs w:val="48"/>
        </w:rPr>
        <w:t xml:space="preserve">The Artillery State</w:t>
      </w:r>
    </w:p>
    <w:p>
      <w:pPr>
        <w:spacing w:after="80"/>
      </w:pPr>
      <w:r>
        <w:rPr>
          <w:rFonts w:ascii="Georgia" w:cs="Georgia" w:eastAsia="Georgia" w:hAnsi="Georgia"/>
          <w:color w:val="333333"/>
          <w:sz w:val="34"/>
          <w:szCs w:val="34"/>
        </w:rPr>
        <w:t xml:space="preserve">Rulings Sheet III</w:t>
      </w:r>
    </w:p>
    <w:p>
      <w:pPr>
        <w:spacing w:after="320"/>
      </w:pPr>
      <w:r>
        <w:rPr>
          <w:rFonts w:ascii="Georgia" w:cs="Georgia" w:eastAsia="Georgia" w:hAnsi="Georgia"/>
          <w:i/>
          <w:iCs/>
          <w:color w:val="555555"/>
          <w:sz w:val="24"/>
          <w:szCs w:val="24"/>
        </w:rPr>
        <w:t xml:space="preserve">The decisions now open, in plain English — with the background, why each matters, and what follows from each choice</w:t>
      </w:r>
    </w:p>
    <w:p>
      <w:pPr>
        <w:spacing w:after="300"/>
      </w:pPr>
      <w:r>
        <w:rPr>
          <w:rFonts w:ascii="Georgia" w:cs="Georgia" w:eastAsia="Georgia" w:hAnsi="Georgia"/>
          <w:color w:val="444444"/>
          <w:sz w:val="21"/>
          <w:szCs w:val="21"/>
        </w:rPr>
        <w:t xml:space="preserve">Prepared for Roderick Jones, 29 September 2026. Twenty-eight decisions, consolidated from seventy-four items raised by the reading of 13–29 September, including Jill Lepore, The Rise and Fall of the Artificial State.</w:t>
      </w:r>
    </w:p>
    <w:p>
      <w:pPr>
        <w:pStyle w:val="Heading1"/>
        <w:spacing w:after="180" w:before="300"/>
      </w:pPr>
      <w:r>
        <w:rPr>
          <w:rFonts w:ascii="Georgia" w:cs="Georgia" w:eastAsia="Georgia" w:hAnsi="Georgia"/>
          <w:b/>
          <w:bCs/>
          <w:color w:val="1F3864"/>
          <w:sz w:val="30"/>
          <w:szCs w:val="30"/>
        </w:rPr>
        <w:t xml:space="preserve">Where the project stands</w:t>
      </w:r>
    </w:p>
    <w:p>
      <w:pPr>
        <w:spacing w:after="150" w:line="290"/>
      </w:pPr>
      <w:r>
        <w:rPr>
          <w:rFonts w:ascii="Georgia" w:cs="Georgia" w:eastAsia="Georgia" w:hAnsi="Georgia"/>
          <w:sz w:val="22"/>
          <w:szCs w:val="22"/>
        </w:rPr>
        <w:t xml:space="preserve">The book exists in full draft. All fourteen units — the Introduction, twelve chapters and the Coda — are written, every research memo has been reviewed by you, and the assembled manuscript stands at 97,443 words against a target of about 145,000. Two rounds of renovation have been applied since the start of September: the first carried your rulings of 2 September into the drafts, the second carried your rulings of 14 and 16 September, including the decision that consolidation is likely but its constitutional form is open. That second round is what took the manuscript from 67,000 words to 97,000. The chapters that grew most were chapter 6 on Normandy, chapter 9 on incapacity, chapter 10 on the fiscal machine, chapter 11 on the four consolidators and chapter 12 on the present.</w:t>
      </w:r>
    </w:p>
    <w:p>
      <w:pPr>
        <w:spacing w:after="150" w:line="290"/>
      </w:pPr>
      <w:r>
        <w:rPr>
          <w:rFonts w:ascii="Georgia" w:cs="Georgia" w:eastAsia="Georgia" w:hAnsi="Georgia"/>
          <w:sz w:val="22"/>
          <w:szCs w:val="22"/>
        </w:rPr>
        <w:t xml:space="preserve">Since 13 September, seventy new works have been read against the drafts: the September monographs, the contemporary rivals and primaries, the Burgundian and French chronicles, and most recently Jill Lepore's book on the artificial state. Every one has been assessed, entered in the relevant chapter's sources and memo, and its objections logged in the chapter's critique file. None of that reading has been allowed to touch a draft, because the rule is that nothing changes in the text until you have ruled. That is why this document exists.</w:t>
      </w:r>
    </w:p>
    <w:p>
      <w:pPr>
        <w:spacing w:after="150" w:line="290"/>
      </w:pPr>
      <w:r>
        <w:rPr>
          <w:rFonts w:ascii="Georgia" w:cs="Georgia" w:eastAsia="Georgia" w:hAnsi="Georgia"/>
          <w:sz w:val="22"/>
          <w:szCs w:val="22"/>
        </w:rPr>
        <w:t xml:space="preserve">The decisions that follow are the residue of that reading. In their raw form there were seventy-four of them, written as a spreadsheet in specialist shorthand. Here they have been consolidated into twenty-eight, grouped by subject, and written out in ordinary language with the background, the stakes and the consequences of each direction. Some of the twenty-eight are large — three would change what the book argues; several would change how it argues. Many are small. Each says which it is.</w:t>
      </w:r>
    </w:p>
    <w:p>
      <w:pPr>
        <w:spacing w:after="150" w:line="290"/>
      </w:pPr>
      <w:r>
        <w:rPr>
          <w:rFonts w:ascii="Georgia" w:cs="Georgia" w:eastAsia="Georgia" w:hAnsi="Georgia"/>
          <w:sz w:val="22"/>
          <w:szCs w:val="22"/>
        </w:rPr>
        <w:t xml:space="preserve">Once you have ruled, Claude Code applies the rulings in a third renovation pass, and the manuscript will then be ready for the expansion pass that takes it from 97,000 words to target. That expansion is a separate decision and is not on this sheet.</w:t>
      </w:r>
    </w:p>
    <w:p>
      <w:pPr>
        <w:pStyle w:val="Heading1"/>
        <w:spacing w:after="180" w:before="300"/>
      </w:pPr>
      <w:r>
        <w:rPr>
          <w:rFonts w:ascii="Georgia" w:cs="Georgia" w:eastAsia="Georgia" w:hAnsi="Georgia"/>
          <w:b/>
          <w:bCs/>
          <w:color w:val="1F3864"/>
          <w:sz w:val="30"/>
          <w:szCs w:val="30"/>
        </w:rPr>
        <w:t xml:space="preserve">How to read this document</w:t>
      </w:r>
    </w:p>
    <w:p>
      <w:pPr>
        <w:spacing w:after="150" w:line="290"/>
      </w:pPr>
      <w:r>
        <w:rPr>
          <w:rFonts w:ascii="Georgia" w:cs="Georgia" w:eastAsia="Georgia" w:hAnsi="Georgia"/>
          <w:sz w:val="22"/>
          <w:szCs w:val="22"/>
        </w:rPr>
        <w:t xml:space="preserve">Each decision has the same shape. The background sets out what the book says now, quoting the actual sentence, and what was found, naming the author and the page. Why it matters says which part of the argument is touched and what an expert reviewer would do with it. Your choices are lettered, and under each letter is what happens if you take it — what changes on the page, what it costs, what it buys. My view is a single sentence at the end, and it is a view, not a decision.</w:t>
      </w:r>
    </w:p>
    <w:p>
      <w:pPr>
        <w:spacing w:after="150" w:line="290"/>
      </w:pPr>
      <w:r>
        <w:rPr>
          <w:rFonts w:ascii="Georgia" w:cs="Georgia" w:eastAsia="Georgia" w:hAnsi="Georgia"/>
          <w:sz w:val="22"/>
          <w:szCs w:val="22"/>
        </w:rPr>
        <w:t xml:space="preserve">Write your answer in the yellow box under each decision — a letter, a word, or your own wording. The row numbers in italics under each heading are for bookkeeping only; they let the ruling be mapped back to the files. You do not need to understand them.</w:t>
      </w:r>
    </w:p>
    <w:p>
      <w:pPr>
        <w:spacing w:after="150" w:line="290"/>
      </w:pPr>
      <w:r>
        <w:rPr>
          <w:rFonts w:ascii="Georgia" w:cs="Georgia" w:eastAsia="Georgia" w:hAnsi="Georgia"/>
          <w:sz w:val="22"/>
          <w:szCs w:val="22"/>
        </w:rPr>
        <w:t xml:space="preserve">There is a summary table at the very end where you can write the twenty-eight answers in one place if you prefer.</w:t>
      </w:r>
    </w:p>
    <w:p>
      <w:pPr>
        <w:pStyle w:val="Heading1"/>
        <w:spacing w:after="180" w:before="300"/>
      </w:pPr>
      <w:r>
        <w:rPr>
          <w:rFonts w:ascii="Georgia" w:cs="Georgia" w:eastAsia="Georgia" w:hAnsi="Georgia"/>
          <w:b/>
          <w:bCs/>
          <w:color w:val="1F3864"/>
          <w:sz w:val="30"/>
          <w:szCs w:val="30"/>
        </w:rPr>
        <w:t xml:space="preserve">The decisions, at a glance</w:t>
      </w:r>
    </w:p>
    <w:p>
      <w:pPr>
        <w:spacing w:after="150" w:line="290"/>
      </w:pPr>
      <w:r>
        <w:rPr>
          <w:rFonts w:ascii="Georgia" w:cs="Georgia" w:eastAsia="Georgia" w:hAnsi="Georgia"/>
          <w:sz w:val="22"/>
          <w:szCs w:val="22"/>
        </w:rPr>
        <w:t xml:space="preserve">The first six concern the ending of the book and the claim you added a fortnight ago — what the settlement looks like if it is ornamentally democratic, whose idea that is, where in chapter 12 it is allowed to live, and two concessions the Lepore reading forces. The seventh is the largest single change on the sheet: whether the book must say that half of the reassertion it predicts has already happened. Decisions 8 and 9 are England. Decisions 10 to 14 are the mechanism itself — what the ratchet is, whether Tilly rejected the artillery thesis rather than ignoring it, whether the French settlement was a tax settlement or a credit one, and what "administrative capacity" means. Decisions 15 and 16 are Spain and China. Decisions 17 to 20 are words the book has borrowed without paying for them — "exclusive", "legibility", the answer to Ruggie, and a set of smaller terms. Decisions 21 to 24 are the new medieval scenes from Chastellain and Commynes, and the housekeeping that came with them. Decisions 25 and 26 are chapter 9 and Bagehot. Decisions 27 and 28 are the forecast and how it is scored.</w:t>
      </w:r>
    </w:p>
    <w:p>
      <w:pPr>
        <w:spacing w:after="150" w:line="290"/>
      </w:pPr>
      <w:r>
        <w:rPr>
          <w:rFonts w:ascii="Georgia" w:cs="Georgia" w:eastAsia="Georgia" w:hAnsi="Georgia"/>
          <w:sz w:val="22"/>
          <w:szCs w:val="22"/>
        </w:rPr>
        <w:t xml:space="preserve">If you have an hour, do 1, 2, 7, 8, 10, 12, 16 and 25. If you have an afternoon, do them all.</w:t>
      </w:r>
    </w:p>
    <w:p>
      <w:pPr>
        <w:pStyle w:val="Heading1"/>
        <w:pageBreakBefore/>
        <w:spacing w:after="200" w:before="0"/>
      </w:pPr>
      <w:r>
        <w:rPr>
          <w:rFonts w:ascii="Georgia" w:cs="Georgia" w:eastAsia="Georgia" w:hAnsi="Georgia"/>
          <w:b/>
          <w:bCs/>
          <w:color w:val="1F3864"/>
          <w:sz w:val="32"/>
          <w:szCs w:val="32"/>
        </w:rPr>
        <w:t xml:space="preserve">Part One — The ending of the book, and the claim you added</w:t>
      </w:r>
    </w:p>
    <w:p>
      <w:pPr>
        <w:pStyle w:val="Heading2"/>
        <w:spacing w:after="120" w:before="260"/>
      </w:pPr>
      <w:r>
        <w:rPr>
          <w:rFonts w:ascii="Georgia" w:cs="Georgia" w:eastAsia="Georgia" w:hAnsi="Georgia"/>
          <w:b/>
          <w:bCs/>
          <w:color w:val="1F3864"/>
          <w:sz w:val="25"/>
          <w:szCs w:val="25"/>
        </w:rPr>
        <w:t xml:space="preserve">Decision 1 — The name "ornamental democracy": whose idea it is, and how to introduce it</w:t>
      </w:r>
    </w:p>
    <w:p>
      <w:pPr>
        <w:spacing w:after="140"/>
      </w:pPr>
      <w:r>
        <w:rPr>
          <w:rFonts w:ascii="Georgia" w:cs="Georgia" w:eastAsia="Georgia" w:hAnsi="Georgia"/>
          <w:i/>
          <w:iCs/>
          <w:color w:val="777777"/>
          <w:sz w:val="19"/>
          <w:szCs w:val="19"/>
        </w:rPr>
        <w:t xml:space="preserve">Covers rows: (mm), (oooo), (llll) and Check 6</w:t>
      </w:r>
    </w:p>
    <w:p>
      <w:pPr>
        <w:spacing w:after="150" w:line="290"/>
      </w:pPr>
      <w:r>
        <w:rPr>
          <w:rFonts w:ascii="Georgia" w:cs="Georgia" w:eastAsia="Georgia" w:hAnsi="Georgia"/>
          <w:b/>
          <w:bCs/>
          <w:sz w:val="22"/>
          <w:szCs w:val="22"/>
        </w:rPr>
        <w:t xml:space="preserve">The background.</w:t>
      </w:r>
      <w:r>
        <w:rPr>
          <w:rFonts w:ascii="Georgia" w:cs="Georgia" w:eastAsia="Georgia" w:hAnsi="Georgia"/>
          <w:sz w:val="22"/>
          <w:szCs w:val="22"/>
        </w:rPr>
        <w:t xml:space="preserve"> Two weeks ago you ruled that the democratic bloc may end up "ornamentally democratic", and the phrase "ornamental democracy" is proposed as chapter 12's one coined term, with the Coda using it again. Your own voice rule, added on 1 August, says that before the chapter's footer (the short ledger at the end of each draft recording what the chapter coined) claims a term as a coinage, someone must check whether an existing scholar already owns it. That check has now been run against three books, and the results decide both whether you may claim the phrase and how you must introduce it.</w:t>
      </w:r>
    </w:p>
    <w:p>
      <w:pPr>
        <w:spacing w:after="150" w:line="290"/>
      </w:pPr>
      <w:r>
        <w:rPr>
          <w:rFonts w:ascii="Georgia" w:cs="Georgia" w:eastAsia="Georgia" w:hAnsi="Georgia"/>
          <w:sz w:val="22"/>
          <w:szCs w:val="22"/>
        </w:rPr>
        <w:t xml:space="preserve">The first predecessor is Colin Crouch, a British political sociologist, in the Fabian Society pamphlet </w:t>
      </w:r>
      <w:r>
        <w:rPr>
          <w:rFonts w:ascii="Georgia" w:cs="Georgia" w:eastAsia="Georgia" w:hAnsi="Georgia"/>
          <w:i/>
          <w:iCs/>
          <w:sz w:val="22"/>
          <w:szCs w:val="22"/>
        </w:rPr>
        <w:t xml:space="preserve">Coping with Post-Democracy</w:t>
      </w:r>
      <w:r>
        <w:rPr>
          <w:rFonts w:ascii="Georgia" w:cs="Georgia" w:eastAsia="Georgia" w:hAnsi="Georgia"/>
          <w:sz w:val="22"/>
          <w:szCs w:val="22"/>
        </w:rPr>
        <w:t xml:space="preserve"> (2000; the corpus holds the pamphlet, not the 2004 book). His condition is yours in outline, twenty-five years early: "while the forms of democracy remain fully in place - and today in some respects are actually strengthened - politics and government are increasingly slipping back into the control of privileged elites" (Crouch, PDF p. 2), and "it is difficult to dignify it as democracy itself" (PDF p. 8). But his word sweep is clean: no "ornament", "ornamental", "façade", "hollow", "husk", "veneer" or "decorat-". The adjective itself comes from Walter Bagehot's </w:t>
      </w:r>
      <w:r>
        <w:rPr>
          <w:rFonts w:ascii="Georgia" w:cs="Georgia" w:eastAsia="Georgia" w:hAnsi="Georgia"/>
          <w:i/>
          <w:iCs/>
          <w:sz w:val="22"/>
          <w:szCs w:val="22"/>
        </w:rPr>
        <w:t xml:space="preserve">The English Constitution</w:t>
      </w:r>
      <w:r>
        <w:rPr>
          <w:rFonts w:ascii="Georgia" w:cs="Georgia" w:eastAsia="Georgia" w:hAnsi="Georgia"/>
          <w:sz w:val="22"/>
          <w:szCs w:val="22"/>
        </w:rPr>
        <w:t xml:space="preserve"> (1867), from which you already borrow the split between the "dignified" parts of a constitution (the ones people revere) and the "efficient" parts (the ones that actually govern). Bagehot uses "ornamental" exactly twice, in one passage, of the dignified parts as "the additional and solely-ornamental wheels introduced into the clocks of the Middle Ages" (Bagehot, PDF p. 83), never of a constitution or of democracy. He also held the separation of reverence from rule to be a good thing and England's glory, which you do not. The second predecessor, Sheldon Wolin's </w:t>
      </w:r>
      <w:r>
        <w:rPr>
          <w:rFonts w:ascii="Georgia" w:cs="Georgia" w:eastAsia="Georgia" w:hAnsi="Georgia"/>
          <w:i/>
          <w:iCs/>
          <w:sz w:val="22"/>
          <w:szCs w:val="22"/>
        </w:rPr>
        <w:t xml:space="preserve">Democracy Incorporated</w:t>
      </w:r>
      <w:r>
        <w:rPr>
          <w:rFonts w:ascii="Georgia" w:cs="Georgia" w:eastAsia="Georgia" w:hAnsi="Georgia"/>
          <w:sz w:val="22"/>
          <w:szCs w:val="22"/>
        </w:rPr>
        <w:t xml:space="preserve"> (2008), is still not in the corpus; the check against him has not been made and cannot be made from memory.</w:t>
      </w:r>
    </w:p>
    <w:p>
      <w:pPr>
        <w:spacing w:after="150" w:line="290"/>
      </w:pPr>
      <w:r>
        <w:rPr>
          <w:rFonts w:ascii="Georgia" w:cs="Georgia" w:eastAsia="Georgia" w:hAnsi="Georgia"/>
          <w:sz w:val="22"/>
          <w:szCs w:val="22"/>
        </w:rPr>
        <w:t xml:space="preserve">The third predecessor is new. Jill Lepore, the Harvard historian, in </w:t>
      </w:r>
      <w:r>
        <w:rPr>
          <w:rFonts w:ascii="Georgia" w:cs="Georgia" w:eastAsia="Georgia" w:hAnsi="Georgia"/>
          <w:i/>
          <w:iCs/>
          <w:sz w:val="22"/>
          <w:szCs w:val="22"/>
        </w:rPr>
        <w:t xml:space="preserve">The Rise and Fall of the Artificial State</w:t>
      </w:r>
      <w:r>
        <w:rPr>
          <w:rFonts w:ascii="Georgia" w:cs="Georgia" w:eastAsia="Georgia" w:hAnsi="Georgia"/>
          <w:sz w:val="22"/>
          <w:szCs w:val="22"/>
        </w:rPr>
        <w:t xml:space="preserve"> (a phone-scanned copy with no title or copyright page, so no publisher or year may be cited and every page number is provisional). A search of all 306 pages found "ornament", "ornamental", "façade", "hollow", "husk", "decorative", "charade" and "sham" nowhere. The nearest hits are "trappings" (of religion, on a damaged page), "veneer" (of Nick Bostrom's prose) and one "figurehead", which is her summary of Douglas Adams's Zaphod Beeblebrox, "a mere figurehead, chosen not by voters but by the government to serve as a diversion from its criminality" (Lepore, printed p. 210 / PDF p. 224). Her own concept is "government without consent" (printed p. 5 / PDF p. 15), which asks whether the governed chose; yours asks whether the elected institutions control the state's strategic commitments, which is a different test and compatible with perfectly genuine elections.</w:t>
      </w:r>
    </w:p>
    <w:p>
      <w:pPr>
        <w:spacing w:after="150" w:line="290"/>
      </w:pPr>
      <w:r>
        <w:rPr>
          <w:rFonts w:ascii="Georgia" w:cs="Georgia" w:eastAsia="Georgia" w:hAnsi="Georgia"/>
          <w:sz w:val="22"/>
          <w:szCs w:val="22"/>
        </w:rPr>
        <w:t xml:space="preserve">There is a complication in her title. Her "artificial state" is "less a state than a dream of being without one" (printed p. xv / PDF p. 7), and her direction of travel is the opposite of yours: "Democracy and the liberal nation-state had to be abolished to free corporations from the restraining force of any government" (printed p. 205 / PDF p. 219). Searches for "foundry", "TSMC", "Anduril", "Starlink", "Pentagon", "procurement", "licensing" and "subsidy" all return zero. Two books share a phrase and mean opposite things by it: hers is corporations dissolving the state, yours is the state absorbing the corporations.</w:t>
      </w:r>
    </w:p>
    <w:p>
      <w:pPr>
        <w:spacing w:after="150" w:line="290"/>
      </w:pPr>
      <w:r>
        <w:rPr>
          <w:rFonts w:ascii="Georgia" w:cs="Georgia" w:eastAsia="Georgia" w:hAnsi="Georgia"/>
          <w:b/>
          <w:bCs/>
          <w:sz w:val="22"/>
          <w:szCs w:val="22"/>
        </w:rPr>
        <w:t xml:space="preserve">Why it matters.</w:t>
      </w:r>
      <w:r>
        <w:rPr>
          <w:rFonts w:ascii="Georgia" w:cs="Georgia" w:eastAsia="Georgia" w:hAnsi="Georgia"/>
          <w:sz w:val="22"/>
          <w:szCs w:val="22"/>
        </w:rPr>
        <w:t xml:space="preserve"> This is a question of originality first and accuracy second, and it is a large one because it sits at the book's rhetorical climax. A hostile reviewer who knows the post-democracy literature will treat an unattributed "ornamental democracy" as Crouch rebranded with an adjective Bagehot used of clock wheels, and will discount the rest of Part III's ending accordingly. A reviewer who has read Lepore will assume you borrowed "artificial state" from her, or that she supports you, unless you say otherwise. What is genuinely yours is narrow and defensible: the object (control of strategic commitments, not policy in general), the falsifiers in Appendix C, and the reversed direction (the state compelled to absorb the stack, not drained by it).</w:t>
      </w:r>
    </w:p>
    <w:p>
      <w:pPr>
        <w:spacing w:after="150" w:line="290"/>
      </w:pPr>
      <w:r>
        <w:rPr>
          <w:rFonts w:ascii="Georgia" w:cs="Georgia" w:eastAsia="Georgia" w:hAnsi="Georgia"/>
          <w:b/>
          <w:bCs/>
          <w:sz w:val="22"/>
          <w:szCs w:val="22"/>
        </w:rPr>
        <w:t xml:space="preserve">Your choices.</w:t>
      </w:r>
      <w:r>
        <w:rPr>
          <w:rFonts w:ascii="Georgia" w:cs="Georgia" w:eastAsia="Georgia" w:hAnsi="Georgia"/>
          <w:sz w:val="22"/>
          <w:szCs w:val="22"/>
        </w:rPr>
        <w:t xml:space="preserve"> Choice A is the full package: at first use in chapter 12 you introduce the term in the same breath as its pedigree. One clause names three predecessors with three objects (Crouch: egalitarian policy; Wolin: the regime; Lepore: consent) and the book's fourth (control of the state's strategic commitments); a second sentence names Bagehot for the adjective and refuses his valuation; a third says plainly that Lepore's "artificial state" means the opposite thing, so the collision is disposed of once and never becomes a digression. The footer ledger claims the coinage, but conditionally on Wolin until he has been read in text. This costs perhaps 250 to 350 words at the ending's most loaded point, and a Wolin retrieval before the ledger line becomes unconditional. It buys a reviewer who sees command of the field rather than evasion of it.</w:t>
      </w:r>
    </w:p>
    <w:p>
      <w:pPr>
        <w:spacing w:after="150" w:line="290"/>
      </w:pPr>
      <w:r>
        <w:rPr>
          <w:rFonts w:ascii="Georgia" w:cs="Georgia" w:eastAsia="Georgia" w:hAnsi="Georgia"/>
          <w:sz w:val="22"/>
          <w:szCs w:val="22"/>
        </w:rPr>
        <w:t xml:space="preserve">Choice B is the bare coinage: you introduce "ornamental democracy" as your own term with no genealogy and no mention of Lepore, on the ground that an ending should not stall to pay debts. It reads cleaner and costs nothing in words. It buys a reviewer who says, correctly, that you renamed post-democracy, and who wonders why a book called </w:t>
      </w:r>
      <w:r>
        <w:rPr>
          <w:rFonts w:ascii="Georgia" w:cs="Georgia" w:eastAsia="Georgia" w:hAnsi="Georgia"/>
          <w:i/>
          <w:iCs/>
          <w:sz w:val="22"/>
          <w:szCs w:val="22"/>
        </w:rPr>
        <w:t xml:space="preserve">The Artillery State</w:t>
      </w:r>
      <w:r>
        <w:rPr>
          <w:rFonts w:ascii="Georgia" w:cs="Georgia" w:eastAsia="Georgia" w:hAnsi="Georgia"/>
          <w:sz w:val="22"/>
          <w:szCs w:val="22"/>
        </w:rPr>
        <w:t xml:space="preserve"> never mentions the other 2026 book about an artificial state.</w:t>
      </w:r>
    </w:p>
    <w:p>
      <w:pPr>
        <w:spacing w:after="150" w:line="290"/>
      </w:pPr>
      <w:r>
        <w:rPr>
          <w:rFonts w:ascii="Georgia" w:cs="Georgia" w:eastAsia="Georgia" w:hAnsi="Georgia"/>
          <w:sz w:val="22"/>
          <w:szCs w:val="22"/>
        </w:rPr>
        <w:t xml:space="preserve">Choice C is to drop the term: the ending says "post-democracy, restricted to strategic commitments", the title collision is still stated once, and the chapter's one coinage is spent elsewhere. This costs the sharpest label in Part III and some of the close's force; it buys complete safety on originality. A reviewer would call the book honest and slightly flat.</w:t>
      </w:r>
    </w:p>
    <w:p>
      <w:pPr>
        <w:spacing w:after="150" w:line="290"/>
      </w:pPr>
      <w:r>
        <w:rPr>
          <w:rFonts w:ascii="Georgia" w:cs="Georgia" w:eastAsia="Georgia" w:hAnsi="Georgia"/>
          <w:sz w:val="22"/>
          <w:szCs w:val="22"/>
        </w:rPr>
        <w:t xml:space="preserve">There is one sub-choice inside A. The Lepore intake wants the whole predecessor clause to sit in chapter 12 §VII; Decision 2 below may move the constitutional close to a different section. Wherever the close lands, the predecessor clause and the collision sentence go with it.</w:t>
      </w:r>
    </w:p>
    <w:p>
      <w:pPr>
        <w:spacing w:after="150" w:line="290"/>
      </w:pPr>
      <w:r>
        <w:rPr>
          <w:rFonts w:ascii="Georgia" w:cs="Georgia" w:eastAsia="Georgia" w:hAnsi="Georgia"/>
          <w:b/>
          <w:bCs/>
          <w:sz w:val="22"/>
          <w:szCs w:val="22"/>
        </w:rPr>
        <w:t xml:space="preserve">My view.</w:t>
      </w:r>
      <w:r>
        <w:rPr>
          <w:rFonts w:ascii="Georgia" w:cs="Georgia" w:eastAsia="Georgia" w:hAnsi="Georgia"/>
          <w:sz w:val="22"/>
          <w:szCs w:val="22"/>
        </w:rPr>
        <w:t xml:space="preserve"> A, and this is a view: the adjective is genuinely free, the restriction and the falsifiers are genuinely yours, and Lepore's zero hits across 306 pages strengthen the claim rather than weaken it. I would still keep the ledger line conditional until Wolin is in the repository.</w:t>
      </w:r>
    </w:p>
    <w:p>
      <w:pPr>
        <w:pBdr>
          <w:top w:val="single" w:color="C9A227" w:sz="6"/>
          <w:left w:val="single" w:color="C9A227" w:sz="6"/>
          <w:right w:val="single" w:color="C9A227" w:sz="6"/>
        </w:pBdr>
        <w:shd w:fill="FFF4D6" w:color="auto" w:val="clear"/>
        <w:spacing w:after="60" w:before="200"/>
      </w:pPr>
      <w:r>
        <w:rPr>
          <w:rFonts w:ascii="Georgia" w:cs="Georgia" w:eastAsia="Georgia" w:hAnsi="Georgia"/>
          <w:b/>
          <w:bCs/>
          <w:color w:val="8A6D00"/>
          <w:sz w:val="23"/>
          <w:szCs w:val="23"/>
        </w:rPr>
        <w:t xml:space="preserve">YOUR RULING:  </w:t>
      </w:r>
    </w:p>
    <w:p>
      <w:pPr>
        <w:pBdr>
          <w:left w:val="single" w:color="C9A227" w:sz="6"/>
          <w:right w:val="single" w:color="C9A227" w:sz="6"/>
        </w:pBdr>
        <w:shd w:fill="FFF4D6" w:color="auto" w:val="clear"/>
        <w:spacing w:after="40"/>
      </w:pPr>
      <w:r>
        <w:rPr>
          <w:sz w:val="22"/>
          <w:szCs w:val="22"/>
        </w:rPr>
        <w:t xml:space="preserve"> </w:t>
      </w:r>
    </w:p>
    <w:p>
      <w:pPr>
        <w:pBdr>
          <w:left w:val="single" w:color="C9A227" w:sz="6"/>
          <w:right w:val="single" w:color="C9A227" w:sz="6"/>
        </w:pBdr>
        <w:shd w:fill="FFF4D6" w:color="auto" w:val="clear"/>
        <w:spacing w:after="40"/>
      </w:pPr>
      <w:r>
        <w:rPr>
          <w:sz w:val="22"/>
          <w:szCs w:val="22"/>
        </w:rPr>
        <w:t xml:space="preserve"> </w:t>
      </w:r>
    </w:p>
    <w:p>
      <w:pPr>
        <w:pBdr>
          <w:bottom w:val="single" w:color="C9A227" w:sz="6"/>
          <w:left w:val="single" w:color="C9A227" w:sz="6"/>
          <w:right w:val="single" w:color="C9A227" w:sz="6"/>
        </w:pBdr>
        <w:shd w:fill="FFF4D6" w:color="auto" w:val="clear"/>
        <w:spacing w:after="60"/>
      </w:pPr>
      <w:r>
        <w:rPr>
          <w:sz w:val="22"/>
          <w:szCs w:val="22"/>
        </w:rPr>
        <w:t xml:space="preserve"> </w:t>
      </w:r>
    </w:p>
    <w:p>
      <w:pPr>
        <w:pStyle w:val="Heading2"/>
        <w:spacing w:after="120" w:before="260"/>
      </w:pPr>
      <w:r>
        <w:rPr>
          <w:rFonts w:ascii="Georgia" w:cs="Georgia" w:eastAsia="Georgia" w:hAnsi="Georgia"/>
          <w:b/>
          <w:bCs/>
          <w:color w:val="1F3864"/>
          <w:sz w:val="25"/>
          <w:szCs w:val="25"/>
        </w:rPr>
        <w:t xml:space="preserve">Decision 2 — Where the book's real ending lives in chapter 12</w:t>
      </w:r>
    </w:p>
    <w:p>
      <w:pPr>
        <w:spacing w:after="140"/>
      </w:pPr>
      <w:r>
        <w:rPr>
          <w:rFonts w:ascii="Georgia" w:cs="Georgia" w:eastAsia="Georgia" w:hAnsi="Georgia"/>
          <w:i/>
          <w:iCs/>
          <w:color w:val="777777"/>
          <w:sz w:val="19"/>
          <w:szCs w:val="19"/>
        </w:rPr>
        <w:t xml:space="preserve">Covers rows: (nn)</w:t>
      </w:r>
    </w:p>
    <w:p>
      <w:pPr>
        <w:spacing w:after="150" w:line="290"/>
      </w:pPr>
      <w:r>
        <w:rPr>
          <w:rFonts w:ascii="Georgia" w:cs="Georgia" w:eastAsia="Georgia" w:hAnsi="Georgia"/>
          <w:b/>
          <w:bCs/>
          <w:sz w:val="22"/>
          <w:szCs w:val="22"/>
        </w:rPr>
        <w:t xml:space="preserve">The background.</w:t>
      </w:r>
      <w:r>
        <w:rPr>
          <w:rFonts w:ascii="Georgia" w:cs="Georgia" w:eastAsia="Georgia" w:hAnsi="Georgia"/>
          <w:sz w:val="22"/>
          <w:szCs w:val="22"/>
        </w:rPr>
        <w:t xml:space="preserve"> Chapter 12 as drafted runs: §VI states the book's claims; §VII is the asset-class ledger; §VIII returns to the battle of Formigny and gives the book its last words. §VII opens with its own disclaimer, "</w:t>
      </w:r>
      <w:r>
        <w:rPr>
          <w:rFonts w:ascii="Georgia" w:cs="Georgia" w:eastAsia="Georgia" w:hAnsi="Georgia"/>
          <w:i/>
          <w:iCs/>
          <w:sz w:val="22"/>
          <w:szCs w:val="22"/>
        </w:rPr>
        <w:t xml:space="preserve">(The CLAUDE.md §9 boundary governs this section: comparative historical analysis and asset-class direction; no actionable guidance.)</w:t>
      </w:r>
      <w:r>
        <w:rPr>
          <w:rFonts w:ascii="Georgia" w:cs="Georgia" w:eastAsia="Georgia" w:hAnsi="Georgia"/>
          <w:sz w:val="22"/>
          <w:szCs w:val="22"/>
        </w:rPr>
        <w:t xml:space="preserve">", and continues, "What did the last Tudor settlement do to wealth? The ledger is stark and it is the only forecast instrument this book will hand its professional readers." It closes: "Nothing more specific is offered, because nothing more specific would be honest."</w:t>
      </w:r>
    </w:p>
    <w:p>
      <w:pPr>
        <w:spacing w:after="150" w:line="290"/>
      </w:pPr>
      <w:r>
        <w:rPr>
          <w:rFonts w:ascii="Georgia" w:cs="Georgia" w:eastAsia="Georgia" w:hAnsi="Georgia"/>
          <w:sz w:val="22"/>
          <w:szCs w:val="22"/>
        </w:rPr>
        <w:t xml:space="preserve">Your ruling two weeks ago split the book's third claim into two: a defended part (the barons will be subordinated) and an open, scored part (what constitutional form the consolidated state takes, which may be ornamental democracy). That split needs a home in chapter 12, and every recent assessment nominates §VII for it, because that is where the chapter's closing argument sits. But §VII cannot take it. The project's own rules confine that section to comparative history and asset-class direction, and a section fenced for a wealth ledger is the wrong register for an argument about legitimacy and control. The Bagehot assessment says so plainly: "§VII as drafted is the asset-class ledger and cannot carry it; a new section or a renumbering is Roderick's call." Decision 1's predecessor clause and title-collision sentence must go wherever the constitutional close goes.</w:t>
      </w:r>
    </w:p>
    <w:p>
      <w:pPr>
        <w:spacing w:after="150" w:line="290"/>
      </w:pPr>
      <w:r>
        <w:rPr>
          <w:rFonts w:ascii="Georgia" w:cs="Georgia" w:eastAsia="Georgia" w:hAnsi="Georgia"/>
          <w:b/>
          <w:bCs/>
          <w:sz w:val="22"/>
          <w:szCs w:val="22"/>
        </w:rPr>
        <w:t xml:space="preserve">Why it matters.</w:t>
      </w:r>
      <w:r>
        <w:rPr>
          <w:rFonts w:ascii="Georgia" w:cs="Georgia" w:eastAsia="Georgia" w:hAnsi="Georgia"/>
          <w:sz w:val="22"/>
          <w:szCs w:val="22"/>
        </w:rPr>
        <w:t xml:space="preserve"> This decides what readers remember the book as having argued. As things stand, the last substantive thing said before the Formigny return is a wealth ledger for professional readers. A book that ends on asset-class direction invites the reading that its historical apparatus was built to service a market view. Putting the constitutional claim last inverts that impression at no cost to the ledger's content. It is a structural point rather than an evidentiary one, but it is large.</w:t>
      </w:r>
    </w:p>
    <w:p>
      <w:pPr>
        <w:spacing w:after="150" w:line="290"/>
      </w:pPr>
      <w:r>
        <w:rPr>
          <w:rFonts w:ascii="Georgia" w:cs="Georgia" w:eastAsia="Georgia" w:hAnsi="Georgia"/>
          <w:b/>
          <w:bCs/>
          <w:sz w:val="22"/>
          <w:szCs w:val="22"/>
        </w:rPr>
        <w:t xml:space="preserve">Your choices.</w:t>
      </w:r>
      <w:r>
        <w:rPr>
          <w:rFonts w:ascii="Georgia" w:cs="Georgia" w:eastAsia="Georgia" w:hAnsi="Georgia"/>
          <w:sz w:val="22"/>
          <w:szCs w:val="22"/>
        </w:rPr>
        <w:t xml:space="preserve"> Choice A inserts a new section between §VI and §VII: the constitutional close becomes the new §VII, carrying Crouch, Bagehot, Wolin, Lepore, Stasavage's Cortes of Castile and the falsifiers; the ledger slides to §VIII and the Formigny return to §IX. This costs one renumbering across the chapter and every cross-reference to "ch12 §VII" elsewhere, including Appendix C, and it lengthens the run to the final image by 700 to 900 words. It buys a clean order: claims, then the form question, then the ledger as a consequence, then the return.</w:t>
      </w:r>
    </w:p>
    <w:p>
      <w:pPr>
        <w:spacing w:after="150" w:line="290"/>
      </w:pPr>
      <w:r>
        <w:rPr>
          <w:rFonts w:ascii="Georgia" w:cs="Georgia" w:eastAsia="Georgia" w:hAnsi="Georgia"/>
          <w:sz w:val="22"/>
          <w:szCs w:val="22"/>
        </w:rPr>
        <w:t xml:space="preserve">Choice B is the same insertion but with the ledger moved up to sit directly after §VI, so the constitutional close is the last analytical section before Formigny. The renumbering is the same. The cost is that the ledger, with its disclaimer, interrupts the line between the claims and the close. It buys the strongest possible final emphasis.</w:t>
      </w:r>
    </w:p>
    <w:p>
      <w:pPr>
        <w:spacing w:after="150" w:line="290"/>
      </w:pPr>
      <w:r>
        <w:rPr>
          <w:rFonts w:ascii="Georgia" w:cs="Georgia" w:eastAsia="Georgia" w:hAnsi="Georgia"/>
          <w:sz w:val="22"/>
          <w:szCs w:val="22"/>
        </w:rPr>
        <w:t xml:space="preserve">Choice C moves the ledger out of the chapter into a short Appendix E, or folds it into Appendix B, and the constitutional close takes the §VII slot outright. This costs the ledger its prominence, and it was written for a readership whose attention you presumably want; it risks reading as embarrassment about the book's commercial audience. It buys the tightest chapter and the least friction with the rules, since an appendix carrying asset-class direction is unambiguously outside the argumentative spine.</w:t>
      </w:r>
    </w:p>
    <w:p>
      <w:pPr>
        <w:spacing w:after="150" w:line="290"/>
      </w:pPr>
      <w:r>
        <w:rPr>
          <w:rFonts w:ascii="Georgia" w:cs="Georgia" w:eastAsia="Georgia" w:hAnsi="Georgia"/>
          <w:b/>
          <w:bCs/>
          <w:sz w:val="22"/>
          <w:szCs w:val="22"/>
        </w:rPr>
        <w:t xml:space="preserve">My view.</w:t>
      </w:r>
      <w:r>
        <w:rPr>
          <w:rFonts w:ascii="Georgia" w:cs="Georgia" w:eastAsia="Georgia" w:hAnsi="Georgia"/>
          <w:sz w:val="22"/>
          <w:szCs w:val="22"/>
        </w:rPr>
        <w:t xml:space="preserve"> B, as a view: the ledger was written honestly for a real audience and should not be hidden, but the constitutional close, not the wealth ledger, should be the last analytical thing the reader meets.</w:t>
      </w:r>
    </w:p>
    <w:p>
      <w:pPr>
        <w:pBdr>
          <w:top w:val="single" w:color="C9A227" w:sz="6"/>
          <w:left w:val="single" w:color="C9A227" w:sz="6"/>
          <w:right w:val="single" w:color="C9A227" w:sz="6"/>
        </w:pBdr>
        <w:shd w:fill="FFF4D6" w:color="auto" w:val="clear"/>
        <w:spacing w:after="60" w:before="200"/>
      </w:pPr>
      <w:r>
        <w:rPr>
          <w:rFonts w:ascii="Georgia" w:cs="Georgia" w:eastAsia="Georgia" w:hAnsi="Georgia"/>
          <w:b/>
          <w:bCs/>
          <w:color w:val="8A6D00"/>
          <w:sz w:val="23"/>
          <w:szCs w:val="23"/>
        </w:rPr>
        <w:t xml:space="preserve">YOUR RULING:  </w:t>
      </w:r>
    </w:p>
    <w:p>
      <w:pPr>
        <w:pBdr>
          <w:left w:val="single" w:color="C9A227" w:sz="6"/>
          <w:right w:val="single" w:color="C9A227" w:sz="6"/>
        </w:pBdr>
        <w:shd w:fill="FFF4D6" w:color="auto" w:val="clear"/>
        <w:spacing w:after="40"/>
      </w:pPr>
      <w:r>
        <w:rPr>
          <w:sz w:val="22"/>
          <w:szCs w:val="22"/>
        </w:rPr>
        <w:t xml:space="preserve"> </w:t>
      </w:r>
    </w:p>
    <w:p>
      <w:pPr>
        <w:pBdr>
          <w:left w:val="single" w:color="C9A227" w:sz="6"/>
          <w:right w:val="single" w:color="C9A227" w:sz="6"/>
        </w:pBdr>
        <w:shd w:fill="FFF4D6" w:color="auto" w:val="clear"/>
        <w:spacing w:after="40"/>
      </w:pPr>
      <w:r>
        <w:rPr>
          <w:sz w:val="22"/>
          <w:szCs w:val="22"/>
        </w:rPr>
        <w:t xml:space="preserve"> </w:t>
      </w:r>
    </w:p>
    <w:p>
      <w:pPr>
        <w:pBdr>
          <w:bottom w:val="single" w:color="C9A227" w:sz="6"/>
          <w:left w:val="single" w:color="C9A227" w:sz="6"/>
          <w:right w:val="single" w:color="C9A227" w:sz="6"/>
        </w:pBdr>
        <w:shd w:fill="FFF4D6" w:color="auto" w:val="clear"/>
        <w:spacing w:after="60"/>
      </w:pPr>
      <w:r>
        <w:rPr>
          <w:sz w:val="22"/>
          <w:szCs w:val="22"/>
        </w:rPr>
        <w:t xml:space="preserve"> </w:t>
      </w:r>
    </w:p>
    <w:p>
      <w:pPr>
        <w:pStyle w:val="Heading2"/>
        <w:spacing w:after="120" w:before="260"/>
      </w:pPr>
      <w:r>
        <w:rPr>
          <w:rFonts w:ascii="Georgia" w:cs="Georgia" w:eastAsia="Georgia" w:hAnsi="Georgia"/>
          <w:b/>
          <w:bCs/>
          <w:color w:val="1F3864"/>
          <w:sz w:val="25"/>
          <w:szCs w:val="25"/>
        </w:rPr>
        <w:t xml:space="preserve">Decision 3 — The Coda's fifth disclaimer</w:t>
      </w:r>
    </w:p>
    <w:p>
      <w:pPr>
        <w:spacing w:after="140"/>
      </w:pPr>
      <w:r>
        <w:rPr>
          <w:rFonts w:ascii="Georgia" w:cs="Georgia" w:eastAsia="Georgia" w:hAnsi="Georgia"/>
          <w:i/>
          <w:iCs/>
          <w:color w:val="777777"/>
          <w:sz w:val="19"/>
          <w:szCs w:val="19"/>
        </w:rPr>
        <w:t xml:space="preserve">Covers rows: (cccc)</w:t>
      </w:r>
    </w:p>
    <w:p>
      <w:pPr>
        <w:spacing w:after="150" w:line="290"/>
      </w:pPr>
      <w:r>
        <w:rPr>
          <w:rFonts w:ascii="Georgia" w:cs="Georgia" w:eastAsia="Georgia" w:hAnsi="Georgia"/>
          <w:b/>
          <w:bCs/>
          <w:sz w:val="22"/>
          <w:szCs w:val="22"/>
        </w:rPr>
        <w:t xml:space="preserve">The background.</w:t>
      </w:r>
      <w:r>
        <w:rPr>
          <w:rFonts w:ascii="Georgia" w:cs="Georgia" w:eastAsia="Georgia" w:hAnsi="Georgia"/>
          <w:sz w:val="22"/>
          <w:szCs w:val="22"/>
        </w:rPr>
        <w:t xml:space="preserve"> Coda §V reads: "Four disclaimers, stated flatly because each has been earned by a chapter." Your ruling that the consolidated state's constitutional form is open, and may be ornamental, has not yet reached the Coda. The row proposes a fifth disclaimer: the settlement is not claimed to be democratic. Crouch supplies the condition without the slur (the forms remain "fully in place" while control slips elsewhere, Crouch PDF p. 2); Bagehot supplies the instrument while refusing your valuation of it, since for him the dignified parts "raise the army, though they do not win the battle" (Bagehot PDF p. 21); David Stasavage, an American political scientist writing on representative assemblies, supplies the worked case, the Cortes of Castile keeping its forms while losing control and being abolished in 1665.</w:t>
      </w:r>
    </w:p>
    <w:p>
      <w:pPr>
        <w:spacing w:after="150" w:line="290"/>
      </w:pPr>
      <w:r>
        <w:rPr>
          <w:rFonts w:ascii="Georgia" w:cs="Georgia" w:eastAsia="Georgia" w:hAnsi="Georgia"/>
          <w:b/>
          <w:bCs/>
          <w:sz w:val="22"/>
          <w:szCs w:val="22"/>
        </w:rPr>
        <w:t xml:space="preserve">Why it matters.</w:t>
      </w:r>
      <w:r>
        <w:rPr>
          <w:rFonts w:ascii="Georgia" w:cs="Georgia" w:eastAsia="Georgia" w:hAnsi="Georgia"/>
          <w:sz w:val="22"/>
          <w:szCs w:val="22"/>
        </w:rPr>
        <w:t xml:space="preserve"> Small in words, large in effect. A book that predicts consolidation and declines to condemn it reads as commending it, and the Coda is the last place a reader looks for the distinction. Without the disclaimer, a reviewer can say the book's ending is complacent about democracy; with it, the two things you ruled apart are visibly kept apart at the end as well as the beginning.</w:t>
      </w:r>
    </w:p>
    <w:p>
      <w:pPr>
        <w:spacing w:after="150" w:line="290"/>
      </w:pPr>
      <w:r>
        <w:rPr>
          <w:rFonts w:ascii="Georgia" w:cs="Georgia" w:eastAsia="Georgia" w:hAnsi="Georgia"/>
          <w:b/>
          <w:bCs/>
          <w:sz w:val="22"/>
          <w:szCs w:val="22"/>
        </w:rPr>
        <w:t xml:space="preserve">Your choices.</w:t>
      </w:r>
      <w:r>
        <w:rPr>
          <w:rFonts w:ascii="Georgia" w:cs="Georgia" w:eastAsia="Georgia" w:hAnsi="Georgia"/>
          <w:sz w:val="22"/>
          <w:szCs w:val="22"/>
        </w:rPr>
        <w:t xml:space="preserve"> Choice A adds the fifth disclaimer, naming Crouch, Bagehot and Stasavage in one sentence each, with "ornamental democracy" appearing only as a back-reference to chapter 12, so that the coinage is introduced once and only once. This costs perhaps eighty words and depends on Decision 1 going A or C. Choice B leaves four disclaimers and lets chapter 12 carry the point alone. This costs nothing on the page and leaves the Coda's own summary of the wager silent on its most contestable implication.</w:t>
      </w:r>
    </w:p>
    <w:p>
      <w:pPr>
        <w:spacing w:after="150" w:line="290"/>
      </w:pPr>
      <w:r>
        <w:rPr>
          <w:rFonts w:ascii="Georgia" w:cs="Georgia" w:eastAsia="Georgia" w:hAnsi="Georgia"/>
          <w:b/>
          <w:bCs/>
          <w:sz w:val="22"/>
          <w:szCs w:val="22"/>
        </w:rPr>
        <w:t xml:space="preserve">My view.</w:t>
      </w:r>
      <w:r>
        <w:rPr>
          <w:rFonts w:ascii="Georgia" w:cs="Georgia" w:eastAsia="Georgia" w:hAnsi="Georgia"/>
          <w:sz w:val="22"/>
          <w:szCs w:val="22"/>
        </w:rPr>
        <w:t xml:space="preserve"> A, as a view: it is cheap, and the Coda is precisely where the sceptic checks what the author does and does not claim.</w:t>
      </w:r>
    </w:p>
    <w:p>
      <w:pPr>
        <w:pBdr>
          <w:top w:val="single" w:color="C9A227" w:sz="6"/>
          <w:left w:val="single" w:color="C9A227" w:sz="6"/>
          <w:right w:val="single" w:color="C9A227" w:sz="6"/>
        </w:pBdr>
        <w:shd w:fill="FFF4D6" w:color="auto" w:val="clear"/>
        <w:spacing w:after="60" w:before="200"/>
      </w:pPr>
      <w:r>
        <w:rPr>
          <w:rFonts w:ascii="Georgia" w:cs="Georgia" w:eastAsia="Georgia" w:hAnsi="Georgia"/>
          <w:b/>
          <w:bCs/>
          <w:color w:val="8A6D00"/>
          <w:sz w:val="23"/>
          <w:szCs w:val="23"/>
        </w:rPr>
        <w:t xml:space="preserve">YOUR RULING:  </w:t>
      </w:r>
    </w:p>
    <w:p>
      <w:pPr>
        <w:pBdr>
          <w:left w:val="single" w:color="C9A227" w:sz="6"/>
          <w:right w:val="single" w:color="C9A227" w:sz="6"/>
        </w:pBdr>
        <w:shd w:fill="FFF4D6" w:color="auto" w:val="clear"/>
        <w:spacing w:after="40"/>
      </w:pPr>
      <w:r>
        <w:rPr>
          <w:sz w:val="22"/>
          <w:szCs w:val="22"/>
        </w:rPr>
        <w:t xml:space="preserve"> </w:t>
      </w:r>
    </w:p>
    <w:p>
      <w:pPr>
        <w:pBdr>
          <w:left w:val="single" w:color="C9A227" w:sz="6"/>
          <w:right w:val="single" w:color="C9A227" w:sz="6"/>
        </w:pBdr>
        <w:shd w:fill="FFF4D6" w:color="auto" w:val="clear"/>
        <w:spacing w:after="40"/>
      </w:pPr>
      <w:r>
        <w:rPr>
          <w:sz w:val="22"/>
          <w:szCs w:val="22"/>
        </w:rPr>
        <w:t xml:space="preserve"> </w:t>
      </w:r>
    </w:p>
    <w:p>
      <w:pPr>
        <w:pBdr>
          <w:bottom w:val="single" w:color="C9A227" w:sz="6"/>
          <w:left w:val="single" w:color="C9A227" w:sz="6"/>
          <w:right w:val="single" w:color="C9A227" w:sz="6"/>
        </w:pBdr>
        <w:shd w:fill="FFF4D6" w:color="auto" w:val="clear"/>
        <w:spacing w:after="60"/>
      </w:pPr>
      <w:r>
        <w:rPr>
          <w:sz w:val="22"/>
          <w:szCs w:val="22"/>
        </w:rPr>
        <w:t xml:space="preserve"> </w:t>
      </w:r>
    </w:p>
    <w:p>
      <w:pPr>
        <w:pStyle w:val="Heading2"/>
        <w:spacing w:after="120" w:before="260"/>
      </w:pPr>
      <w:r>
        <w:rPr>
          <w:rFonts w:ascii="Georgia" w:cs="Georgia" w:eastAsia="Georgia" w:hAnsi="Georgia"/>
          <w:b/>
          <w:bCs/>
          <w:color w:val="1F3864"/>
          <w:sz w:val="25"/>
          <w:szCs w:val="25"/>
        </w:rPr>
        <w:t xml:space="preserve">Decision 4 — Conceding when the state does NOT acquire the stack: "decisive AND inescapable"</w:t>
      </w:r>
    </w:p>
    <w:p>
      <w:pPr>
        <w:spacing w:after="140"/>
      </w:pPr>
      <w:r>
        <w:rPr>
          <w:rFonts w:ascii="Georgia" w:cs="Georgia" w:eastAsia="Georgia" w:hAnsi="Georgia"/>
          <w:i/>
          <w:iCs/>
          <w:color w:val="777777"/>
          <w:sz w:val="19"/>
          <w:szCs w:val="19"/>
        </w:rPr>
        <w:t xml:space="preserve">Covers rows: (pppp)</w:t>
      </w:r>
    </w:p>
    <w:p>
      <w:pPr>
        <w:spacing w:after="150" w:line="290"/>
      </w:pPr>
      <w:r>
        <w:rPr>
          <w:rFonts w:ascii="Georgia" w:cs="Georgia" w:eastAsia="Georgia" w:hAnsi="Georgia"/>
          <w:b/>
          <w:bCs/>
          <w:sz w:val="22"/>
          <w:szCs w:val="22"/>
        </w:rPr>
        <w:t xml:space="preserve">The background.</w:t>
      </w:r>
      <w:r>
        <w:rPr>
          <w:rFonts w:ascii="Georgia" w:cs="Georgia" w:eastAsia="Georgia" w:hAnsi="Georgia"/>
          <w:sz w:val="22"/>
          <w:szCs w:val="22"/>
        </w:rPr>
        <w:t xml:space="preserve"> The book's fiscal limb says that once a capability becomes decisive and costs more than any subject can pay, the state with a permanent fisc acquires it. Chapter 12 §IV applies that to the present and rules, for the United States, that "the state will absorb the stack". Your spine §8(g) already lists this as item 4, a limb that may need narrowing.</w:t>
      </w:r>
    </w:p>
    <w:p>
      <w:pPr>
        <w:spacing w:after="150" w:line="290"/>
      </w:pPr>
      <w:r>
        <w:rPr>
          <w:rFonts w:ascii="Georgia" w:cs="Georgia" w:eastAsia="Georgia" w:hAnsi="Georgia"/>
          <w:sz w:val="22"/>
          <w:szCs w:val="22"/>
        </w:rPr>
        <w:t xml:space="preserve">Lepore's historical chapters, which rest on her own archival work and carry more weight than her contemporary ones, hold three dated cases in which a state wanted a data-processing stack, had the money, and did not get it. The American National Data Center, proposed in the 1960s, was "abandoned due to privacy concerns" and dubbed "the Snooping Machine". The Soviet OGAS, a planned nationwide computer network for running the economy, failed because "the process of developing the network was left to unregulated, independent contractors" (both at printed p. 59 / PDF p. 70). Chile's Cybersyn, Salvador Allende's real-time economic control room, was "abandoned after Pinochet took power in a coup in 1973" (printed p. 62 / PDF p. 73). In each case the state had the fiscal capacity; in each case private firms went on to build what the state could not. The assessment grades the book's present answer "good on the sequence, weak on the three failures", and recommends a concession in one clause: the mechanism predicts acquisition only where the capability is decisive AND the state's dependence on it inescapable. In 1960s data-processing neither held; the state could govern without it, and nothing decisive turned on it.</w:t>
      </w:r>
    </w:p>
    <w:p>
      <w:pPr>
        <w:spacing w:after="150" w:line="290"/>
      </w:pPr>
      <w:r>
        <w:rPr>
          <w:rFonts w:ascii="Georgia" w:cs="Georgia" w:eastAsia="Georgia" w:hAnsi="Georgia"/>
          <w:b/>
          <w:bCs/>
          <w:sz w:val="22"/>
          <w:szCs w:val="22"/>
        </w:rPr>
        <w:t xml:space="preserve">Why it matters.</w:t>
      </w:r>
      <w:r>
        <w:rPr>
          <w:rFonts w:ascii="Georgia" w:cs="Georgia" w:eastAsia="Georgia" w:hAnsi="Georgia"/>
          <w:sz w:val="22"/>
          <w:szCs w:val="22"/>
        </w:rPr>
        <w:t xml:space="preserve"> This touches the predictive claim directly, so it is large. Left alone, a reviewer with Lepore's chapter 3 in hand has three counter-examples to a limb the book states as a rule, and can argue the American state has a documented habit of abandoning exactly this kind of stack. Conceded, the same cases become the boundary of the claim, and the book's own falsifier sheet inherits a new obligation: Appendix C's indicator DC-4, which asks whether a public institution exists that could replace an essential supplier, must now show that present dependence is inescapable, not merely assert it. Lepore also names no such public substitute anywhere in her book, and that zero is worth recording in the DC-4 design note.</w:t>
      </w:r>
    </w:p>
    <w:p>
      <w:pPr>
        <w:spacing w:after="150" w:line="290"/>
      </w:pPr>
      <w:r>
        <w:rPr>
          <w:rFonts w:ascii="Georgia" w:cs="Georgia" w:eastAsia="Georgia" w:hAnsi="Georgia"/>
          <w:b/>
          <w:bCs/>
          <w:sz w:val="22"/>
          <w:szCs w:val="22"/>
        </w:rPr>
        <w:t xml:space="preserve">Your choices.</w:t>
      </w:r>
      <w:r>
        <w:rPr>
          <w:rFonts w:ascii="Georgia" w:cs="Georgia" w:eastAsia="Georgia" w:hAnsi="Georgia"/>
          <w:sz w:val="22"/>
          <w:szCs w:val="22"/>
        </w:rPr>
        <w:t xml:space="preserve"> Choice A adopts the concession: §IV gains one clause at the point where the fiscal half is stated ("decisive and inescapable"), the three failures are named in a note rather than the text, and DC-4's design note records that the indicator must demonstrate inescapability and that Lepore supplies no public substitute. This costs a clause, a note and a paragraph in the appendix. It buys a narrower claim that survives its own counter-examples, and it turns Lepore's three failures into the book's own evidence for why the present case is different. A reviewer would then have to argue that the present dependence is escapable, which is an argument on your ground.</w:t>
      </w:r>
    </w:p>
    <w:p>
      <w:pPr>
        <w:spacing w:after="150" w:line="290"/>
      </w:pPr>
      <w:r>
        <w:rPr>
          <w:rFonts w:ascii="Georgia" w:cs="Georgia" w:eastAsia="Georgia" w:hAnsi="Georgia"/>
          <w:sz w:val="22"/>
          <w:szCs w:val="22"/>
        </w:rPr>
        <w:t xml:space="preserve">Choice B keeps the fiscal limb as stated and treats the three failures as answered by sequence alone, the point your spine §8(c)(i) already makes, that abdication and absorption are consecutive rather than alternative. This costs nothing on the page. It buys a cleaner rule and leaves three named historical cases contradicting it, discoverable by anyone who reads a Pulitzer-winning historian's latest book.</w:t>
      </w:r>
    </w:p>
    <w:p>
      <w:pPr>
        <w:spacing w:after="150" w:line="290"/>
      </w:pPr>
      <w:r>
        <w:rPr>
          <w:rFonts w:ascii="Georgia" w:cs="Georgia" w:eastAsia="Georgia" w:hAnsi="Georgia"/>
          <w:b/>
          <w:bCs/>
          <w:sz w:val="22"/>
          <w:szCs w:val="22"/>
        </w:rPr>
        <w:t xml:space="preserve">My view.</w:t>
      </w:r>
      <w:r>
        <w:rPr>
          <w:rFonts w:ascii="Georgia" w:cs="Georgia" w:eastAsia="Georgia" w:hAnsi="Georgia"/>
          <w:sz w:val="22"/>
          <w:szCs w:val="22"/>
        </w:rPr>
        <w:t xml:space="preserve"> A, as a view: the concession is already true on the book's own account, it costs one clause, and the obligation it places on DC-4 is one the indicator should have carried anyway.</w:t>
      </w:r>
    </w:p>
    <w:p>
      <w:pPr>
        <w:pBdr>
          <w:top w:val="single" w:color="C9A227" w:sz="6"/>
          <w:left w:val="single" w:color="C9A227" w:sz="6"/>
          <w:right w:val="single" w:color="C9A227" w:sz="6"/>
        </w:pBdr>
        <w:shd w:fill="FFF4D6" w:color="auto" w:val="clear"/>
        <w:spacing w:after="60" w:before="200"/>
      </w:pPr>
      <w:r>
        <w:rPr>
          <w:rFonts w:ascii="Georgia" w:cs="Georgia" w:eastAsia="Georgia" w:hAnsi="Georgia"/>
          <w:b/>
          <w:bCs/>
          <w:color w:val="8A6D00"/>
          <w:sz w:val="23"/>
          <w:szCs w:val="23"/>
        </w:rPr>
        <w:t xml:space="preserve">YOUR RULING:  </w:t>
      </w:r>
    </w:p>
    <w:p>
      <w:pPr>
        <w:pBdr>
          <w:left w:val="single" w:color="C9A227" w:sz="6"/>
          <w:right w:val="single" w:color="C9A227" w:sz="6"/>
        </w:pBdr>
        <w:shd w:fill="FFF4D6" w:color="auto" w:val="clear"/>
        <w:spacing w:after="40"/>
      </w:pPr>
      <w:r>
        <w:rPr>
          <w:sz w:val="22"/>
          <w:szCs w:val="22"/>
        </w:rPr>
        <w:t xml:space="preserve"> </w:t>
      </w:r>
    </w:p>
    <w:p>
      <w:pPr>
        <w:pBdr>
          <w:left w:val="single" w:color="C9A227" w:sz="6"/>
          <w:right w:val="single" w:color="C9A227" w:sz="6"/>
        </w:pBdr>
        <w:shd w:fill="FFF4D6" w:color="auto" w:val="clear"/>
        <w:spacing w:after="40"/>
      </w:pPr>
      <w:r>
        <w:rPr>
          <w:sz w:val="22"/>
          <w:szCs w:val="22"/>
        </w:rPr>
        <w:t xml:space="preserve"> </w:t>
      </w:r>
    </w:p>
    <w:p>
      <w:pPr>
        <w:pBdr>
          <w:bottom w:val="single" w:color="C9A227" w:sz="6"/>
          <w:left w:val="single" w:color="C9A227" w:sz="6"/>
          <w:right w:val="single" w:color="C9A227" w:sz="6"/>
        </w:pBdr>
        <w:shd w:fill="FFF4D6" w:color="auto" w:val="clear"/>
        <w:spacing w:after="60"/>
      </w:pPr>
      <w:r>
        <w:rPr>
          <w:sz w:val="22"/>
          <w:szCs w:val="22"/>
        </w:rPr>
        <w:t xml:space="preserve"> </w:t>
      </w:r>
    </w:p>
    <w:p>
      <w:pPr>
        <w:pStyle w:val="Heading2"/>
        <w:spacing w:after="120" w:before="260"/>
      </w:pPr>
      <w:r>
        <w:rPr>
          <w:rFonts w:ascii="Georgia" w:cs="Georgia" w:eastAsia="Georgia" w:hAnsi="Georgia"/>
          <w:b/>
          <w:bCs/>
          <w:color w:val="1F3864"/>
          <w:sz w:val="25"/>
          <w:szCs w:val="25"/>
        </w:rPr>
        <w:t xml:space="preserve">Decision 5 — Where the modern analogy stops: administration yes, representation no</w:t>
      </w:r>
    </w:p>
    <w:p>
      <w:pPr>
        <w:spacing w:after="140"/>
      </w:pPr>
      <w:r>
        <w:rPr>
          <w:rFonts w:ascii="Georgia" w:cs="Georgia" w:eastAsia="Georgia" w:hAnsi="Georgia"/>
          <w:i/>
          <w:iCs/>
          <w:color w:val="777777"/>
          <w:sz w:val="19"/>
          <w:szCs w:val="19"/>
        </w:rPr>
        <w:t xml:space="preserve">Covers rows: (mmmm)</w:t>
      </w:r>
    </w:p>
    <w:p>
      <w:pPr>
        <w:spacing w:after="150" w:line="290"/>
      </w:pPr>
      <w:r>
        <w:rPr>
          <w:rFonts w:ascii="Georgia" w:cs="Georgia" w:eastAsia="Georgia" w:hAnsi="Georgia"/>
          <w:b/>
          <w:bCs/>
          <w:sz w:val="22"/>
          <w:szCs w:val="22"/>
        </w:rPr>
        <w:t xml:space="preserve">The background.</w:t>
      </w:r>
      <w:r>
        <w:rPr>
          <w:rFonts w:ascii="Georgia" w:cs="Georgia" w:eastAsia="Georgia" w:hAnsi="Georgia"/>
          <w:sz w:val="22"/>
          <w:szCs w:val="22"/>
        </w:rPr>
        <w:t xml:space="preserve"> Chapter 12 §III compares the identity-payments-legibility stack to two medieval and early-modern instruments of making a population visible to the state: the Spanish Inquisition's records and the Ottoman devşirme (the levy of Christian boys for imperial service, which required registers of who lived where). The draft's sentence reads: "the comparison licenses nothing beyond the observation that uniform legibility is a governing </w:t>
      </w:r>
      <w:r>
        <w:rPr>
          <w:rFonts w:ascii="Georgia" w:cs="Georgia" w:eastAsia="Georgia" w:hAnsi="Georgia"/>
          <w:i/>
          <w:iCs/>
          <w:sz w:val="22"/>
          <w:szCs w:val="22"/>
        </w:rPr>
        <w:t xml:space="preserve">capacity</w:t>
      </w:r>
      <w:r>
        <w:rPr>
          <w:rFonts w:ascii="Georgia" w:cs="Georgia" w:eastAsia="Georgia" w:hAnsi="Georgia"/>
          <w:sz w:val="22"/>
          <w:szCs w:val="22"/>
        </w:rPr>
        <w:t xml:space="preserve"> — the capacity the Inquisition and the devşirme built by force and the API builds by default [ANALOGY-ONLY beyond that point]". The flag is a project marker meaning that a passage rests on resemblance rather than mechanism and needs your decision; the draft currently leaves it open with a bare "beyond that point", which states no limit.</w:t>
      </w:r>
    </w:p>
    <w:p>
      <w:pPr>
        <w:spacing w:after="150" w:line="290"/>
      </w:pPr>
      <w:r>
        <w:rPr>
          <w:rFonts w:ascii="Georgia" w:cs="Georgia" w:eastAsia="Georgia" w:hAnsi="Georgia"/>
          <w:sz w:val="22"/>
          <w:szCs w:val="22"/>
        </w:rPr>
        <w:t xml:space="preserve">Lepore supplies the limit. She draws a line three times between technologies that assist government and systems that replace it. The load-bearing sentence is on Cold War computing, which served "government administration of everything from welfare provision to national security. Only later would these tools be applied, by private companies, as substitutes for the democratic functions of representation, deliberation, and participation" (printed p. 38 / PDF p. 49). Her two-sided formula follows: "The ability to count gave the state power; the ability to be counted gave the people power" (printed p. 94 / PDF p. 107). The line is administration against representation: machines may administer; they may not represent.</w:t>
      </w:r>
    </w:p>
    <w:p>
      <w:pPr>
        <w:spacing w:after="150" w:line="290"/>
      </w:pPr>
      <w:r>
        <w:rPr>
          <w:rFonts w:ascii="Georgia" w:cs="Georgia" w:eastAsia="Georgia" w:hAnsi="Georgia"/>
          <w:sz w:val="22"/>
          <w:szCs w:val="22"/>
        </w:rPr>
        <w:t xml:space="preserve">The same distinction answers a question the rest of chapter 12 leaves hanging. §IV rules that the American state will absorb the stack, and your ruling made the constitutional form of what results an open question (claim 3(ii)). Lepore's line gives that question its criterion: not whether the state acquires the stack, but whether what it acquires is administrative capacity or the representative function itself. The identity-payments-legibility stack straddles the line, which is why the question is live. The same criterion would enter chapter 9 §IX, which asks "what happens to a constitution when its efficient part migrates".</w:t>
      </w:r>
    </w:p>
    <w:p>
      <w:pPr>
        <w:spacing w:after="150" w:line="290"/>
      </w:pPr>
      <w:r>
        <w:rPr>
          <w:rFonts w:ascii="Georgia" w:cs="Georgia" w:eastAsia="Georgia" w:hAnsi="Georgia"/>
          <w:b/>
          <w:bCs/>
          <w:sz w:val="22"/>
          <w:szCs w:val="22"/>
        </w:rPr>
        <w:t xml:space="preserve">Why it matters.</w:t>
      </w:r>
      <w:r>
        <w:rPr>
          <w:rFonts w:ascii="Georgia" w:cs="Georgia" w:eastAsia="Georgia" w:hAnsi="Georgia"/>
          <w:sz w:val="22"/>
          <w:szCs w:val="22"/>
        </w:rPr>
        <w:t xml:space="preserve"> It is a medium-sized point on the page and a large one in the argument, because the flag marks the one place in Part III where the book itself admits it may be arguing from resemblance. Left as "beyond that point", a reviewer says the author knew the analogy was thin and did not say where it stopped. Narrowed, the flag becomes a stated limit with two pins, and the limit does double duty as the criterion for the open half of the third claim. Note the narrowing is not a closure: Lepore gives a principled stopping line but no mechanism for how episodic legibility (a census) became continuous legibility (a platform), so the flag stays, narrowed.</w:t>
      </w:r>
    </w:p>
    <w:p>
      <w:pPr>
        <w:spacing w:after="150" w:line="290"/>
      </w:pPr>
      <w:r>
        <w:rPr>
          <w:rFonts w:ascii="Georgia" w:cs="Georgia" w:eastAsia="Georgia" w:hAnsi="Georgia"/>
          <w:b/>
          <w:bCs/>
          <w:sz w:val="22"/>
          <w:szCs w:val="22"/>
        </w:rPr>
        <w:t xml:space="preserve">Your choices.</w:t>
      </w:r>
      <w:r>
        <w:rPr>
          <w:rFonts w:ascii="Georgia" w:cs="Georgia" w:eastAsia="Georgia" w:hAnsi="Georgia"/>
          <w:sz w:val="22"/>
          <w:szCs w:val="22"/>
        </w:rPr>
        <w:t xml:space="preserve"> Choice A narrows the flag: "beyond that point" is replaced by a stated limit (the comparison carries the administrative capacity and its two-sidedness and stops at the representative function), with Lepore's two sentences in the note; §IV gains one sentence making the same distinction the criterion for claim 3(ii); chapter 9 §IX's close gains the same criterion for what the efficient part's migration would consist in. This costs three sentences across two chapters. It buys a stated boundary, a criterion for your own open question, and the removal of the draft's most visible hedge. Lepore carries only the formula; the evidential weight stays on the primary documents already in the sources (the tax-information exchange regimes, Aadhaar, the GENIUS Act, the e-CNY).</w:t>
      </w:r>
    </w:p>
    <w:p>
      <w:pPr>
        <w:spacing w:after="150" w:line="290"/>
      </w:pPr>
      <w:r>
        <w:rPr>
          <w:rFonts w:ascii="Georgia" w:cs="Georgia" w:eastAsia="Georgia" w:hAnsi="Georgia"/>
          <w:sz w:val="22"/>
          <w:szCs w:val="22"/>
        </w:rPr>
        <w:t xml:space="preserve">Choice B leaves the flag as it is, for you to resolve at the bridge rewrite. This costs nothing now and keeps the analogy joints yours, as the doctrine says they are. It leaves the book's own admission of thinness standing unresolved through another pass, and forgoes a criterion that §IV and chapter 9 both need.</w:t>
      </w:r>
    </w:p>
    <w:p>
      <w:pPr>
        <w:spacing w:after="150" w:line="290"/>
      </w:pPr>
      <w:r>
        <w:rPr>
          <w:rFonts w:ascii="Georgia" w:cs="Georgia" w:eastAsia="Georgia" w:hAnsi="Georgia"/>
          <w:b/>
          <w:bCs/>
          <w:sz w:val="22"/>
          <w:szCs w:val="22"/>
        </w:rPr>
        <w:t xml:space="preserve">My view.</w:t>
      </w:r>
      <w:r>
        <w:rPr>
          <w:rFonts w:ascii="Georgia" w:cs="Georgia" w:eastAsia="Georgia" w:hAnsi="Georgia"/>
          <w:sz w:val="22"/>
          <w:szCs w:val="22"/>
        </w:rPr>
        <w:t xml:space="preserve"> A, as a view: the limit is principled, the two pins are clean, and the criterion is one the book needs regardless of where the analogy stops.</w:t>
      </w:r>
    </w:p>
    <w:p>
      <w:pPr>
        <w:pBdr>
          <w:top w:val="single" w:color="C9A227" w:sz="6"/>
          <w:left w:val="single" w:color="C9A227" w:sz="6"/>
          <w:right w:val="single" w:color="C9A227" w:sz="6"/>
        </w:pBdr>
        <w:shd w:fill="FFF4D6" w:color="auto" w:val="clear"/>
        <w:spacing w:after="60" w:before="200"/>
      </w:pPr>
      <w:r>
        <w:rPr>
          <w:rFonts w:ascii="Georgia" w:cs="Georgia" w:eastAsia="Georgia" w:hAnsi="Georgia"/>
          <w:b/>
          <w:bCs/>
          <w:color w:val="8A6D00"/>
          <w:sz w:val="23"/>
          <w:szCs w:val="23"/>
        </w:rPr>
        <w:t xml:space="preserve">YOUR RULING:  </w:t>
      </w:r>
    </w:p>
    <w:p>
      <w:pPr>
        <w:pBdr>
          <w:left w:val="single" w:color="C9A227" w:sz="6"/>
          <w:right w:val="single" w:color="C9A227" w:sz="6"/>
        </w:pBdr>
        <w:shd w:fill="FFF4D6" w:color="auto" w:val="clear"/>
        <w:spacing w:after="40"/>
      </w:pPr>
      <w:r>
        <w:rPr>
          <w:sz w:val="22"/>
          <w:szCs w:val="22"/>
        </w:rPr>
        <w:t xml:space="preserve"> </w:t>
      </w:r>
    </w:p>
    <w:p>
      <w:pPr>
        <w:pBdr>
          <w:left w:val="single" w:color="C9A227" w:sz="6"/>
          <w:right w:val="single" w:color="C9A227" w:sz="6"/>
        </w:pBdr>
        <w:shd w:fill="FFF4D6" w:color="auto" w:val="clear"/>
        <w:spacing w:after="40"/>
      </w:pPr>
      <w:r>
        <w:rPr>
          <w:sz w:val="22"/>
          <w:szCs w:val="22"/>
        </w:rPr>
        <w:t xml:space="preserve"> </w:t>
      </w:r>
    </w:p>
    <w:p>
      <w:pPr>
        <w:pBdr>
          <w:bottom w:val="single" w:color="C9A227" w:sz="6"/>
          <w:left w:val="single" w:color="C9A227" w:sz="6"/>
          <w:right w:val="single" w:color="C9A227" w:sz="6"/>
        </w:pBdr>
        <w:shd w:fill="FFF4D6" w:color="auto" w:val="clear"/>
        <w:spacing w:after="60"/>
      </w:pPr>
      <w:r>
        <w:rPr>
          <w:sz w:val="22"/>
          <w:szCs w:val="22"/>
        </w:rPr>
        <w:t xml:space="preserve"> </w:t>
      </w:r>
    </w:p>
    <w:p>
      <w:pPr>
        <w:pStyle w:val="Heading2"/>
        <w:spacing w:after="120" w:before="260"/>
      </w:pPr>
      <w:r>
        <w:rPr>
          <w:rFonts w:ascii="Georgia" w:cs="Georgia" w:eastAsia="Georgia" w:hAnsi="Georgia"/>
          <w:b/>
          <w:bCs/>
          <w:color w:val="1F3864"/>
          <w:sz w:val="25"/>
          <w:szCs w:val="25"/>
        </w:rPr>
        <w:t xml:space="preserve">Decision 6 — The trust-busting sentence and the deregulation record</w:t>
      </w:r>
    </w:p>
    <w:p>
      <w:pPr>
        <w:spacing w:after="140"/>
      </w:pPr>
      <w:r>
        <w:rPr>
          <w:rFonts w:ascii="Georgia" w:cs="Georgia" w:eastAsia="Georgia" w:hAnsi="Georgia"/>
          <w:i/>
          <w:iCs/>
          <w:color w:val="777777"/>
          <w:sz w:val="19"/>
          <w:szCs w:val="19"/>
        </w:rPr>
        <w:t xml:space="preserve">Covers rows: (nnnn)</w:t>
      </w:r>
    </w:p>
    <w:p>
      <w:pPr>
        <w:spacing w:after="150" w:line="290"/>
      </w:pPr>
      <w:r>
        <w:rPr>
          <w:rFonts w:ascii="Georgia" w:cs="Georgia" w:eastAsia="Georgia" w:hAnsi="Georgia"/>
          <w:b/>
          <w:bCs/>
          <w:sz w:val="22"/>
          <w:szCs w:val="22"/>
        </w:rPr>
        <w:t xml:space="preserve">The background.</w:t>
      </w:r>
      <w:r>
        <w:rPr>
          <w:rFonts w:ascii="Georgia" w:cs="Georgia" w:eastAsia="Georgia" w:hAnsi="Georgia"/>
          <w:sz w:val="22"/>
          <w:szCs w:val="22"/>
        </w:rPr>
        <w:t xml:space="preserve"> Chapter 12 §IV describes the American state's instinct towards the platforms: "and its present instinct, when it reaches for them, is usually described — sometimes by its own officials — in the vocabulary of the trust-busting age, as though the platforms were its Rockefeller moment and the remedy a dramatic dissolution". Lepore's record of 2023 to 2026 runs the other way: the industry used the race with China "to defeat, among other initiatives, antitrust [reform] … Protection law, and an AI Accountability law" (printed p. 107 / PDF p. 121), and the 2025 AI Action Plan relieved "all AI infrastructure projects of the burdens of environmental review" (printed p. 222 / PDF p. 238). A warning: the page 107 sentence comes from a sheared phone-scan page and has been reconstructed; it is marked pending verification and may not be quoted until the page image is read. The page 222 pin is clean.</w:t>
      </w:r>
    </w:p>
    <w:p>
      <w:pPr>
        <w:spacing w:after="150" w:line="290"/>
      </w:pPr>
      <w:r>
        <w:rPr>
          <w:rFonts w:ascii="Georgia" w:cs="Georgia" w:eastAsia="Georgia" w:hAnsi="Georgia"/>
          <w:b/>
          <w:bCs/>
          <w:sz w:val="22"/>
          <w:szCs w:val="22"/>
        </w:rPr>
        <w:t xml:space="preserve">Why it matters.</w:t>
      </w:r>
      <w:r>
        <w:rPr>
          <w:rFonts w:ascii="Georgia" w:cs="Georgia" w:eastAsia="Georgia" w:hAnsi="Georgia"/>
          <w:sz w:val="22"/>
          <w:szCs w:val="22"/>
        </w:rPr>
        <w:t xml:space="preserve"> A small point, but a factual one on a contemporary claim, and the project's rules require contemporary claims to rest on primary documents. As drafted, the sentence describes one strand of the American response as if it were the strand. A reviewer who has read Lepore, or the newspapers, will note that the same years saw antitrust reform defeated and infrastructure deregulated, and will ask why the book noticed only the trust-busters.</w:t>
      </w:r>
    </w:p>
    <w:p>
      <w:pPr>
        <w:spacing w:after="150" w:line="290"/>
      </w:pPr>
      <w:r>
        <w:rPr>
          <w:rFonts w:ascii="Georgia" w:cs="Georgia" w:eastAsia="Georgia" w:hAnsi="Georgia"/>
          <w:b/>
          <w:bCs/>
          <w:sz w:val="22"/>
          <w:szCs w:val="22"/>
        </w:rPr>
        <w:t xml:space="preserve">Your choices.</w:t>
      </w:r>
      <w:r>
        <w:rPr>
          <w:rFonts w:ascii="Georgia" w:cs="Georgia" w:eastAsia="Georgia" w:hAnsi="Georgia"/>
          <w:sz w:val="22"/>
          <w:szCs w:val="22"/>
        </w:rPr>
        <w:t xml:space="preserve"> Choice A keeps the sentence and adds the counter-instinct: the deregulatory record of 2023 to 2026 is stated as the other strand, sourced to the Action Plan itself rather than to Lepore, so the trust-busting sentence reads as one strand and not the strand. This costs a clause and a primary citation. It buys a sentence that survives the record. Choice B leaves the sentence as it stands. This costs nothing and leaves an easy correction available to any reviewer.</w:t>
      </w:r>
    </w:p>
    <w:p>
      <w:pPr>
        <w:spacing w:after="150" w:line="290"/>
      </w:pPr>
      <w:r>
        <w:rPr>
          <w:rFonts w:ascii="Georgia" w:cs="Georgia" w:eastAsia="Georgia" w:hAnsi="Georgia"/>
          <w:b/>
          <w:bCs/>
          <w:sz w:val="22"/>
          <w:szCs w:val="22"/>
        </w:rPr>
        <w:t xml:space="preserve">My view.</w:t>
      </w:r>
      <w:r>
        <w:rPr>
          <w:rFonts w:ascii="Georgia" w:cs="Georgia" w:eastAsia="Georgia" w:hAnsi="Georgia"/>
          <w:sz w:val="22"/>
          <w:szCs w:val="22"/>
        </w:rPr>
        <w:t xml:space="preserve"> A, as a view: the correction is cheap and the page 222 primary is already identified; only the page 107 quotation should wait for verification.</w:t>
      </w:r>
    </w:p>
    <w:p>
      <w:pPr>
        <w:pBdr>
          <w:top w:val="single" w:color="C9A227" w:sz="6"/>
          <w:left w:val="single" w:color="C9A227" w:sz="6"/>
          <w:right w:val="single" w:color="C9A227" w:sz="6"/>
        </w:pBdr>
        <w:shd w:fill="FFF4D6" w:color="auto" w:val="clear"/>
        <w:spacing w:after="60" w:before="200"/>
      </w:pPr>
      <w:r>
        <w:rPr>
          <w:rFonts w:ascii="Georgia" w:cs="Georgia" w:eastAsia="Georgia" w:hAnsi="Georgia"/>
          <w:b/>
          <w:bCs/>
          <w:color w:val="8A6D00"/>
          <w:sz w:val="23"/>
          <w:szCs w:val="23"/>
        </w:rPr>
        <w:t xml:space="preserve">YOUR RULING:  </w:t>
      </w:r>
    </w:p>
    <w:p>
      <w:pPr>
        <w:pBdr>
          <w:left w:val="single" w:color="C9A227" w:sz="6"/>
          <w:right w:val="single" w:color="C9A227" w:sz="6"/>
        </w:pBdr>
        <w:shd w:fill="FFF4D6" w:color="auto" w:val="clear"/>
        <w:spacing w:after="40"/>
      </w:pPr>
      <w:r>
        <w:rPr>
          <w:sz w:val="22"/>
          <w:szCs w:val="22"/>
        </w:rPr>
        <w:t xml:space="preserve"> </w:t>
      </w:r>
    </w:p>
    <w:p>
      <w:pPr>
        <w:pBdr>
          <w:left w:val="single" w:color="C9A227" w:sz="6"/>
          <w:right w:val="single" w:color="C9A227" w:sz="6"/>
        </w:pBdr>
        <w:shd w:fill="FFF4D6" w:color="auto" w:val="clear"/>
        <w:spacing w:after="40"/>
      </w:pPr>
      <w:r>
        <w:rPr>
          <w:sz w:val="22"/>
          <w:szCs w:val="22"/>
        </w:rPr>
        <w:t xml:space="preserve"> </w:t>
      </w:r>
    </w:p>
    <w:p>
      <w:pPr>
        <w:pBdr>
          <w:bottom w:val="single" w:color="C9A227" w:sz="6"/>
          <w:left w:val="single" w:color="C9A227" w:sz="6"/>
          <w:right w:val="single" w:color="C9A227" w:sz="6"/>
        </w:pBdr>
        <w:shd w:fill="FFF4D6" w:color="auto" w:val="clear"/>
        <w:spacing w:after="60"/>
      </w:pPr>
      <w:r>
        <w:rPr>
          <w:sz w:val="22"/>
          <w:szCs w:val="22"/>
        </w:rPr>
        <w:t xml:space="preserve"> </w:t>
      </w:r>
    </w:p>
    <w:p>
      <w:pPr>
        <w:pStyle w:val="Heading2"/>
        <w:spacing w:after="120" w:before="260"/>
      </w:pPr>
      <w:r>
        <w:rPr>
          <w:rFonts w:ascii="Georgia" w:cs="Georgia" w:eastAsia="Georgia" w:hAnsi="Georgia"/>
          <w:b/>
          <w:bCs/>
          <w:color w:val="1F3864"/>
          <w:sz w:val="25"/>
          <w:szCs w:val="25"/>
        </w:rPr>
        <w:t xml:space="preserve">Decision 7 — Which half of the reassertion has already happened: the "layered tense"</w:t>
      </w:r>
    </w:p>
    <w:p>
      <w:pPr>
        <w:spacing w:after="140"/>
      </w:pPr>
      <w:r>
        <w:rPr>
          <w:rFonts w:ascii="Georgia" w:cs="Georgia" w:eastAsia="Georgia" w:hAnsi="Georgia"/>
          <w:i/>
          <w:iCs/>
          <w:color w:val="777777"/>
          <w:sz w:val="19"/>
          <w:szCs w:val="19"/>
        </w:rPr>
        <w:t xml:space="preserve">Covers rows: (ll), (eeee) and (vvv)</w:t>
      </w:r>
    </w:p>
    <w:p>
      <w:pPr>
        <w:spacing w:after="150" w:line="290"/>
      </w:pPr>
      <w:r>
        <w:rPr>
          <w:rFonts w:ascii="Georgia" w:cs="Georgia" w:eastAsia="Georgia" w:hAnsi="Georgia"/>
          <w:b/>
          <w:bCs/>
          <w:sz w:val="22"/>
          <w:szCs w:val="22"/>
        </w:rPr>
        <w:t xml:space="preserve">The background.</w:t>
      </w:r>
      <w:r>
        <w:rPr>
          <w:rFonts w:ascii="Georgia" w:cs="Georgia" w:eastAsia="Georgia" w:hAnsi="Georgia"/>
          <w:sz w:val="22"/>
          <w:szCs w:val="22"/>
        </w:rPr>
        <w:t xml:space="preserve"> The book's contemporary wager is written in a single tense: the state's reassertion over the tech barons lies ahead. Chapter 12 §III says of the modern state, "Its legibility is infrastructural and persistent"; §IV says "the state will absorb the stack"; chapter 1 §V says "The disaggregated state was not the destination"; chapter 8 §VII's modern bridge calls the present reassertion "early in its arc"; and Coda §I says the mechanism "operated once, in the documented case Part II reconstructs", and then states the present-day wager in the future tense. Your spine §7 rules that the reassertion is compelled but not accomplished.</w:t>
      </w:r>
    </w:p>
    <w:p>
      <w:pPr>
        <w:spacing w:after="150" w:line="290"/>
      </w:pPr>
      <w:r>
        <w:rPr>
          <w:rFonts w:ascii="Georgia" w:cs="Georgia" w:eastAsia="Georgia" w:hAnsi="Georgia"/>
          <w:sz w:val="22"/>
          <w:szCs w:val="22"/>
        </w:rPr>
        <w:t xml:space="preserve">Two works now in the corpus show that half of it was accomplished twenty years ago, and cheaply. Jack Goldsmith and Tim Wu, two American law professors, in </w:t>
      </w:r>
      <w:r>
        <w:rPr>
          <w:rFonts w:ascii="Georgia" w:cs="Georgia" w:eastAsia="Georgia" w:hAnsi="Georgia"/>
          <w:i/>
          <w:iCs/>
          <w:sz w:val="22"/>
          <w:szCs w:val="22"/>
        </w:rPr>
        <w:t xml:space="preserve">Who Controls the Internet?</w:t>
      </w:r>
      <w:r>
        <w:rPr>
          <w:rFonts w:ascii="Georgia" w:cs="Georgia" w:eastAsia="Georgia" w:hAnsi="Georgia"/>
          <w:sz w:val="22"/>
          <w:szCs w:val="22"/>
        </w:rPr>
        <w:t xml:space="preserve"> (Oxford, 2006), documented how states took back the internet's legibility layer between 2000 and 2006. Legibility, in the book's sense, means the state's ability to see who is who and what is where; on the internet it covers identity, payments, content and the "canon", the book's word for which rules count. Their point is that no fiscal threshold was crossed to do it. "Government regulation works by cost and bother, not by hermetic seal" (p. 68). Internet service providers were "already some of the most regulated companies on earth" (p. 73). When the United States wanted to stop online cigarette sales, the Bureau of Alcohol, Tobacco and Firearms "simply ordered Visa, MasterCard, and AmEx to stop taking online cigarette orders… And that is how, without ever laying a finger on online sellers, the government can impose its power, often without even needing to go to court" (pp. 76–77). Filtering costs nothing because "the router itself has become the censor" (p. 94). The outcome is stated as done: "what we once called a global network is becoming a collection of nation-state networks" (p. 149), and "physical coercion by government—the hallmark of a traditional legal system—remains far more important than anyone expected" (p. 180). Henry Farrell and Abraham Newman, in their 2019 article "Weaponized Interdependence", explain how the state came by those levers: "The asymmetric networks that make up much of the structure of a globalized world were not constructed as tools of statecraft" (2019: 54); states inherited them by jurisdictional accident, without a penny of new taxation.</w:t>
      </w:r>
    </w:p>
    <w:p>
      <w:pPr>
        <w:spacing w:after="150" w:line="290"/>
      </w:pPr>
      <w:r>
        <w:rPr>
          <w:rFonts w:ascii="Georgia" w:cs="Georgia" w:eastAsia="Georgia" w:hAnsi="Georgia"/>
          <w:sz w:val="22"/>
          <w:szCs w:val="22"/>
        </w:rPr>
        <w:t xml:space="preserve">Put plainly: the book's mechanism says the state gets control of a decisive capability because only a permanent fisc can pay for it. On the identity-payments-legibility stack, the state got control by sending letters to intermediaries. That is not the mechanism. It is a rival explanation for half of what the book predicts, and it explains events that took place before the book says its mechanism started running.</w:t>
      </w:r>
    </w:p>
    <w:p>
      <w:pPr>
        <w:spacing w:after="150" w:line="290"/>
      </w:pPr>
      <w:r>
        <w:rPr>
          <w:rFonts w:ascii="Georgia" w:cs="Georgia" w:eastAsia="Georgia" w:hAnsi="Georgia"/>
          <w:b/>
          <w:bCs/>
          <w:sz w:val="22"/>
          <w:szCs w:val="22"/>
        </w:rPr>
        <w:t xml:space="preserve">Why it matters.</w:t>
      </w:r>
      <w:r>
        <w:rPr>
          <w:rFonts w:ascii="Georgia" w:cs="Georgia" w:eastAsia="Georgia" w:hAnsi="Georgia"/>
          <w:sz w:val="22"/>
          <w:szCs w:val="22"/>
        </w:rPr>
        <w:t xml:space="preserve"> This is the largest register change on the sheet, and it touches spine §7 and sentences in four chapters and the Coda. Left alone, a reviewer holds up a 2006 monograph showing half the predicted reassertion already complete, without any fiscal threshold, and says the book did not notice. That puts the wager's calibration in question, not just a sentence. The honest response is not a reversal but a narrowing. The mechanism's claim over the legibility stack is confined to two things it can defend: scale (Goldsmith and Wu themselves note that intermediary control "is generally less effective in small nations", pp. 81–82) and fusion, the point at which the legibility layer is joined to the chokepoint layer, the compute, chips, satellites and munitions where the fiscal cost begins. The state could mandate the canon by letter; holding the plant costs money, and that is where the book's mechanism starts. Saying so requires the book to speak in two tenses at once: the past tense for canon and register, accomplished between 2000 and 2006 by cheap legal coercion of local intermediaries, and the present-conditional for the decisive stack, compelled and unaccomplished. That is the layered tense.</w:t>
      </w:r>
    </w:p>
    <w:p>
      <w:pPr>
        <w:spacing w:after="150" w:line="290"/>
      </w:pPr>
      <w:r>
        <w:rPr>
          <w:rFonts w:ascii="Georgia" w:cs="Georgia" w:eastAsia="Georgia" w:hAnsi="Georgia"/>
          <w:b/>
          <w:bCs/>
          <w:sz w:val="22"/>
          <w:szCs w:val="22"/>
        </w:rPr>
        <w:t xml:space="preserve">Your choices.</w:t>
      </w:r>
      <w:r>
        <w:rPr>
          <w:rFonts w:ascii="Georgia" w:cs="Georgia" w:eastAsia="Georgia" w:hAnsi="Georgia"/>
          <w:sz w:val="22"/>
          <w:szCs w:val="22"/>
        </w:rPr>
        <w:t xml:space="preserve"> Choice A adopts the layered tense throughout. The affected sentences in chapter 12 §§III–IV, chapter 1 §V and chapter 2 §§III and VI are recast; spine §7 gains a register amendment; chapter 8 §VII replaces "early in its arc" with a sentence that puts the early arc where it belongs, the hierarchical ranking of fora since 2018, above an intermediary coercion finished by 2006; and Coda §I gains a clause conceding that the legibility stack was substantially re-territorialised by ordinary law before the mechanism ran, that the mechanism's claim over it is confined to scale and fusion, and that the fiscal threshold is therefore defended on the decisive military stack alone. The cost is real: perhaps a dozen sentences across four chapters, 120 to 180 words in the book's most compressed section, and the surrender of a satisfying single tense. It buys the strongest possible position against a reviewer who knows this literature, because the concession is made in your own voice and turns Goldsmith and Wu from rival into the fullest documentation of the state taking the cheap half first. It also makes the book more interesting: a mechanism that explains why the state must move from mandating the canon to holding the plant is a better book than one that treats both as pending.</w:t>
      </w:r>
    </w:p>
    <w:p>
      <w:pPr>
        <w:spacing w:after="150" w:line="290"/>
      </w:pPr>
      <w:r>
        <w:rPr>
          <w:rFonts w:ascii="Georgia" w:cs="Georgia" w:eastAsia="Georgia" w:hAnsi="Georgia"/>
          <w:sz w:val="22"/>
          <w:szCs w:val="22"/>
        </w:rPr>
        <w:t xml:space="preserve">Choice B adopts the layered tense in the chapters but keeps the Coda's present tenses, on the ground that a method note is the wrong place to relitigate evidence. This saves the Coda's economy, which is worth something. It leaves the book's own summary of its claim, strictly read, behind the record on half the stack it claims, and a sceptical reader looks in the Coda for exactly that summary.</w:t>
      </w:r>
    </w:p>
    <w:p>
      <w:pPr>
        <w:spacing w:after="150" w:line="290"/>
      </w:pPr>
      <w:r>
        <w:rPr>
          <w:rFonts w:ascii="Georgia" w:cs="Georgia" w:eastAsia="Georgia" w:hAnsi="Georgia"/>
          <w:sz w:val="22"/>
          <w:szCs w:val="22"/>
        </w:rPr>
        <w:t xml:space="preserve">Choice C keeps the single unaccomplished tense everywhere. Nothing is rewritten and the forward-leaning register survives intact. The cost is the reviewer with the 2006 monograph, and the inference that follows, that the book's contemporary reading is thinner than its medieval one.</w:t>
      </w:r>
    </w:p>
    <w:p>
      <w:pPr>
        <w:spacing w:after="150" w:line="290"/>
      </w:pPr>
      <w:r>
        <w:rPr>
          <w:rFonts w:ascii="Georgia" w:cs="Georgia" w:eastAsia="Georgia" w:hAnsi="Georgia"/>
          <w:sz w:val="22"/>
          <w:szCs w:val="22"/>
        </w:rPr>
        <w:t xml:space="preserve">There is one sub-choice inside A. Row (eeee) also proposes that Coda §I read the artillery ratchet as its French form, with Jan Glete's early-modern navies named as a second form of the same capital-intensity effect, since navies were state monopolies from the start without any wall being broken (Glete, p. 39). That is a separate concession, cheap, and it makes the mechanism broader rather than narrower; it can be taken with A or B.</w:t>
      </w:r>
    </w:p>
    <w:p>
      <w:pPr>
        <w:spacing w:after="150" w:line="290"/>
      </w:pPr>
      <w:r>
        <w:rPr>
          <w:rFonts w:ascii="Georgia" w:cs="Georgia" w:eastAsia="Georgia" w:hAnsi="Georgia"/>
          <w:b/>
          <w:bCs/>
          <w:sz w:val="22"/>
          <w:szCs w:val="22"/>
        </w:rPr>
        <w:t xml:space="preserve">My view.</w:t>
      </w:r>
      <w:r>
        <w:rPr>
          <w:rFonts w:ascii="Georgia" w:cs="Georgia" w:eastAsia="Georgia" w:hAnsi="Georgia"/>
          <w:sz w:val="22"/>
          <w:szCs w:val="22"/>
        </w:rPr>
        <w:t xml:space="preserve"> A, as a view: the two-tense position is both the more honest and the more interesting claim, and the Coda is where the sceptic will look for it, so it should not be left to chapter 12 alone.</w:t>
      </w:r>
    </w:p>
    <w:p>
      <w:pPr>
        <w:pBdr>
          <w:top w:val="single" w:color="C9A227" w:sz="6"/>
          <w:left w:val="single" w:color="C9A227" w:sz="6"/>
          <w:right w:val="single" w:color="C9A227" w:sz="6"/>
        </w:pBdr>
        <w:shd w:fill="FFF4D6" w:color="auto" w:val="clear"/>
        <w:spacing w:after="60" w:before="200"/>
      </w:pPr>
      <w:r>
        <w:rPr>
          <w:rFonts w:ascii="Georgia" w:cs="Georgia" w:eastAsia="Georgia" w:hAnsi="Georgia"/>
          <w:b/>
          <w:bCs/>
          <w:color w:val="8A6D00"/>
          <w:sz w:val="23"/>
          <w:szCs w:val="23"/>
        </w:rPr>
        <w:t xml:space="preserve">YOUR RULING:  </w:t>
      </w:r>
    </w:p>
    <w:p>
      <w:pPr>
        <w:pBdr>
          <w:left w:val="single" w:color="C9A227" w:sz="6"/>
          <w:right w:val="single" w:color="C9A227" w:sz="6"/>
        </w:pBdr>
        <w:shd w:fill="FFF4D6" w:color="auto" w:val="clear"/>
        <w:spacing w:after="40"/>
      </w:pPr>
      <w:r>
        <w:rPr>
          <w:sz w:val="22"/>
          <w:szCs w:val="22"/>
        </w:rPr>
        <w:t xml:space="preserve"> </w:t>
      </w:r>
    </w:p>
    <w:p>
      <w:pPr>
        <w:pBdr>
          <w:left w:val="single" w:color="C9A227" w:sz="6"/>
          <w:right w:val="single" w:color="C9A227" w:sz="6"/>
        </w:pBdr>
        <w:shd w:fill="FFF4D6" w:color="auto" w:val="clear"/>
        <w:spacing w:after="40"/>
      </w:pPr>
      <w:r>
        <w:rPr>
          <w:sz w:val="22"/>
          <w:szCs w:val="22"/>
        </w:rPr>
        <w:t xml:space="preserve"> </w:t>
      </w:r>
    </w:p>
    <w:p>
      <w:pPr>
        <w:pBdr>
          <w:bottom w:val="single" w:color="C9A227" w:sz="6"/>
          <w:left w:val="single" w:color="C9A227" w:sz="6"/>
          <w:right w:val="single" w:color="C9A227" w:sz="6"/>
        </w:pBdr>
        <w:shd w:fill="FFF4D6" w:color="auto" w:val="clear"/>
        <w:spacing w:after="60"/>
      </w:pPr>
      <w:r>
        <w:rPr>
          <w:sz w:val="22"/>
          <w:szCs w:val="22"/>
        </w:rPr>
        <w:t xml:space="preserve"> </w:t>
      </w:r>
    </w:p>
    <w:p>
      <w:pPr>
        <w:pStyle w:val="Heading1"/>
        <w:pageBreakBefore/>
        <w:spacing w:after="200" w:before="0"/>
      </w:pPr>
      <w:r>
        <w:rPr>
          <w:rFonts w:ascii="Georgia" w:cs="Georgia" w:eastAsia="Georgia" w:hAnsi="Georgia"/>
          <w:b/>
          <w:bCs/>
          <w:color w:val="1F3864"/>
          <w:sz w:val="32"/>
          <w:szCs w:val="32"/>
        </w:rPr>
        <w:t xml:space="preserve">Part Two — England</w:t>
      </w:r>
    </w:p>
    <w:p>
      <w:pPr>
        <w:pStyle w:val="Heading2"/>
        <w:spacing w:after="120" w:before="260"/>
      </w:pPr>
      <w:r>
        <w:rPr>
          <w:rFonts w:ascii="Georgia" w:cs="Georgia" w:eastAsia="Georgia" w:hAnsi="Georgia"/>
          <w:b/>
          <w:bCs/>
          <w:color w:val="1F3864"/>
          <w:sz w:val="25"/>
          <w:szCs w:val="25"/>
        </w:rPr>
        <w:t xml:space="preserve">Decision 8 — England: the 1530s or the 1690s</w:t>
      </w:r>
    </w:p>
    <w:p>
      <w:pPr>
        <w:spacing w:after="140"/>
      </w:pPr>
      <w:r>
        <w:rPr>
          <w:rFonts w:ascii="Georgia" w:cs="Georgia" w:eastAsia="Georgia" w:hAnsi="Georgia"/>
          <w:i/>
          <w:iCs/>
          <w:color w:val="777777"/>
          <w:sz w:val="19"/>
          <w:szCs w:val="19"/>
        </w:rPr>
        <w:t xml:space="preserve">Covers rows: (ee), Check 3</w:t>
      </w:r>
    </w:p>
    <w:p>
      <w:pPr>
        <w:spacing w:after="150" w:line="290"/>
      </w:pPr>
      <w:r>
        <w:rPr>
          <w:rFonts w:ascii="Georgia" w:cs="Georgia" w:eastAsia="Georgia" w:hAnsi="Georgia"/>
          <w:b/>
          <w:bCs/>
          <w:sz w:val="22"/>
          <w:szCs w:val="22"/>
        </w:rPr>
        <w:t xml:space="preserve">The background.</w:t>
      </w:r>
      <w:r>
        <w:rPr>
          <w:rFonts w:ascii="Georgia" w:cs="Georgia" w:eastAsia="Georgia" w:hAnsi="Georgia"/>
          <w:sz w:val="22"/>
          <w:szCs w:val="22"/>
        </w:rPr>
        <w:t xml:space="preserve"> A fortnight ago you ruled that England's Tudor turn happened in the 1530s, and that the dissolution of the monasteries was the money behind it — in the book's shorthand, its "fisc", meaning the revenue a crown could count on without asking anyone's leave. Chapter 11, section II, now says so in two sentences: "The settlement arrived when the crown found a fisc that no assembly had to grant", and "The dissolution is the English fisc of the settlement." Behind both sits the book's spine, the short doctrine document that states the argument's fixed points; its section 3 says that "standing taxation" was "established" as part of the settlement, and for England that sentence currently reads at the 1530s.</w:t>
      </w:r>
    </w:p>
    <w:p>
      <w:pPr>
        <w:spacing w:after="150" w:line="290"/>
      </w:pPr>
      <w:r>
        <w:rPr>
          <w:rFonts w:ascii="Georgia" w:cs="Georgia" w:eastAsia="Georgia" w:hAnsi="Georgia"/>
          <w:sz w:val="22"/>
          <w:szCs w:val="22"/>
        </w:rPr>
        <w:t xml:space="preserve">Since that ruling, one of the works in the September reading has landed directly on it. Thomas Ertman, an American political scientist, published </w:t>
      </w:r>
      <w:r>
        <w:rPr>
          <w:rFonts w:ascii="Georgia" w:cs="Georgia" w:eastAsia="Georgia" w:hAnsi="Georgia"/>
          <w:i/>
          <w:iCs/>
          <w:sz w:val="22"/>
          <w:szCs w:val="22"/>
        </w:rPr>
        <w:t xml:space="preserve">Birth of the Leviathan</w:t>
      </w:r>
      <w:r>
        <w:rPr>
          <w:rFonts w:ascii="Georgia" w:cs="Georgia" w:eastAsia="Georgia" w:hAnsi="Georgia"/>
          <w:sz w:val="22"/>
          <w:szCs w:val="22"/>
        </w:rPr>
        <w:t xml:space="preserve"> (Cambridge, 1997) to explain why European states formed differently from one another, and his variable is the administration: whether office was held by salaried servants or by men who had bought their posts and treated them as property. That second condition he calls patrimonialism. His section on the very decades you ruled for is titled "Deepening Patrimonialism and Its Temporary Demise, 1453–1659" (p. 178). He grants that Thomas Cromwell's new revenue boards of the 1530s "did represent a serious challenge to the Exchequer, that bastion of proprietary officeholding", and then takes it back: "Yet by 1554 the most important of these bodies … had all been incorporated into the Exchequer", because of "the absence of war and thus of the incentives it would have created for military effectiveness" (p. 181). He adds that "if one looks only at central government, England fares worse than Castile" (p. 181), and that "By the reign of Charles I, the English state had become a kind of parasite" (p. 184). His English fiscal-military state — the term for a state built to raise permanent taxes for a permanent army — belongs to 1660–1714, made by a Parliament sitting every year under the pressure of war (p. 187). The dissolution of the monasteries does not appear in his account of England at all.</w:t>
      </w:r>
    </w:p>
    <w:p>
      <w:pPr>
        <w:spacing w:after="150" w:line="290"/>
      </w:pPr>
      <w:r>
        <w:rPr>
          <w:rFonts w:ascii="Georgia" w:cs="Georgia" w:eastAsia="Georgia" w:hAnsi="Georgia"/>
          <w:sz w:val="22"/>
          <w:szCs w:val="22"/>
        </w:rPr>
        <w:t xml:space="preserve">The person who assessed Ertman for you was blunt about what this does and does not prove. It does not overturn the Tudor turn. Ertman's test is proprietary office, so a permanent confiscation that ended a rival universal institution — the Church's English estate — is invisible to his test by construction; and his "little large-scale warfare" quietly skips the 1540s, when Henry VIII's wars cost more than the dissolution had brought in. What the assessment could not do was carry the word "standing". The dissolution was a capital receipt — a one-off sale of land — spent within a decade, not a tax collected every year; and the 1552 statute against trafficking in offices (p. 182) shows Parliament, not the crown, still fighting over the machinery. The two English historians who could settle this, Joyce Youings and Richard Hoyle, are not yet in the reading and are marked as a gap.</w:t>
      </w:r>
    </w:p>
    <w:p>
      <w:pPr>
        <w:spacing w:after="150" w:line="290"/>
      </w:pPr>
      <w:r>
        <w:rPr>
          <w:rFonts w:ascii="Georgia" w:cs="Georgia" w:eastAsia="Georgia" w:hAnsi="Georgia"/>
          <w:b/>
          <w:bCs/>
          <w:sz w:val="22"/>
          <w:szCs w:val="22"/>
        </w:rPr>
        <w:t xml:space="preserve">Why it matters.</w:t>
      </w:r>
      <w:r>
        <w:rPr>
          <w:rFonts w:ascii="Georgia" w:cs="Georgia" w:eastAsia="Georgia" w:hAnsi="Georgia"/>
          <w:sz w:val="22"/>
          <w:szCs w:val="22"/>
        </w:rPr>
        <w:t xml:space="preserve"> This is a large point, because it touches the spine and a ruling you have already made, and because the book's own word is the problem. The mechanism says weapon cost forces permanent taxation, and permanent taxation builds the administration that subordinates the lords. If England's "standing taxation" rests on a single sale of monastic land, a hostile early-modernist will say the book has put a capital receipt where its own argument demands a recurring tax, and will cite Ertman's section title to show the 1530s administration went backwards. The exposure is one sentence in the spine and two in Chapter 11, but they are sentences the argument leans on.</w:t>
      </w:r>
    </w:p>
    <w:p>
      <w:pPr>
        <w:spacing w:after="150" w:line="290"/>
      </w:pPr>
      <w:r>
        <w:rPr>
          <w:rFonts w:ascii="Georgia" w:cs="Georgia" w:eastAsia="Georgia" w:hAnsi="Georgia"/>
          <w:b/>
          <w:bCs/>
          <w:sz w:val="22"/>
          <w:szCs w:val="22"/>
        </w:rPr>
        <w:t xml:space="preserve">Your choices.</w:t>
      </w:r>
      <w:r>
        <w:rPr>
          <w:rFonts w:ascii="Georgia" w:cs="Georgia" w:eastAsia="Georgia" w:hAnsi="Georgia"/>
          <w:sz w:val="22"/>
          <w:szCs w:val="22"/>
        </w:rPr>
        <w:t xml:space="preserve"> Choice A is "fisc without permanence": keep the 1530s as England's turn, but reclassify what happened in that decade. The dissolution becomes the irreversible confiscation that made the crown the only universal authority in England — a change in who held jurisdiction and property, not in who paid annual tax — and the standing-taxation limb of the mechanism moves to where Ertman and John Brewer put it, the 1690s, when Parliament voted war taxes year after year and the Bank of England was founded. On the page, Chapter 11 section II gets a recast paragraph and a sentence pointing forward a century and a half; the spine's section 3 gains a line saying that for England the two links arrived separately. It costs you a tidy single date and obliges you to say the English case took two stages. It buys a sentence that no early-modernist will contest, and it makes England the book's clearest example of the jurisdictional link and the fiscal link arriving at different times — which is a finding, not a retreat.</w:t>
      </w:r>
    </w:p>
    <w:p>
      <w:pPr>
        <w:spacing w:after="150" w:line="290"/>
      </w:pPr>
      <w:r>
        <w:rPr>
          <w:rFonts w:ascii="Georgia" w:cs="Georgia" w:eastAsia="Georgia" w:hAnsi="Georgia"/>
          <w:sz w:val="22"/>
          <w:szCs w:val="22"/>
        </w:rPr>
        <w:t xml:space="preserve">Choice B keeps the ruling as it stands and names Ertman as a disanalogy — the book's word for a place where the historical case and the modern one are admitted to differ. Chapter 11 section II would carry roughly a hundred and fifty words conceding that the leading authority on administrative development reads the 1530s as a deepening of patrimonialism, and answering with three points: the 1540s wars, the blindness of his test to confiscation, and the fact that your turn is about canon and jurisdiction rather than revenue boards. Nothing moves in the spine. This is cheaper and keeps the Tudor turn tidy. But it leaves the word "standing" attached to a receipt the reading cannot show was standing, and that is exactly where the reviewer will push.</w:t>
      </w:r>
    </w:p>
    <w:p>
      <w:pPr>
        <w:spacing w:after="150" w:line="290"/>
      </w:pPr>
      <w:r>
        <w:rPr>
          <w:rFonts w:ascii="Georgia" w:cs="Georgia" w:eastAsia="Georgia" w:hAnsi="Georgia"/>
          <w:b/>
          <w:bCs/>
          <w:sz w:val="22"/>
          <w:szCs w:val="22"/>
        </w:rPr>
        <w:t xml:space="preserve">My view.</w:t>
      </w:r>
      <w:r>
        <w:rPr>
          <w:rFonts w:ascii="Georgia" w:cs="Georgia" w:eastAsia="Georgia" w:hAnsi="Georgia"/>
          <w:sz w:val="22"/>
          <w:szCs w:val="22"/>
        </w:rPr>
        <w:t xml:space="preserve"> Choice A is the stronger, and the two are not exclusive — the disanalogy paragraph is worth writing either way. My reason is simple: I would not let "standing taxation" stand against the 1530s until Youings or Hoyle is in the reading, and Choice A is the only one that does not depend on them turning up.</w:t>
      </w:r>
    </w:p>
    <w:p>
      <w:pPr>
        <w:pBdr>
          <w:top w:val="single" w:color="C9A227" w:sz="6"/>
          <w:left w:val="single" w:color="C9A227" w:sz="6"/>
          <w:right w:val="single" w:color="C9A227" w:sz="6"/>
        </w:pBdr>
        <w:shd w:fill="FFF4D6" w:color="auto" w:val="clear"/>
        <w:spacing w:after="60" w:before="200"/>
      </w:pPr>
      <w:r>
        <w:rPr>
          <w:rFonts w:ascii="Georgia" w:cs="Georgia" w:eastAsia="Georgia" w:hAnsi="Georgia"/>
          <w:b/>
          <w:bCs/>
          <w:color w:val="8A6D00"/>
          <w:sz w:val="23"/>
          <w:szCs w:val="23"/>
        </w:rPr>
        <w:t xml:space="preserve">YOUR RULING:  </w:t>
      </w:r>
    </w:p>
    <w:p>
      <w:pPr>
        <w:pBdr>
          <w:left w:val="single" w:color="C9A227" w:sz="6"/>
          <w:right w:val="single" w:color="C9A227" w:sz="6"/>
        </w:pBdr>
        <w:shd w:fill="FFF4D6" w:color="auto" w:val="clear"/>
        <w:spacing w:after="40"/>
      </w:pPr>
      <w:r>
        <w:rPr>
          <w:sz w:val="22"/>
          <w:szCs w:val="22"/>
        </w:rPr>
        <w:t xml:space="preserve"> </w:t>
      </w:r>
    </w:p>
    <w:p>
      <w:pPr>
        <w:pBdr>
          <w:left w:val="single" w:color="C9A227" w:sz="6"/>
          <w:right w:val="single" w:color="C9A227" w:sz="6"/>
        </w:pBdr>
        <w:shd w:fill="FFF4D6" w:color="auto" w:val="clear"/>
        <w:spacing w:after="40"/>
      </w:pPr>
      <w:r>
        <w:rPr>
          <w:sz w:val="22"/>
          <w:szCs w:val="22"/>
        </w:rPr>
        <w:t xml:space="preserve"> </w:t>
      </w:r>
    </w:p>
    <w:p>
      <w:pPr>
        <w:pBdr>
          <w:bottom w:val="single" w:color="C9A227" w:sz="6"/>
          <w:left w:val="single" w:color="C9A227" w:sz="6"/>
          <w:right w:val="single" w:color="C9A227" w:sz="6"/>
        </w:pBdr>
        <w:shd w:fill="FFF4D6" w:color="auto" w:val="clear"/>
        <w:spacing w:after="60"/>
      </w:pPr>
      <w:r>
        <w:rPr>
          <w:sz w:val="22"/>
          <w:szCs w:val="22"/>
        </w:rPr>
        <w:t xml:space="preserve"> </w:t>
      </w:r>
    </w:p>
    <w:p>
      <w:pPr>
        <w:pStyle w:val="Heading2"/>
        <w:spacing w:after="120" w:before="260"/>
      </w:pPr>
      <w:r>
        <w:rPr>
          <w:rFonts w:ascii="Georgia" w:cs="Georgia" w:eastAsia="Georgia" w:hAnsi="Georgia"/>
          <w:b/>
          <w:bCs/>
          <w:color w:val="1F3864"/>
          <w:sz w:val="25"/>
          <w:szCs w:val="25"/>
        </w:rPr>
        <w:t xml:space="preserve">Decision 9 — Three smaller England points</w:t>
      </w:r>
    </w:p>
    <w:p>
      <w:pPr>
        <w:spacing w:after="140"/>
      </w:pPr>
      <w:r>
        <w:rPr>
          <w:rFonts w:ascii="Georgia" w:cs="Georgia" w:eastAsia="Georgia" w:hAnsi="Georgia"/>
          <w:i/>
          <w:iCs/>
          <w:color w:val="777777"/>
          <w:sz w:val="19"/>
          <w:szCs w:val="19"/>
        </w:rPr>
        <w:t xml:space="preserve">Covers rows: (hhh), (jjj), (iiii)</w:t>
      </w:r>
    </w:p>
    <w:p>
      <w:pPr>
        <w:spacing w:after="150" w:line="290"/>
      </w:pPr>
      <w:r>
        <w:rPr>
          <w:rFonts w:ascii="Georgia" w:cs="Georgia" w:eastAsia="Georgia" w:hAnsi="Georgia"/>
          <w:b/>
          <w:bCs/>
          <w:sz w:val="22"/>
          <w:szCs w:val="22"/>
        </w:rPr>
        <w:t xml:space="preserve">The background.</w:t>
      </w:r>
      <w:r>
        <w:rPr>
          <w:rFonts w:ascii="Georgia" w:cs="Georgia" w:eastAsia="Georgia" w:hAnsi="Georgia"/>
          <w:sz w:val="22"/>
          <w:szCs w:val="22"/>
        </w:rPr>
        <w:t xml:space="preserve"> Three sentences in the English chapters have each drawn one comment from the September reading. Chapter 5, section VI, says "The Wars of the Roses were fought by private armies". Chapter 5, section II, says the council that governed during Henry VI's childhood "governed … remarkably well". Chapter 9, section III, describes the 1422 minority arrangement as designed and as having worked, and then says the fifteenth century "ran the regency experiment perhaps half a dozen times" and that every run returned the same result.</w:t>
      </w:r>
    </w:p>
    <w:p>
      <w:pPr>
        <w:spacing w:after="150" w:line="290"/>
      </w:pPr>
      <w:r>
        <w:rPr>
          <w:rFonts w:ascii="Georgia" w:cs="Georgia" w:eastAsia="Georgia" w:hAnsi="Georgia"/>
          <w:sz w:val="22"/>
          <w:szCs w:val="22"/>
        </w:rPr>
        <w:t xml:space="preserve">On "private armies", Ertman uses the same phrase without embarrassment: "the power of the great magnates with their regional strongholds and private armies was broken during the Wars of the Roses and their aftermath" (p. 179). The proposed alternative is "retinues", a retinue being a lord's following of retained men — a relationship, not a standing force. That distinction is attributed to J. R. Lander, but Lander is not among the works assessed in September, so his pages cannot be checked and the weight of his objection cannot be judged from what is in front of us.</w:t>
      </w:r>
    </w:p>
    <w:p>
      <w:pPr>
        <w:spacing w:after="150" w:line="290"/>
      </w:pPr>
      <w:r>
        <w:rPr>
          <w:rFonts w:ascii="Georgia" w:cs="Georgia" w:eastAsia="Georgia" w:hAnsi="Georgia"/>
          <w:sz w:val="22"/>
          <w:szCs w:val="22"/>
        </w:rPr>
        <w:t xml:space="preserve">On the minority council and the regency runs, the comment comes from Charles Tilly, the American sociologist whose account of war making and state making the book cites more than any other. In his 1985 essay "War Making and State Making as Organized Crime" he writes that lords who could raise troops and keep armed retainers were at once the king's instrument and his rivals, and "For that reason, before the seventeenth century, regencies for child sovereigns reliably produced civil wars". That is a claim about the whole period, not about England, so it does not refute Chapter 5; it makes the English council an exception the chapter should know it is claiming. For Chapter 9 the same sentence bites harder, because "every run returned the same result" turns a handful of episodes into a rule, and Tilly's rule points the other way. The pages that would test the 1425 crisis — Ralph Griffiths on Henry VI and Lander again — are cited in the old row but were not assessed, so I can confirm the citations exist but not what they say.</w:t>
      </w:r>
    </w:p>
    <w:p>
      <w:pPr>
        <w:spacing w:after="150" w:line="290"/>
      </w:pPr>
      <w:r>
        <w:rPr>
          <w:rFonts w:ascii="Georgia" w:cs="Georgia" w:eastAsia="Georgia" w:hAnsi="Georgia"/>
          <w:b/>
          <w:bCs/>
          <w:sz w:val="22"/>
          <w:szCs w:val="22"/>
        </w:rPr>
        <w:t xml:space="preserve">Why it matters.</w:t>
      </w:r>
      <w:r>
        <w:rPr>
          <w:rFonts w:ascii="Georgia" w:cs="Georgia" w:eastAsia="Georgia" w:hAnsi="Georgia"/>
          <w:sz w:val="22"/>
          <w:szCs w:val="22"/>
        </w:rPr>
        <w:t xml:space="preserve"> These are small points individually, but they are the kind a reviewer collects: a loose phrase, a judgement that looks naive beside the standard comparative statement, and a generalisation from six cases. None touches the mechanism. The third is the most serious, because a sentence that claims regularity from a small count is the easiest thing in a history book to knock down.</w:t>
      </w:r>
    </w:p>
    <w:p>
      <w:pPr>
        <w:spacing w:after="150" w:line="290"/>
      </w:pPr>
      <w:r>
        <w:rPr>
          <w:rFonts w:ascii="Georgia" w:cs="Georgia" w:eastAsia="Georgia" w:hAnsi="Georgia"/>
          <w:b/>
          <w:bCs/>
          <w:sz w:val="22"/>
          <w:szCs w:val="22"/>
        </w:rPr>
        <w:t xml:space="preserve">Your choices.</w:t>
      </w:r>
      <w:r>
        <w:rPr>
          <w:rFonts w:ascii="Georgia" w:cs="Georgia" w:eastAsia="Georgia" w:hAnsi="Georgia"/>
          <w:sz w:val="22"/>
          <w:szCs w:val="22"/>
        </w:rPr>
        <w:t xml:space="preserve"> On "private armies", Choice A keeps the phrase, citing Ertman in the text as the surviving scholarly usage, with Lander's objection in a note; nothing changes on the page except a citation, and the chapter is shown to know the difficulty. Choice B rewrites to "retinues" with a gloss for the general reader; it is more exact and slightly less vivid, and it should not be settled until Lander has been read at his pages. On the minority council, there is really one choice: add half a sentence naming Tilly's rule and saying the English council governed well against it. That costs almost nothing and makes the exception interesting rather than naive. On the regency runs, Choice A hedges both sentences — "designed, and it worked" qualified by the 1425 crisis, "every run returned the same result" replaced by a narrower claim — and names Tilly where the second is hedged. The paragraph loses some snap and gains a distinction worth having: a minority was an office temporarily filled by a council, an incapacity was an office that could not be filled at all, and the two failed differently rather than identically. Choice B leaves the sentences as they are, which costs nothing now and leaves a reviewer to supply Tilly's sentence less kindly.</w:t>
      </w:r>
    </w:p>
    <w:p>
      <w:pPr>
        <w:spacing w:after="150" w:line="290"/>
      </w:pPr>
      <w:r>
        <w:rPr>
          <w:rFonts w:ascii="Georgia" w:cs="Georgia" w:eastAsia="Georgia" w:hAnsi="Georgia"/>
          <w:b/>
          <w:bCs/>
          <w:sz w:val="22"/>
          <w:szCs w:val="22"/>
        </w:rPr>
        <w:t xml:space="preserve">My view.</w:t>
      </w:r>
      <w:r>
        <w:rPr>
          <w:rFonts w:ascii="Georgia" w:cs="Georgia" w:eastAsia="Georgia" w:hAnsi="Georgia"/>
          <w:sz w:val="22"/>
          <w:szCs w:val="22"/>
        </w:rPr>
        <w:t xml:space="preserve"> Keep "private armies" with Ertman until Lander is read; hedge the council in a clause; and on Chapter 9 hedge both sentences and let the minority-versus-incapacity distinction carry the weight the count was carrying, because a distinction survives a counter-example and a count does not.</w:t>
      </w:r>
    </w:p>
    <w:p>
      <w:pPr>
        <w:pBdr>
          <w:top w:val="single" w:color="C9A227" w:sz="6"/>
          <w:left w:val="single" w:color="C9A227" w:sz="6"/>
          <w:right w:val="single" w:color="C9A227" w:sz="6"/>
        </w:pBdr>
        <w:shd w:fill="FFF4D6" w:color="auto" w:val="clear"/>
        <w:spacing w:after="60" w:before="200"/>
      </w:pPr>
      <w:r>
        <w:rPr>
          <w:rFonts w:ascii="Georgia" w:cs="Georgia" w:eastAsia="Georgia" w:hAnsi="Georgia"/>
          <w:b/>
          <w:bCs/>
          <w:color w:val="8A6D00"/>
          <w:sz w:val="23"/>
          <w:szCs w:val="23"/>
        </w:rPr>
        <w:t xml:space="preserve">YOUR RULING:  </w:t>
      </w:r>
    </w:p>
    <w:p>
      <w:pPr>
        <w:pBdr>
          <w:left w:val="single" w:color="C9A227" w:sz="6"/>
          <w:right w:val="single" w:color="C9A227" w:sz="6"/>
        </w:pBdr>
        <w:shd w:fill="FFF4D6" w:color="auto" w:val="clear"/>
        <w:spacing w:after="40"/>
      </w:pPr>
      <w:r>
        <w:rPr>
          <w:sz w:val="22"/>
          <w:szCs w:val="22"/>
        </w:rPr>
        <w:t xml:space="preserve"> </w:t>
      </w:r>
    </w:p>
    <w:p>
      <w:pPr>
        <w:pBdr>
          <w:left w:val="single" w:color="C9A227" w:sz="6"/>
          <w:right w:val="single" w:color="C9A227" w:sz="6"/>
        </w:pBdr>
        <w:shd w:fill="FFF4D6" w:color="auto" w:val="clear"/>
        <w:spacing w:after="40"/>
      </w:pPr>
      <w:r>
        <w:rPr>
          <w:sz w:val="22"/>
          <w:szCs w:val="22"/>
        </w:rPr>
        <w:t xml:space="preserve"> </w:t>
      </w:r>
    </w:p>
    <w:p>
      <w:pPr>
        <w:pBdr>
          <w:bottom w:val="single" w:color="C9A227" w:sz="6"/>
          <w:left w:val="single" w:color="C9A227" w:sz="6"/>
          <w:right w:val="single" w:color="C9A227" w:sz="6"/>
        </w:pBdr>
        <w:shd w:fill="FFF4D6" w:color="auto" w:val="clear"/>
        <w:spacing w:after="60"/>
      </w:pPr>
      <w:r>
        <w:rPr>
          <w:sz w:val="22"/>
          <w:szCs w:val="22"/>
        </w:rPr>
        <w:t xml:space="preserve"> </w:t>
      </w:r>
    </w:p>
    <w:p>
      <w:pPr>
        <w:pStyle w:val="Heading1"/>
        <w:pageBreakBefore/>
        <w:spacing w:after="200" w:before="0"/>
      </w:pPr>
      <w:r>
        <w:rPr>
          <w:rFonts w:ascii="Georgia" w:cs="Georgia" w:eastAsia="Georgia" w:hAnsi="Georgia"/>
          <w:b/>
          <w:bCs/>
          <w:color w:val="1F3864"/>
          <w:sz w:val="32"/>
          <w:szCs w:val="32"/>
        </w:rPr>
        <w:t xml:space="preserve">Part Three — The mechanism itself</w:t>
      </w:r>
    </w:p>
    <w:p>
      <w:pPr>
        <w:pStyle w:val="Heading2"/>
        <w:spacing w:after="120" w:before="260"/>
      </w:pPr>
      <w:r>
        <w:rPr>
          <w:rFonts w:ascii="Georgia" w:cs="Georgia" w:eastAsia="Georgia" w:hAnsi="Georgia"/>
          <w:b/>
          <w:bCs/>
          <w:color w:val="1F3864"/>
          <w:sz w:val="25"/>
          <w:szCs w:val="25"/>
        </w:rPr>
        <w:t xml:space="preserve">Decision 10 — What "the ratchet" is: artillery only, or capital-intensity in general</w:t>
      </w:r>
    </w:p>
    <w:p>
      <w:pPr>
        <w:spacing w:after="140"/>
      </w:pPr>
      <w:r>
        <w:rPr>
          <w:rFonts w:ascii="Georgia" w:cs="Georgia" w:eastAsia="Georgia" w:hAnsi="Georgia"/>
          <w:i/>
          <w:iCs/>
          <w:color w:val="777777"/>
          <w:sz w:val="19"/>
          <w:szCs w:val="19"/>
        </w:rPr>
        <w:t xml:space="preserve">Covers rows: (ddd), (yyy), (ooo), Check 4</w:t>
      </w:r>
    </w:p>
    <w:p>
      <w:pPr>
        <w:spacing w:after="150" w:line="290"/>
      </w:pPr>
      <w:r>
        <w:rPr>
          <w:rFonts w:ascii="Georgia" w:cs="Georgia" w:eastAsia="Georgia" w:hAnsi="Georgia"/>
          <w:b/>
          <w:bCs/>
          <w:sz w:val="22"/>
          <w:szCs w:val="22"/>
        </w:rPr>
        <w:t xml:space="preserve">The background.</w:t>
      </w:r>
      <w:r>
        <w:rPr>
          <w:rFonts w:ascii="Georgia" w:cs="Georgia" w:eastAsia="Georgia" w:hAnsi="Georgia"/>
          <w:sz w:val="22"/>
          <w:szCs w:val="22"/>
        </w:rPr>
        <w:t xml:space="preserve"> "The ratchet" is the book's word for the point at which the change became irreversible: once a crown had bought the siege train and the permanent tax to keep it, no subject could match it and no assembly could take it back. The spine, in section 8(a), speaks of "the ratchet" with a definite article and no qualification, and the Coda and the chapters inherit that usage. Chapter 4 (sections II and VII), Chapter 6 (section VII) and Chapter 10 (sections IV and VII) all carry the account of what the guns did; the old rows do not quote a single sentence from Chapters 4 and 6, so I cannot show you their present wording, only what they claim.</w:t>
      </w:r>
    </w:p>
    <w:p>
      <w:pPr>
        <w:spacing w:after="150" w:line="290"/>
      </w:pPr>
      <w:r>
        <w:rPr>
          <w:rFonts w:ascii="Georgia" w:cs="Georgia" w:eastAsia="Georgia" w:hAnsi="Georgia"/>
          <w:sz w:val="22"/>
          <w:szCs w:val="22"/>
        </w:rPr>
        <w:t xml:space="preserve">Three works in the September reading press on that definite article from three directions. William McNeill, the American world historian, in </w:t>
      </w:r>
      <w:r>
        <w:rPr>
          <w:rFonts w:ascii="Georgia" w:cs="Georgia" w:eastAsia="Georgia" w:hAnsi="Georgia"/>
          <w:i/>
          <w:iCs/>
          <w:sz w:val="22"/>
          <w:szCs w:val="22"/>
        </w:rPr>
        <w:t xml:space="preserve">The Pursuit of Power</w:t>
      </w:r>
      <w:r>
        <w:rPr>
          <w:rFonts w:ascii="Georgia" w:cs="Georgia" w:eastAsia="Georgia" w:hAnsi="Georgia"/>
          <w:sz w:val="22"/>
          <w:szCs w:val="22"/>
        </w:rPr>
        <w:t xml:space="preserve"> (Chicago, 1982), agrees with you on direction: "The power of any ruler who was able to afford the high cost of the new weapons was therefore enhanced at the expense of neighbors and subjects who were unable to avail themselves of the new technology of war. In Europe, the major effect of the new weaponry was to dwarf the Italian city-states and to reduce other small sovereignties to triviality" (p. 89). But his fifteenth century belongs to Venice, not to the French artillery office. "A regular standing army of known size and capability emerged in the better-governed cities of Italy during the first half of the fifteenth century" (p. 75), two generations before Charles VII's guns; and the suppression of the Fronde in the 1650s "marked the time at which transalpine states finally caught up with the level of administrative management and control over armed force that had been attained in Venice and Milan two centuries earlier" (p. 125). Civil control of hired force, in other words, was an Italian achievement of contract administration, made without a siege train. His own answer to why Italy nonetheless lost is on the facing page: "When newly consolidated monarchies, commanding comparatively vast territories, chose to intervene in Italian affairs, the sovereignty of mere city-states, however skillfully managed, could not permanently be maintained" (p. 79). The book does not currently cite McNeill anywhere.</w:t>
      </w:r>
    </w:p>
    <w:p>
      <w:pPr>
        <w:spacing w:after="150" w:line="290"/>
      </w:pPr>
      <w:r>
        <w:rPr>
          <w:rFonts w:ascii="Georgia" w:cs="Georgia" w:eastAsia="Georgia" w:hAnsi="Georgia"/>
          <w:sz w:val="22"/>
          <w:szCs w:val="22"/>
        </w:rPr>
        <w:t xml:space="preserve">Jan Glete, a Swedish historian of early-modern navies, in </w:t>
      </w:r>
      <w:r>
        <w:rPr>
          <w:rFonts w:ascii="Georgia" w:cs="Georgia" w:eastAsia="Georgia" w:hAnsi="Georgia"/>
          <w:i/>
          <w:iCs/>
          <w:sz w:val="22"/>
          <w:szCs w:val="22"/>
        </w:rPr>
        <w:t xml:space="preserve">War and the State in Early Modern Europe</w:t>
      </w:r>
      <w:r>
        <w:rPr>
          <w:rFonts w:ascii="Georgia" w:cs="Georgia" w:eastAsia="Georgia" w:hAnsi="Georgia"/>
          <w:sz w:val="22"/>
          <w:szCs w:val="22"/>
        </w:rPr>
        <w:t xml:space="preserve"> (Routledge, 2002), supplies a second form of the same effect. His most capital-intensive and most completely state-owned military organisations are navies, and they did not begin with a broken wall: "Most of the earliest sailing navies were created on the European periphery: in Portugal, England, Denmark-Norway and Sweden. They were small forces created by naval-minded kings for protection selling and as instruments of dynastic ambition … Private trade and shipping interests were of little importance for the early growth of sailing navies" (p. 39). The logic is the same as yours — heavy guns "were capital goods, and mobile siege artillery required a permanent organisation of skilled men" (p. 65), and the heaviest ordnance "could only be carried by special warships of a size and construction that made them less economic as merchantmen" (p. 65) — but the instrument is a ship. Tilly makes the same point from the other side: "The increasing decisiveness of naval warfare, which occurred simultaneously, could well have shifted the military advantage to small maritime powers such as the Dutch Republic." If that is right, the navy is a path by which a small, rich polity survives the artillery age rather than being dwarfed by it.</w:t>
      </w:r>
    </w:p>
    <w:p>
      <w:pPr>
        <w:spacing w:after="150" w:line="290"/>
      </w:pPr>
      <w:r>
        <w:rPr>
          <w:rFonts w:ascii="Georgia" w:cs="Georgia" w:eastAsia="Georgia" w:hAnsi="Georgia"/>
          <w:sz w:val="22"/>
          <w:szCs w:val="22"/>
        </w:rPr>
        <w:t xml:space="preserve">The third pressure comes from the fortress. The trace italienne is the low, thick, angled bastion fortification the Italians developed to resist cannon, and the objection has always been that it cancelled the guns within a generation. Chapter 10 has never answered it. McNeill does, six years before Geoffrey Parker made the argument famous: "Only the wealthiest states and cities could afford the scores of cannon and the enormous labor of construction required by the trace italienne" (p. 90), so "high technology once again favored local defenses, at least in those regions where governments could afford the cost of the new fortifications … This put a very effective obstacle in the way of the political consolidation of Europe into a single imperial unity" (p. 91); "Imperial consolidation halted halfway" (p. 91). The guns consolidated inside the polities that could pay; the fortress froze the map between them. That is your three-or-four-bloc prediction in sixteenth-century form.</w:t>
      </w:r>
    </w:p>
    <w:p>
      <w:pPr>
        <w:spacing w:after="150" w:line="290"/>
      </w:pPr>
      <w:r>
        <w:rPr>
          <w:rFonts w:ascii="Georgia" w:cs="Georgia" w:eastAsia="Georgia" w:hAnsi="Georgia"/>
          <w:sz w:val="22"/>
          <w:szCs w:val="22"/>
        </w:rPr>
        <w:t xml:space="preserve">Finally, the eyewitness. Philippe de Commynes served Charles VIII on the Italian expedition of 1494, and the third volume of Joseph Calmette's scholarly edition of his </w:t>
      </w:r>
      <w:r>
        <w:rPr>
          <w:rFonts w:ascii="Georgia" w:cs="Georgia" w:eastAsia="Georgia" w:hAnsi="Georgia"/>
          <w:i/>
          <w:iCs/>
          <w:sz w:val="22"/>
          <w:szCs w:val="22"/>
        </w:rPr>
        <w:t xml:space="preserve">Mémoires</w:t>
      </w:r>
      <w:r>
        <w:rPr>
          <w:rFonts w:ascii="Georgia" w:cs="Georgia" w:eastAsia="Georgia" w:hAnsi="Georgia"/>
          <w:sz w:val="22"/>
          <w:szCs w:val="22"/>
        </w:rPr>
        <w:t xml:space="preserve"> (Champion, 1925) is now in the repository. In the book's grading this is T1, a primary source, where the Chapter 10 close now rests on T2, a modern historian (Contamine) summarising another (Giovio). Commynes says the Italians "n'entendoient point le faict de l'artillerie" — did not understand the business of artillery — "et en France n'avoit jamais esté si bien entendue" (p. 50); that Monte San Giovanni, "une très forte place" (p. 91), "fut batue sept ou huyt heures et puis prinse d'assault" — was battered seven or eight hours and then taken by storm (p. 92); and that "hors le chasteau de Napples, n'y eut nul qui empeschast le roy ung jour naturel" — apart from the castle of Naples, nothing held the king up for a single day (p. 81). The famous quip that the French conquered Italy with chalk to mark their billets is his: "de la craye en la main des fourriers pour marcher leurs logis, sans aultre peyne" (pp. 81–82). The same volume carries the discipline. At Fornovo, the one open battle of the campaign, "Je ne croy point que l'artillerie des deux costéz tuast dix hommes et ne dura point le combat ung quart d'heure" — I do not believe the artillery of both sides killed ten men, and the fight did not last a quarter of an hour (p. 192), with Calmette's note reporting the explanation that a storm had wetted the powder. One housekeeping point: an earlier row pinned the Fornovo line to pp. 210–11, which in fact carry the Apennine recrossing and the line that the train lost "une seulle pierre ne une livre de pouldre"; the pin must be p. 192. And one honesty point: Commynes's own explanation of the campaign is providential — God's judgement on Italy — and he never credits the tax machine the mechanism runs on.</w:t>
      </w:r>
    </w:p>
    <w:p>
      <w:pPr>
        <w:spacing w:after="150" w:line="290"/>
      </w:pPr>
      <w:r>
        <w:rPr>
          <w:rFonts w:ascii="Georgia" w:cs="Georgia" w:eastAsia="Georgia" w:hAnsi="Georgia"/>
          <w:b/>
          <w:bCs/>
          <w:sz w:val="22"/>
          <w:szCs w:val="22"/>
        </w:rPr>
        <w:t xml:space="preserve">Why it matters.</w:t>
      </w:r>
      <w:r>
        <w:rPr>
          <w:rFonts w:ascii="Georgia" w:cs="Georgia" w:eastAsia="Georgia" w:hAnsi="Georgia"/>
          <w:sz w:val="22"/>
          <w:szCs w:val="22"/>
        </w:rPr>
        <w:t xml:space="preserve"> This is a large point because it protects the claim the book most needs to defend. If "the ratchet" is read as the claim that artillery invented state control of organised force, McNeill refutes it with Venice; if it is read as the claim that only artillery could produce a capital-intensive state monopoly, Glete refutes it with navies; and if Chapter 10 keeps saying the guns won battles, Commynes refutes it with Fornovo. Defined narrowly — as scale, the end of the small sovereign, and the French form of a wider capital-intensity effect — the same three authors become the book's best witnesses, and the fortress objection closes. The Part III question of whether the compute stack behaves like artillery or like a navy is the same question a generation later.</w:t>
      </w:r>
    </w:p>
    <w:p>
      <w:pPr>
        <w:spacing w:after="150" w:line="290"/>
      </w:pPr>
      <w:r>
        <w:rPr>
          <w:rFonts w:ascii="Georgia" w:cs="Georgia" w:eastAsia="Georgia" w:hAnsi="Georgia"/>
          <w:b/>
          <w:bCs/>
          <w:sz w:val="22"/>
          <w:szCs w:val="22"/>
        </w:rPr>
        <w:t xml:space="preserve">Your choices.</w:t>
      </w:r>
      <w:r>
        <w:rPr>
          <w:rFonts w:ascii="Georgia" w:cs="Georgia" w:eastAsia="Georgia" w:hAnsi="Georgia"/>
          <w:sz w:val="22"/>
          <w:szCs w:val="22"/>
        </w:rPr>
        <w:t xml:space="preserve"> Choice A is the full package. The ratchet is defined narrowly in the spine, as scale and the end of the small sovereign; McNeill is named in Chapters 4, 6 and 10 for the direction of the effect, with one clause conceding that civil control of contracted force was an Italian achievement of the early fifteenth century; the spine glosses "the ratchet" as the artillery-and-taille form of a wider capital-intensity ratchet, and the naval form is stated once, at the close of Chapter 6, as an open question Part III inherits; Commynes enters Chapter 10 section IV by name with the chalk, the eight-hour siege and the Fornovo line quoted with the wet-powder note; and McNeill's fortress answer enters section VII. The cost is a rewritten close of perhaps four hundred words, two or three sentences in each of two other chapters, a gloss in the spine, one sentence conceding that the mechanism is the book's frame and not the witness's, and a small deflation of the artillery claim. It buys the chapter's best evidence and its best discipline from the same volume, a T2 ally for exactly what the book claims, and a sixteenth-century precedent for the bloc prediction.</w:t>
      </w:r>
    </w:p>
    <w:p>
      <w:pPr>
        <w:spacing w:after="150" w:line="290"/>
      </w:pPr>
      <w:r>
        <w:rPr>
          <w:rFonts w:ascii="Georgia" w:cs="Georgia" w:eastAsia="Georgia" w:hAnsi="Georgia"/>
          <w:sz w:val="22"/>
          <w:szCs w:val="22"/>
        </w:rPr>
        <w:t xml:space="preserve">Choice B takes only the Commynes half: the close gains its eyewitness and the Fornovo concession, while the ratchet stays unqualified and section VII stands. This is cheaper and still raises the grade of the evidence. But the fortress objection stays open, McNeill's Venice and Glete's navies remain uncited contradictions, and Part III inherits an assumption instead of a question.</w:t>
      </w:r>
    </w:p>
    <w:p>
      <w:pPr>
        <w:spacing w:after="150" w:line="290"/>
      </w:pPr>
      <w:r>
        <w:rPr>
          <w:rFonts w:ascii="Georgia" w:cs="Georgia" w:eastAsia="Georgia" w:hAnsi="Georgia"/>
          <w:sz w:val="22"/>
          <w:szCs w:val="22"/>
        </w:rPr>
        <w:t xml:space="preserve">Choice C keeps everything as drafted. The definite article stays forceful and no gloss interrupts the spine. The cost is that the central mechanism is stated in a form that two T2 works the book has not cited contradict on the page, and that the most quotable medieval demonstration stays one remove from a witness who was there and is in the repository.</w:t>
      </w:r>
    </w:p>
    <w:p>
      <w:pPr>
        <w:spacing w:after="150" w:line="290"/>
      </w:pPr>
      <w:r>
        <w:rPr>
          <w:rFonts w:ascii="Georgia" w:cs="Georgia" w:eastAsia="Georgia" w:hAnsi="Georgia"/>
          <w:b/>
          <w:bCs/>
          <w:sz w:val="22"/>
          <w:szCs w:val="22"/>
        </w:rPr>
        <w:t xml:space="preserve">My view.</w:t>
      </w:r>
      <w:r>
        <w:rPr>
          <w:rFonts w:ascii="Georgia" w:cs="Georgia" w:eastAsia="Georgia" w:hAnsi="Georgia"/>
          <w:sz w:val="22"/>
          <w:szCs w:val="22"/>
        </w:rPr>
        <w:t xml:space="preserve"> Choice A, and I hold it firmly: every part of the concession is already true on the book's own account, the narrow ratchet is the claim the argument actually needs, and the Fornovo line is what makes the rest of the 1494 close believable.</w:t>
      </w:r>
    </w:p>
    <w:p>
      <w:pPr>
        <w:pBdr>
          <w:top w:val="single" w:color="C9A227" w:sz="6"/>
          <w:left w:val="single" w:color="C9A227" w:sz="6"/>
          <w:right w:val="single" w:color="C9A227" w:sz="6"/>
        </w:pBdr>
        <w:shd w:fill="FFF4D6" w:color="auto" w:val="clear"/>
        <w:spacing w:after="60" w:before="200"/>
      </w:pPr>
      <w:r>
        <w:rPr>
          <w:rFonts w:ascii="Georgia" w:cs="Georgia" w:eastAsia="Georgia" w:hAnsi="Georgia"/>
          <w:b/>
          <w:bCs/>
          <w:color w:val="8A6D00"/>
          <w:sz w:val="23"/>
          <w:szCs w:val="23"/>
        </w:rPr>
        <w:t xml:space="preserve">YOUR RULING:  </w:t>
      </w:r>
    </w:p>
    <w:p>
      <w:pPr>
        <w:pBdr>
          <w:left w:val="single" w:color="C9A227" w:sz="6"/>
          <w:right w:val="single" w:color="C9A227" w:sz="6"/>
        </w:pBdr>
        <w:shd w:fill="FFF4D6" w:color="auto" w:val="clear"/>
        <w:spacing w:after="40"/>
      </w:pPr>
      <w:r>
        <w:rPr>
          <w:sz w:val="22"/>
          <w:szCs w:val="22"/>
        </w:rPr>
        <w:t xml:space="preserve"> </w:t>
      </w:r>
    </w:p>
    <w:p>
      <w:pPr>
        <w:pBdr>
          <w:left w:val="single" w:color="C9A227" w:sz="6"/>
          <w:right w:val="single" w:color="C9A227" w:sz="6"/>
        </w:pBdr>
        <w:shd w:fill="FFF4D6" w:color="auto" w:val="clear"/>
        <w:spacing w:after="40"/>
      </w:pPr>
      <w:r>
        <w:rPr>
          <w:sz w:val="22"/>
          <w:szCs w:val="22"/>
        </w:rPr>
        <w:t xml:space="preserve"> </w:t>
      </w:r>
    </w:p>
    <w:p>
      <w:pPr>
        <w:pBdr>
          <w:bottom w:val="single" w:color="C9A227" w:sz="6"/>
          <w:left w:val="single" w:color="C9A227" w:sz="6"/>
          <w:right w:val="single" w:color="C9A227" w:sz="6"/>
        </w:pBdr>
        <w:shd w:fill="FFF4D6" w:color="auto" w:val="clear"/>
        <w:spacing w:after="60"/>
      </w:pPr>
      <w:r>
        <w:rPr>
          <w:sz w:val="22"/>
          <w:szCs w:val="22"/>
        </w:rPr>
        <w:t xml:space="preserve"> </w:t>
      </w:r>
    </w:p>
    <w:p>
      <w:pPr>
        <w:pStyle w:val="Heading2"/>
        <w:spacing w:after="120" w:before="260"/>
      </w:pPr>
      <w:r>
        <w:rPr>
          <w:rFonts w:ascii="Georgia" w:cs="Georgia" w:eastAsia="Georgia" w:hAnsi="Georgia"/>
          <w:b/>
          <w:bCs/>
          <w:color w:val="1F3864"/>
          <w:sz w:val="25"/>
          <w:szCs w:val="25"/>
        </w:rPr>
        <w:t xml:space="preserve">Decision 11 — Tilly did not ignore the artillery thesis; he rejected it</w:t>
      </w:r>
    </w:p>
    <w:p>
      <w:pPr>
        <w:spacing w:after="140"/>
      </w:pPr>
      <w:r>
        <w:rPr>
          <w:rFonts w:ascii="Georgia" w:cs="Georgia" w:eastAsia="Georgia" w:hAnsi="Georgia"/>
          <w:i/>
          <w:iCs/>
          <w:color w:val="777777"/>
          <w:sz w:val="19"/>
          <w:szCs w:val="19"/>
        </w:rPr>
        <w:t xml:space="preserve">Covers rows: (mmm), Check 2</w:t>
      </w:r>
    </w:p>
    <w:p>
      <w:pPr>
        <w:spacing w:after="150" w:line="290"/>
      </w:pPr>
      <w:r>
        <w:rPr>
          <w:rFonts w:ascii="Georgia" w:cs="Georgia" w:eastAsia="Georgia" w:hAnsi="Georgia"/>
          <w:b/>
          <w:bCs/>
          <w:sz w:val="22"/>
          <w:szCs w:val="22"/>
        </w:rPr>
        <w:t xml:space="preserve">The background.</w:t>
      </w:r>
      <w:r>
        <w:rPr>
          <w:rFonts w:ascii="Georgia" w:cs="Georgia" w:eastAsia="Georgia" w:hAnsi="Georgia"/>
          <w:sz w:val="22"/>
          <w:szCs w:val="22"/>
        </w:rPr>
        <w:t xml:space="preserve"> The book treats Charles Tilly as having said nothing about guns. The spine, section 8(a), distinguishes the book's claim from his as "not war-made-the-state in general"; Chapter 6, section VII, introduces the main objection as coming "from the historian this chapter has cited more than any other"; and Chapter 10, section VII, Objection 6, describes him as deliberately technology-agnostic. All three treat his position as a silence to be filled.</w:t>
      </w:r>
    </w:p>
    <w:p>
      <w:pPr>
        <w:spacing w:after="150" w:line="290"/>
      </w:pPr>
      <w:r>
        <w:rPr>
          <w:rFonts w:ascii="Georgia" w:cs="Georgia" w:eastAsia="Georgia" w:hAnsi="Georgia"/>
          <w:sz w:val="22"/>
          <w:szCs w:val="22"/>
        </w:rPr>
        <w:t xml:space="preserve">Read in full for the first time in September, his 1985 essay shows it was a verdict. Tilly summarises a 1973 article by the economic historian Richard Bean, which argued that better fifteenth-century artillery made small forts vulnerable and so made larger armies, standing armies and centralised governments pay. Then he rejects it: "Bean's summary does not stand up to historical scrutiny. As a matter of practice, the shift to infantry-backed artillery sieges of fortified cities occurred only during the sixteenth and seventeenth centuries. Artillery did improve during the fifteenth century, but the invention of new fortifications, especially the trace italienne, rapidly countered the advantage of artillery. The arrival of effective artillery came too late to have caused the increase in the viable size of states. (However, the increased cost of fortifications to defend against artillery did give an advantage to states enjoying larger fiscal bases.)" He adds the naval alternative already discussed in Decision 10. In the same essay he concedes something the book needs: "After 1400 the European pursuit of larger, more permanent, and more costly varieties of military organization did, in fact, drive spectacular increases in princely budgets, taxes, and staffs."</w:t>
      </w:r>
    </w:p>
    <w:p>
      <w:pPr>
        <w:spacing w:after="150" w:line="290"/>
      </w:pPr>
      <w:r>
        <w:rPr>
          <w:rFonts w:ascii="Georgia" w:cs="Georgia" w:eastAsia="Georgia" w:hAnsi="Georgia"/>
          <w:sz w:val="22"/>
          <w:szCs w:val="22"/>
        </w:rPr>
        <w:t xml:space="preserve">The answer available is on the explanandum — the thing being explained. Bean was explaining the geographic size of states, and Tilly's refutation is aimed there. The book is explaining something else: the closure of the sub-state path to decisive force, and the permanence of the tax that closed it. On the chronology limb, Chapter 6 exists to show what Tilly does not name — the French reduction of Normandy and Guyenne in 1449–53, sixty fortified places in a few seasons. On the fortress limb, his own parenthesis about "larger fiscal bases" is the mechanism in miniature. Bean's article is not yet in the reading and would need to be retrieved.</w:t>
      </w:r>
    </w:p>
    <w:p>
      <w:pPr>
        <w:spacing w:after="150" w:line="290"/>
      </w:pPr>
      <w:r>
        <w:rPr>
          <w:rFonts w:ascii="Georgia" w:cs="Georgia" w:eastAsia="Georgia" w:hAnsi="Georgia"/>
          <w:b/>
          <w:bCs/>
          <w:sz w:val="22"/>
          <w:szCs w:val="22"/>
        </w:rPr>
        <w:t xml:space="preserve">Why it matters.</w:t>
      </w:r>
      <w:r>
        <w:rPr>
          <w:rFonts w:ascii="Georgia" w:cs="Georgia" w:eastAsia="Georgia" w:hAnsi="Georgia"/>
          <w:sz w:val="22"/>
          <w:szCs w:val="22"/>
        </w:rPr>
        <w:t xml:space="preserve"> A silence can be filled; a verdict must be answered. The difference matters because Tilly is the book's most-cited authority, and two chapters currently describe his position in a way the record shows to be wrong. A specialist reviewer treats that kind of error as diagnostic of the whole. The correction also improves the book: an objection Tilly actually made, answered with 1449–53, is far better material than an absence.</w:t>
      </w:r>
    </w:p>
    <w:p>
      <w:pPr>
        <w:spacing w:after="150" w:line="290"/>
      </w:pPr>
      <w:r>
        <w:rPr>
          <w:rFonts w:ascii="Georgia" w:cs="Georgia" w:eastAsia="Georgia" w:hAnsi="Georgia"/>
          <w:b/>
          <w:bCs/>
          <w:sz w:val="22"/>
          <w:szCs w:val="22"/>
        </w:rPr>
        <w:t xml:space="preserve">Your choices.</w:t>
      </w:r>
      <w:r>
        <w:rPr>
          <w:rFonts w:ascii="Georgia" w:cs="Georgia" w:eastAsia="Georgia" w:hAnsi="Georgia"/>
          <w:sz w:val="22"/>
          <w:szCs w:val="22"/>
        </w:rPr>
        <w:t xml:space="preserve"> Choice A changes the differentiation. The spine sentence becomes something like "Tilly read the artillery thesis in Bean and rejected it on chronology; the book answers on the explanandum", and Chapters 6 and 10 rebuild the objection in its real form, citing Bean 1973, saying plainly that the book is not making Bean's claim, and answering with the census of 1449–50 and the distinction between the size of states and the closure of the sub-state path. It costs one retrieval and a rewritten objection in two chapters. It buys the strongest framing available, because the chapters then answer a named verdict at the one point Tilly never addressed. Choice B leaves the three passages as they stand. Nothing is rewritten, and the book's treatment of its principal authority remains on the record as mistaken.</w:t>
      </w:r>
    </w:p>
    <w:p>
      <w:pPr>
        <w:spacing w:after="150" w:line="290"/>
      </w:pPr>
      <w:r>
        <w:rPr>
          <w:rFonts w:ascii="Georgia" w:cs="Georgia" w:eastAsia="Georgia" w:hAnsi="Georgia"/>
          <w:b/>
          <w:bCs/>
          <w:sz w:val="22"/>
          <w:szCs w:val="22"/>
        </w:rPr>
        <w:t xml:space="preserve">My view.</w:t>
      </w:r>
      <w:r>
        <w:rPr>
          <w:rFonts w:ascii="Georgia" w:cs="Georgia" w:eastAsia="Georgia" w:hAnsi="Georgia"/>
          <w:sz w:val="22"/>
          <w:szCs w:val="22"/>
        </w:rPr>
        <w:t xml:space="preserve"> Choice A, and this is the least optional item in the set; the reviewer who knows Tilly will find the 1985 passage in an afternoon.</w:t>
      </w:r>
    </w:p>
    <w:p>
      <w:pPr>
        <w:pBdr>
          <w:top w:val="single" w:color="C9A227" w:sz="6"/>
          <w:left w:val="single" w:color="C9A227" w:sz="6"/>
          <w:right w:val="single" w:color="C9A227" w:sz="6"/>
        </w:pBdr>
        <w:shd w:fill="FFF4D6" w:color="auto" w:val="clear"/>
        <w:spacing w:after="60" w:before="200"/>
      </w:pPr>
      <w:r>
        <w:rPr>
          <w:rFonts w:ascii="Georgia" w:cs="Georgia" w:eastAsia="Georgia" w:hAnsi="Georgia"/>
          <w:b/>
          <w:bCs/>
          <w:color w:val="8A6D00"/>
          <w:sz w:val="23"/>
          <w:szCs w:val="23"/>
        </w:rPr>
        <w:t xml:space="preserve">YOUR RULING:  </w:t>
      </w:r>
    </w:p>
    <w:p>
      <w:pPr>
        <w:pBdr>
          <w:left w:val="single" w:color="C9A227" w:sz="6"/>
          <w:right w:val="single" w:color="C9A227" w:sz="6"/>
        </w:pBdr>
        <w:shd w:fill="FFF4D6" w:color="auto" w:val="clear"/>
        <w:spacing w:after="40"/>
      </w:pPr>
      <w:r>
        <w:rPr>
          <w:sz w:val="22"/>
          <w:szCs w:val="22"/>
        </w:rPr>
        <w:t xml:space="preserve"> </w:t>
      </w:r>
    </w:p>
    <w:p>
      <w:pPr>
        <w:pBdr>
          <w:left w:val="single" w:color="C9A227" w:sz="6"/>
          <w:right w:val="single" w:color="C9A227" w:sz="6"/>
        </w:pBdr>
        <w:shd w:fill="FFF4D6" w:color="auto" w:val="clear"/>
        <w:spacing w:after="40"/>
      </w:pPr>
      <w:r>
        <w:rPr>
          <w:sz w:val="22"/>
          <w:szCs w:val="22"/>
        </w:rPr>
        <w:t xml:space="preserve"> </w:t>
      </w:r>
    </w:p>
    <w:p>
      <w:pPr>
        <w:pBdr>
          <w:bottom w:val="single" w:color="C9A227" w:sz="6"/>
          <w:left w:val="single" w:color="C9A227" w:sz="6"/>
          <w:right w:val="single" w:color="C9A227" w:sz="6"/>
        </w:pBdr>
        <w:shd w:fill="FFF4D6" w:color="auto" w:val="clear"/>
        <w:spacing w:after="60"/>
      </w:pPr>
      <w:r>
        <w:rPr>
          <w:sz w:val="22"/>
          <w:szCs w:val="22"/>
        </w:rPr>
        <w:t xml:space="preserve"> </w:t>
      </w:r>
    </w:p>
    <w:p>
      <w:pPr>
        <w:pStyle w:val="Heading2"/>
        <w:spacing w:after="120" w:before="260"/>
      </w:pPr>
      <w:r>
        <w:rPr>
          <w:rFonts w:ascii="Georgia" w:cs="Georgia" w:eastAsia="Georgia" w:hAnsi="Georgia"/>
          <w:b/>
          <w:bCs/>
          <w:color w:val="1F3864"/>
          <w:sz w:val="25"/>
          <w:szCs w:val="25"/>
        </w:rPr>
        <w:t xml:space="preserve">Decision 12 — Taxes, not credit: what kind of settlement 1439–46 was</w:t>
      </w:r>
    </w:p>
    <w:p>
      <w:pPr>
        <w:spacing w:after="140"/>
      </w:pPr>
      <w:r>
        <w:rPr>
          <w:rFonts w:ascii="Georgia" w:cs="Georgia" w:eastAsia="Georgia" w:hAnsi="Georgia"/>
          <w:i/>
          <w:iCs/>
          <w:color w:val="777777"/>
          <w:sz w:val="19"/>
          <w:szCs w:val="19"/>
        </w:rPr>
        <w:t xml:space="preserve">Covers rows: (xxx), (ccc), Check 1</w:t>
      </w:r>
    </w:p>
    <w:p>
      <w:pPr>
        <w:spacing w:after="150" w:line="290"/>
      </w:pPr>
      <w:r>
        <w:rPr>
          <w:rFonts w:ascii="Georgia" w:cs="Georgia" w:eastAsia="Georgia" w:hAnsi="Georgia"/>
          <w:b/>
          <w:bCs/>
          <w:sz w:val="22"/>
          <w:szCs w:val="22"/>
        </w:rPr>
        <w:t xml:space="preserve">The background.</w:t>
      </w:r>
      <w:r>
        <w:rPr>
          <w:rFonts w:ascii="Georgia" w:cs="Georgia" w:eastAsia="Georgia" w:hAnsi="Georgia"/>
          <w:sz w:val="22"/>
          <w:szCs w:val="22"/>
        </w:rPr>
        <w:t xml:space="preserve"> Chapter 10, section III, is the book's account of the French fiscal settlement of 1439–46, when the taille — the direct tax on commoners — became permanent to pay for the standing companies and the artillery. The section runs what it calls a control experiment: "At the Estates of Tours in 1484 — the first Estates General in decades, meeting over a royal minority — the assembled realm asserted itself: the taille was granted for two years only and cut to some 1.5 million. The machine absorbed the cut, outlived the assertion, and no Estates General met again until 1560." Later in the section the assemblies are described as "not summoned again for nearly forty years", and the section closes by calling the French case "the coupling's first full demonstration". Chapter 4, section VII, and Chapter 10 together lean on a phrase about consolidation moving "fastest where the fisc is deepest". The spine's section 8(a) states flatly that "No Estates General met again until 1484".</w:t>
      </w:r>
    </w:p>
    <w:p>
      <w:pPr>
        <w:spacing w:after="150" w:line="290"/>
      </w:pPr>
      <w:r>
        <w:rPr>
          <w:rFonts w:ascii="Georgia" w:cs="Georgia" w:eastAsia="Georgia" w:hAnsi="Georgia"/>
          <w:sz w:val="22"/>
          <w:szCs w:val="22"/>
        </w:rPr>
        <w:t xml:space="preserve">Two new arrivals bear on this. David Stasavage, an American political scientist, in </w:t>
      </w:r>
      <w:r>
        <w:rPr>
          <w:rFonts w:ascii="Georgia" w:cs="Georgia" w:eastAsia="Georgia" w:hAnsi="Georgia"/>
          <w:i/>
          <w:iCs/>
          <w:sz w:val="22"/>
          <w:szCs w:val="22"/>
        </w:rPr>
        <w:t xml:space="preserve">States of Credit</w:t>
      </w:r>
      <w:r>
        <w:rPr>
          <w:rFonts w:ascii="Georgia" w:cs="Georgia" w:eastAsia="Georgia" w:hAnsi="Georgia"/>
          <w:sz w:val="22"/>
          <w:szCs w:val="22"/>
        </w:rPr>
        <w:t xml:space="preserve"> (Princeton, 2011), is the standard quantitative account of who in Europe could borrow long-term. A funded debt is a loan secured on a named tax and paid to bondholders indefinitely; Stasavage's finding is that only small city-states could sustain one, because only a city could keep an assembly of creditors sitting often enough to watch the money. His table dates the first long-term loans to Arras in 1241 and Venice in 1262, and the first by a territorial state to Castile in 1489 and France in 1522. "Prior to 1500, we cannot directly compare city-states and territorial states, because no territorial states had yet created long-term debts", and "territorial rulers did not establish a long-term debt earlier because no one was willing to lend to them on such terms". So the French settlement ran seventy-six years without the instrument that "depth of fisc" would normally mean. His own Dutch case supports your ordering rather than undercutting it: the Dutch revolt "was first and foremost a tax revolution… it was only after this point that borrowing became a major source of war finance". He also records, reporting Wim Blockmans, a French Estates meeting in 1468: "At the conclusion to the 1468 meeting, the assembled Estates actually stated that they could not meet as frequently as in the past". Ertman gives the same shape from the other side: the crown "after 1440" abandoned "its policy of frequent convocations" (p. 92), Tours extracted a promise of another meeting in two years that was never kept, and "a full, working Estates General was not to meet again until 1560" (pp. 92–93). The page in Russell Major's 1960 book where the 1468 meeting would be confirmed has not been consulted.</w:t>
      </w:r>
    </w:p>
    <w:p>
      <w:pPr>
        <w:spacing w:after="150" w:line="290"/>
      </w:pPr>
      <w:r>
        <w:rPr>
          <w:rFonts w:ascii="Georgia" w:cs="Georgia" w:eastAsia="Georgia" w:hAnsi="Georgia"/>
          <w:sz w:val="22"/>
          <w:szCs w:val="22"/>
        </w:rPr>
        <w:t xml:space="preserve">Commynes, the eyewitness of Decision 10, supplies the numbers. Charles VIII resolved in 1498 to take no more than "douze cens mil frans et par forme de taille, oultre son domayne, qui estoit la somme que les trois Estatz luy avoyent accordée à Tours" — 1.2 million francs by way of taille, beyond his domain revenue, the sum the three Estates had granted him at Tours — while "le peuple, qui paie au jour d'uy plus de deux milions et demy de francs de taille" — the people, who today pay more than two and a half million (p. 304). This does not flatly contradict the draft's 1.5 million, which presumably includes a grant above the taille proper, but the primary says 1.2 by way of taille and the two must be reconciled with the primary pinned.</w:t>
      </w:r>
    </w:p>
    <w:p>
      <w:pPr>
        <w:spacing w:after="150" w:line="290"/>
      </w:pPr>
      <w:r>
        <w:rPr>
          <w:rFonts w:ascii="Georgia" w:cs="Georgia" w:eastAsia="Georgia" w:hAnsi="Georgia"/>
          <w:b/>
          <w:bCs/>
          <w:sz w:val="22"/>
          <w:szCs w:val="22"/>
        </w:rPr>
        <w:t xml:space="preserve">Why it matters.</w:t>
      </w:r>
      <w:r>
        <w:rPr>
          <w:rFonts w:ascii="Georgia" w:cs="Georgia" w:eastAsia="Georgia" w:hAnsi="Georgia"/>
          <w:sz w:val="22"/>
          <w:szCs w:val="22"/>
        </w:rPr>
        <w:t xml:space="preserve"> Three things of rising weight. The figures are a plain accuracy point where a primary now outranks the flagged secondary the draft uses. The "nearly forty years" clause and the spine's "until 1484" are a factual exposure: if an Estates met in 1468, both are wrong as written, and the spine sentence is licensed to appear anywhere. The largest is Stasavage's whole apparatus, which is aimed at war-and-state-formation arguments: a specialist will ask whether the chapter claims a fiscal-military state for a polity that had no funded debt for three generations. The answer is that your mechanism was never a credit mechanism — the chain runs weapon, permanent taxation, administration, subordination, and the transaction was the taille collected, not a bond sold — but the chapter never says so, and the omission reads as oversight.</w:t>
      </w:r>
    </w:p>
    <w:p>
      <w:pPr>
        <w:spacing w:after="150" w:line="290"/>
      </w:pPr>
      <w:r>
        <w:rPr>
          <w:rFonts w:ascii="Georgia" w:cs="Georgia" w:eastAsia="Georgia" w:hAnsi="Georgia"/>
          <w:b/>
          <w:bCs/>
          <w:sz w:val="22"/>
          <w:szCs w:val="22"/>
        </w:rPr>
        <w:t xml:space="preserve">Your choices.</w:t>
      </w:r>
      <w:r>
        <w:rPr>
          <w:rFonts w:ascii="Georgia" w:cs="Georgia" w:eastAsia="Georgia" w:hAnsi="Georgia"/>
          <w:sz w:val="22"/>
          <w:szCs w:val="22"/>
        </w:rPr>
        <w:t xml:space="preserve"> Choice A is the full correction. The 1484 figures are re-based on Commynes p. 304, with 1.2 million granted and more than 2.5 million paid by 1498 quoted — which strengthens the control experiment, because the primary now proves the rebound. Section III gains one or two sentences saying in terms that this was a tax settlement and not a credit one, with Stasavage named, the seventy-six years conceded, France's first funded debt of 1522 placed by the Paris route, and the observation his own regressions support that the assemblies France dispensed with were useless for credit anyway. The phrase "fastest where the fisc is deepest" becomes "the capacity to tax at scale" in both chapters. And "nearly forty years" and the spine's "until 1484" are replaced with Ertman's qualified form — frequent convocation abandoned after 1440, 1468 named, no full working Estates until 1560 — with the Major check left to refine rather than rescue. It costs perhaps a hundred and fifty words, one verification errand, and a phrase. It buys a paragraph a quantitative historian cannot dent. Choice B holds the paragraph as drafted and logs Stasavage in the chapter's critiques file only, with the spine sentence marked unverified pending Major. The section keeps its momentum; "first full demonstration" sits unqualified in a chapter that never says which leg of public finance it demonstrates; the 1.5 million stays on its flagged pin while the repository holds a primary saying 1.2.</w:t>
      </w:r>
    </w:p>
    <w:p>
      <w:pPr>
        <w:spacing w:after="150" w:line="290"/>
      </w:pPr>
      <w:r>
        <w:rPr>
          <w:rFonts w:ascii="Georgia" w:cs="Georgia" w:eastAsia="Georgia" w:hAnsi="Georgia"/>
          <w:b/>
          <w:bCs/>
          <w:sz w:val="22"/>
          <w:szCs w:val="22"/>
        </w:rPr>
        <w:t xml:space="preserve">My view.</w:t>
      </w:r>
      <w:r>
        <w:rPr>
          <w:rFonts w:ascii="Georgia" w:cs="Georgia" w:eastAsia="Georgia" w:hAnsi="Georgia"/>
          <w:sz w:val="22"/>
          <w:szCs w:val="22"/>
        </w:rPr>
        <w:t xml:space="preserve"> Choice A is not close: the tax-not-credit sentence costs almost nothing and pre-empts the single most likely specialist objection to Part II's centrepiece, and I would not let "nearly forty years" or "until 1484" go to press in either place before Major has been read.</w:t>
      </w:r>
    </w:p>
    <w:p>
      <w:pPr>
        <w:pBdr>
          <w:top w:val="single" w:color="C9A227" w:sz="6"/>
          <w:left w:val="single" w:color="C9A227" w:sz="6"/>
          <w:right w:val="single" w:color="C9A227" w:sz="6"/>
        </w:pBdr>
        <w:shd w:fill="FFF4D6" w:color="auto" w:val="clear"/>
        <w:spacing w:after="60" w:before="200"/>
      </w:pPr>
      <w:r>
        <w:rPr>
          <w:rFonts w:ascii="Georgia" w:cs="Georgia" w:eastAsia="Georgia" w:hAnsi="Georgia"/>
          <w:b/>
          <w:bCs/>
          <w:color w:val="8A6D00"/>
          <w:sz w:val="23"/>
          <w:szCs w:val="23"/>
        </w:rPr>
        <w:t xml:space="preserve">YOUR RULING:  </w:t>
      </w:r>
    </w:p>
    <w:p>
      <w:pPr>
        <w:pBdr>
          <w:left w:val="single" w:color="C9A227" w:sz="6"/>
          <w:right w:val="single" w:color="C9A227" w:sz="6"/>
        </w:pBdr>
        <w:shd w:fill="FFF4D6" w:color="auto" w:val="clear"/>
        <w:spacing w:after="40"/>
      </w:pPr>
      <w:r>
        <w:rPr>
          <w:sz w:val="22"/>
          <w:szCs w:val="22"/>
        </w:rPr>
        <w:t xml:space="preserve"> </w:t>
      </w:r>
    </w:p>
    <w:p>
      <w:pPr>
        <w:pBdr>
          <w:left w:val="single" w:color="C9A227" w:sz="6"/>
          <w:right w:val="single" w:color="C9A227" w:sz="6"/>
        </w:pBdr>
        <w:shd w:fill="FFF4D6" w:color="auto" w:val="clear"/>
        <w:spacing w:after="40"/>
      </w:pPr>
      <w:r>
        <w:rPr>
          <w:sz w:val="22"/>
          <w:szCs w:val="22"/>
        </w:rPr>
        <w:t xml:space="preserve"> </w:t>
      </w:r>
    </w:p>
    <w:p>
      <w:pPr>
        <w:pBdr>
          <w:bottom w:val="single" w:color="C9A227" w:sz="6"/>
          <w:left w:val="single" w:color="C9A227" w:sz="6"/>
          <w:right w:val="single" w:color="C9A227" w:sz="6"/>
        </w:pBdr>
        <w:shd w:fill="FFF4D6" w:color="auto" w:val="clear"/>
        <w:spacing w:after="60"/>
      </w:pPr>
      <w:r>
        <w:rPr>
          <w:sz w:val="22"/>
          <w:szCs w:val="22"/>
        </w:rPr>
        <w:t xml:space="preserve"> </w:t>
      </w:r>
    </w:p>
    <w:p>
      <w:pPr>
        <w:pStyle w:val="Heading2"/>
        <w:spacing w:after="120" w:before="260"/>
      </w:pPr>
      <w:r>
        <w:rPr>
          <w:rFonts w:ascii="Georgia" w:cs="Georgia" w:eastAsia="Georgia" w:hAnsi="Georgia"/>
          <w:b/>
          <w:bCs/>
          <w:color w:val="1F3864"/>
          <w:sz w:val="25"/>
          <w:szCs w:val="25"/>
        </w:rPr>
        <w:t xml:space="preserve">Decision 13 — Venice and the funded debt: three corrections</w:t>
      </w:r>
    </w:p>
    <w:p>
      <w:pPr>
        <w:spacing w:after="140"/>
      </w:pPr>
      <w:r>
        <w:rPr>
          <w:rFonts w:ascii="Georgia" w:cs="Georgia" w:eastAsia="Georgia" w:hAnsi="Georgia"/>
          <w:i/>
          <w:iCs/>
          <w:color w:val="777777"/>
          <w:sz w:val="19"/>
          <w:szCs w:val="19"/>
        </w:rPr>
        <w:t xml:space="preserve">Covers rows: (aaa), (bbb), (eee)</w:t>
      </w:r>
    </w:p>
    <w:p>
      <w:pPr>
        <w:spacing w:after="150" w:line="290"/>
      </w:pPr>
      <w:r>
        <w:rPr>
          <w:rFonts w:ascii="Georgia" w:cs="Georgia" w:eastAsia="Georgia" w:hAnsi="Georgia"/>
          <w:b/>
          <w:bCs/>
          <w:sz w:val="22"/>
          <w:szCs w:val="22"/>
        </w:rPr>
        <w:t xml:space="preserve">The background.</w:t>
      </w:r>
      <w:r>
        <w:rPr>
          <w:rFonts w:ascii="Georgia" w:cs="Georgia" w:eastAsia="Georgia" w:hAnsi="Georgia"/>
          <w:sz w:val="22"/>
          <w:szCs w:val="22"/>
        </w:rPr>
        <w:t xml:space="preserve"> Chapter 4, section VI, makes three statements about Venice that the September reading contradicts. It calls the Monte Vecchio of 1262 "the first funded sovereign debt in European history". It says the instruments of public debt "emerge wherever scale, commerce and insecurity meet". And, together with Chapter 10, section VI, it diagnoses the Venetian limit as "almost no bureaucracy", a phrase borrowed from Frederic Lane, the American historian of Venice.</w:t>
      </w:r>
    </w:p>
    <w:p>
      <w:pPr>
        <w:spacing w:after="150" w:line="290"/>
      </w:pPr>
      <w:r>
        <w:rPr>
          <w:rFonts w:ascii="Georgia" w:cs="Georgia" w:eastAsia="Georgia" w:hAnsi="Georgia"/>
          <w:sz w:val="22"/>
          <w:szCs w:val="22"/>
        </w:rPr>
        <w:t xml:space="preserve">On the first, Stasavage's table dates Arras to 1241 and Venice to 1262, and on Epstein's evidence Genoa consolidated its debt in 1259, giving creditors shares in a new fund paying a nominal eight per cent with a right of sale that "created a secondary market". Lane's narrower formulation survives: Venice was the first European state to fund its debt so that interest was paid regularly from one fund to all bondholders equally. On the second, Stasavage's whole argument runs the other way — "geographic scale often proved to be a fundamental obstacle" — because the close creditor supervision that made lending safe was only possible where an assembly could meet weekly. On his sample, a city-state without a debt had a 43 per cent chance of creating one in a given half-century against a territorial state's 5 per cent, and city-states borrowed about two percentage points cheaper. He also re-points the paternity: "it was actually the system of municipal debt developed in northern Europe that would set the model for long-term government borrowing in Europe until the end of the nineteenth century" — the northern annuity, not the Venetian bond. On the third, Glete contradicts the phrase directly: "Venice also had a large permanent and state-administered navy and may in terms of permanent armed force have ranked number one in Europe in 1500" (p. 13). Lane's judgement was about civil administration, not about the absence of an apparatus; and Stasavage adds that Venice "continued to borrow at very low interest rates into the eighteenth century, long after its period as an innovator in industrial production, or as a principal hub of commerce, had ended".</w:t>
      </w:r>
    </w:p>
    <w:p>
      <w:pPr>
        <w:spacing w:after="150" w:line="290"/>
      </w:pPr>
      <w:r>
        <w:rPr>
          <w:rFonts w:ascii="Georgia" w:cs="Georgia" w:eastAsia="Georgia" w:hAnsi="Georgia"/>
          <w:b/>
          <w:bCs/>
          <w:sz w:val="22"/>
          <w:szCs w:val="22"/>
        </w:rPr>
        <w:t xml:space="preserve">Why it matters.</w:t>
      </w:r>
      <w:r>
        <w:rPr>
          <w:rFonts w:ascii="Georgia" w:cs="Georgia" w:eastAsia="Georgia" w:hAnsi="Georgia"/>
          <w:sz w:val="22"/>
          <w:szCs w:val="22"/>
        </w:rPr>
        <w:t xml:space="preserve"> These are housekeeping in scale but not in effect, because each is a checkable error in a chapter that sets up the medieval alternatives to the state, and the dates are in a table any reviewer can open. The third correction also strengthens the argument: a Venice that had the permanent navy and the cheap credit and still could not consolidate is better evidence for the book's two-variable finding — armed force and permanent fisc both needed — than a Venice that merely lacked institutions.</w:t>
      </w:r>
    </w:p>
    <w:p>
      <w:pPr>
        <w:spacing w:after="150" w:line="290"/>
      </w:pPr>
      <w:r>
        <w:rPr>
          <w:rFonts w:ascii="Georgia" w:cs="Georgia" w:eastAsia="Georgia" w:hAnsi="Georgia"/>
          <w:b/>
          <w:bCs/>
          <w:sz w:val="22"/>
          <w:szCs w:val="22"/>
        </w:rPr>
        <w:t xml:space="preserve">Your choices.</w:t>
      </w:r>
      <w:r>
        <w:rPr>
          <w:rFonts w:ascii="Georgia" w:cs="Georgia" w:eastAsia="Georgia" w:hAnsi="Georgia"/>
          <w:sz w:val="22"/>
          <w:szCs w:val="22"/>
        </w:rPr>
        <w:t xml:space="preserve"> Choice A takes all three: Lane's exact wording replaces the superlative, with Genoa 1259 and Arras 1241 named in the same breath; "wherever scale, commerce and insecurity meet" becomes "a scale small enough to be governed by its creditors", with a clause conceding the northern annuity as the true template; and "almost no bureaucracy" becomes a sentence saying Venice had the permanent naval organisation and lacked the fiscal-administrative reach into a hinterland. The cost is one superlative, one neat triad and one brisk dismissal, and a slightly longer sentence in each place. Choice B keeps the wording and footnotes the doubts. That is not attractive here: the footnote to "first" would have to admit two earlier instruments, which reads worse than writing Lane's sentence, and the navy contradiction is a matter of fact rather than register.</w:t>
      </w:r>
    </w:p>
    <w:p>
      <w:pPr>
        <w:spacing w:after="150" w:line="290"/>
      </w:pPr>
      <w:r>
        <w:rPr>
          <w:rFonts w:ascii="Georgia" w:cs="Georgia" w:eastAsia="Georgia" w:hAnsi="Georgia"/>
          <w:b/>
          <w:bCs/>
          <w:sz w:val="22"/>
          <w:szCs w:val="22"/>
        </w:rPr>
        <w:t xml:space="preserve">My view.</w:t>
      </w:r>
      <w:r>
        <w:rPr>
          <w:rFonts w:ascii="Georgia" w:cs="Georgia" w:eastAsia="Georgia" w:hAnsi="Georgia"/>
          <w:sz w:val="22"/>
          <w:szCs w:val="22"/>
        </w:rPr>
        <w:t xml:space="preserve"> Choice A on all three, because in each case the corrected sentence serves Part II better than the one it replaces.</w:t>
      </w:r>
    </w:p>
    <w:p>
      <w:pPr>
        <w:pBdr>
          <w:top w:val="single" w:color="C9A227" w:sz="6"/>
          <w:left w:val="single" w:color="C9A227" w:sz="6"/>
          <w:right w:val="single" w:color="C9A227" w:sz="6"/>
        </w:pBdr>
        <w:shd w:fill="FFF4D6" w:color="auto" w:val="clear"/>
        <w:spacing w:after="60" w:before="200"/>
      </w:pPr>
      <w:r>
        <w:rPr>
          <w:rFonts w:ascii="Georgia" w:cs="Georgia" w:eastAsia="Georgia" w:hAnsi="Georgia"/>
          <w:b/>
          <w:bCs/>
          <w:color w:val="8A6D00"/>
          <w:sz w:val="23"/>
          <w:szCs w:val="23"/>
        </w:rPr>
        <w:t xml:space="preserve">YOUR RULING:  </w:t>
      </w:r>
    </w:p>
    <w:p>
      <w:pPr>
        <w:pBdr>
          <w:left w:val="single" w:color="C9A227" w:sz="6"/>
          <w:right w:val="single" w:color="C9A227" w:sz="6"/>
        </w:pBdr>
        <w:shd w:fill="FFF4D6" w:color="auto" w:val="clear"/>
        <w:spacing w:after="40"/>
      </w:pPr>
      <w:r>
        <w:rPr>
          <w:sz w:val="22"/>
          <w:szCs w:val="22"/>
        </w:rPr>
        <w:t xml:space="preserve"> </w:t>
      </w:r>
    </w:p>
    <w:p>
      <w:pPr>
        <w:pBdr>
          <w:left w:val="single" w:color="C9A227" w:sz="6"/>
          <w:right w:val="single" w:color="C9A227" w:sz="6"/>
        </w:pBdr>
        <w:shd w:fill="FFF4D6" w:color="auto" w:val="clear"/>
        <w:spacing w:after="40"/>
      </w:pPr>
      <w:r>
        <w:rPr>
          <w:sz w:val="22"/>
          <w:szCs w:val="22"/>
        </w:rPr>
        <w:t xml:space="preserve"> </w:t>
      </w:r>
    </w:p>
    <w:p>
      <w:pPr>
        <w:pBdr>
          <w:bottom w:val="single" w:color="C9A227" w:sz="6"/>
          <w:left w:val="single" w:color="C9A227" w:sz="6"/>
          <w:right w:val="single" w:color="C9A227" w:sz="6"/>
        </w:pBdr>
        <w:shd w:fill="FFF4D6" w:color="auto" w:val="clear"/>
        <w:spacing w:after="60"/>
      </w:pPr>
      <w:r>
        <w:rPr>
          <w:sz w:val="22"/>
          <w:szCs w:val="22"/>
        </w:rPr>
        <w:t xml:space="preserve"> </w:t>
      </w:r>
    </w:p>
    <w:p>
      <w:pPr>
        <w:pStyle w:val="Heading2"/>
        <w:spacing w:after="120" w:before="260"/>
      </w:pPr>
      <w:r>
        <w:rPr>
          <w:rFonts w:ascii="Georgia" w:cs="Georgia" w:eastAsia="Georgia" w:hAnsi="Georgia"/>
          <w:b/>
          <w:bCs/>
          <w:color w:val="1F3864"/>
          <w:sz w:val="25"/>
          <w:szCs w:val="25"/>
        </w:rPr>
        <w:t xml:space="preserve">Decision 14 — What "administrative capacity" means, and admitting the settlement bred venality</w:t>
      </w:r>
    </w:p>
    <w:p>
      <w:pPr>
        <w:spacing w:after="140"/>
      </w:pPr>
      <w:r>
        <w:rPr>
          <w:rFonts w:ascii="Georgia" w:cs="Georgia" w:eastAsia="Georgia" w:hAnsi="Georgia"/>
          <w:i/>
          <w:iCs/>
          <w:color w:val="777777"/>
          <w:sz w:val="19"/>
          <w:szCs w:val="19"/>
        </w:rPr>
        <w:t xml:space="preserve">Covers rows: (www), (ff), (iii), Check 5</w:t>
      </w:r>
    </w:p>
    <w:p>
      <w:pPr>
        <w:spacing w:after="150" w:line="290"/>
      </w:pPr>
      <w:r>
        <w:rPr>
          <w:rFonts w:ascii="Georgia" w:cs="Georgia" w:eastAsia="Georgia" w:hAnsi="Georgia"/>
          <w:b/>
          <w:bCs/>
          <w:sz w:val="22"/>
          <w:szCs w:val="22"/>
        </w:rPr>
        <w:t xml:space="preserve">The background.</w:t>
      </w:r>
      <w:r>
        <w:rPr>
          <w:rFonts w:ascii="Georgia" w:cs="Georgia" w:eastAsia="Georgia" w:hAnsi="Georgia"/>
          <w:sz w:val="22"/>
          <w:szCs w:val="22"/>
        </w:rPr>
        <w:t xml:space="preserve"> The project doctrine, CLAUDE.md section 2, states the mechanism as a chain: weapon capital-intensity, then permanent finance, then administrative capacity, then suppression of intermediate authorities. "Administrative capacity" is not defined. Three sentences in the chapters lean on the unglossed term. Chapter 10, section III, calls the French 1440s "the coupling's first full demonstration", and section VII calls the settlement "the template Europe copied for three centuries". Chapter 11, section II, opens the Italian descent of 1494 as "The first continental adventure of the completed fiscal-military state". Chapter 5, section VI, says that with the French settlement "the problem ended".</w:t>
      </w:r>
    </w:p>
    <w:p>
      <w:pPr>
        <w:spacing w:after="150" w:line="290"/>
      </w:pPr>
      <w:r>
        <w:rPr>
          <w:rFonts w:ascii="Georgia" w:cs="Georgia" w:eastAsia="Georgia" w:hAnsi="Georgia"/>
          <w:sz w:val="22"/>
          <w:szCs w:val="22"/>
        </w:rPr>
        <w:t xml:space="preserve">Glete and Ertman each take one of these apart. Glete is the authority for the very term "fiscal-military state" that Chapter 10 projects back onto the 1440s, and he denies it to them: the type was "practically unknown in 1500" (p. 41), the period 1480–1560 was "largely an embryo" (p. 21), and "the early but very limited permanent French forces practically disappeared in the long civil war period (1562–98)" (p. 39), the decisive French change coming under Colbert in the 1660s. Ertman takes the 1494 army apart by the numbers: it "numbered no more than 20,000 combatants, and was thus smaller than many of the armies assembled during the Hundred Years War" (pp. 94–95); the standing companies supplied only the cavalry, a quarter to a third of the whole; the infantry was Swiss and German by contract "right down to 1558, when they still supplied 21,000 men out of a total infantry contingent of about 40,000"; and even the companies were already patronage assets, each "controlled and commanded by the local royal governor, almost always a member of a prominent magnate family" (p. 94).</w:t>
      </w:r>
    </w:p>
    <w:p>
      <w:pPr>
        <w:spacing w:after="150" w:line="290"/>
      </w:pPr>
      <w:r>
        <w:rPr>
          <w:rFonts w:ascii="Georgia" w:cs="Georgia" w:eastAsia="Georgia" w:hAnsi="Georgia"/>
          <w:sz w:val="22"/>
          <w:szCs w:val="22"/>
        </w:rPr>
        <w:t xml:space="preserve">Ertman's larger point is about the third link. Venality — the sale of public office, and the treatment of office as heritable property — was built into the French settlement from the start: "the administration of 15th-century France, whether central or local, judicial or financial, was dotted with clans and dynasties of officials who treated their offices as their own property" (p. 81). The price of France's early consolidation was "a substantial loss of effective control to proprietary officeholders, tax farmers, and officeholder-financiers who viewed the state not only as an instrument of princely power but also as a source of income and social standing" (p. 28), and after 1494 war "inevitably led to a massive increase in the role played by private finance, proprietary officeholding, and military entrepreneurship" (p. 91). The German princes who later copied the French offices were "fully aware of the French system of venalité des offices and determined to avoid it" (p. 244). His verdict on the chain is flat: war "certainly encouraged neither rationalization in the Weberian sense nor the creation of proto-modern institutions" (p. 154) — Weberian meaning the salaried, rule-bound, impersonal bureaucracy Max Weber described.</w:t>
      </w:r>
    </w:p>
    <w:p>
      <w:pPr>
        <w:spacing w:after="150" w:line="290"/>
      </w:pPr>
      <w:r>
        <w:rPr>
          <w:rFonts w:ascii="Georgia" w:cs="Georgia" w:eastAsia="Georgia" w:hAnsi="Georgia"/>
          <w:b/>
          <w:bCs/>
          <w:sz w:val="22"/>
          <w:szCs w:val="22"/>
        </w:rPr>
        <w:t xml:space="preserve">Why it matters.</w:t>
      </w:r>
      <w:r>
        <w:rPr>
          <w:rFonts w:ascii="Georgia" w:cs="Georgia" w:eastAsia="Georgia" w:hAnsi="Georgia"/>
          <w:sz w:val="22"/>
          <w:szCs w:val="22"/>
        </w:rPr>
        <w:t xml:space="preserve"> This is a large point in doctrine and a small one in words. If "administrative capacity" is read as Weberian rationalisation, Ertman refutes the third link in one sentence, and his France — magnates subordinated, apparatus lost — becomes a standing rebuttal. If it is read as the capacity to assess, collect and pay at campaign tempo — the account books of Chapter 10, section IV — and if the subordination claimed is of armed intermediaries, then his officeholders, who were unarmed, do not touch it. The concession has a price worth paying and a gain worth having: the settlement bred a new rent-taking stratum, and the officeholder-financier lending the crown its own revenue is the nearest fifteenth-century form to the platform that licenses its stack to the state and lends against the contract, which is a prediction Chapter 12 should be making anyway.</w:t>
      </w:r>
    </w:p>
    <w:p>
      <w:pPr>
        <w:spacing w:after="150" w:line="290"/>
      </w:pPr>
      <w:r>
        <w:rPr>
          <w:rFonts w:ascii="Georgia" w:cs="Georgia" w:eastAsia="Georgia" w:hAnsi="Georgia"/>
          <w:b/>
          <w:bCs/>
          <w:sz w:val="22"/>
          <w:szCs w:val="22"/>
        </w:rPr>
        <w:t xml:space="preserve">Your choices.</w:t>
      </w:r>
      <w:r>
        <w:rPr>
          <w:rFonts w:ascii="Georgia" w:cs="Georgia" w:eastAsia="Georgia" w:hAnsi="Georgia"/>
          <w:sz w:val="22"/>
          <w:szCs w:val="22"/>
        </w:rPr>
        <w:t xml:space="preserve"> Choice A glosses the term and admits the defect. CLAUDE.md section 2 gains the one-word gloss — administrative capacity means collecting capacity — and states that the fourth link is the subordination of armed intermediaries. Chapter 10, section III, meets Glete's clock by name, calling the 1440s the first complete run of the coupling rather than the first fiscal-military state on his yardstick, conceding 1562–98, and entering venality as a stated defect of the settlement; section VII narrows "template" to the offices copied and the venality refused. Chapter 11 cuts "completed" and carries Ertman's twenty thousand, the Swiss and the magnate governors in a subordinate clause. Chapter 5 says the problem "ended in its armed form", naming the venal stratum and the governors' companies as what the French answer bred — which Chapter 10's critiques file already records, so leaving Chapter 5 unqualified is an internal inconsistency. The cost is a doctrine line, one adjective, two confident phrases and a paragraph. It buys immunity from the rival's best cut, and a defect that Part III can turn into a prediction. Choice B leaves the chain unglossed and the sentences as they stand. The doctrine keeps its compression and the chapters their confidence; the book's own shorthand then invites the Weberian reading its principal administrative rival demolishes, and the defence that the book never meant that is worth nothing until it is written down.</w:t>
      </w:r>
    </w:p>
    <w:p>
      <w:pPr>
        <w:spacing w:after="150" w:line="290"/>
      </w:pPr>
      <w:r>
        <w:rPr>
          <w:rFonts w:ascii="Georgia" w:cs="Georgia" w:eastAsia="Georgia" w:hAnsi="Georgia"/>
          <w:b/>
          <w:bCs/>
          <w:sz w:val="22"/>
          <w:szCs w:val="22"/>
        </w:rPr>
        <w:t xml:space="preserve">My view.</w:t>
      </w:r>
      <w:r>
        <w:rPr>
          <w:rFonts w:ascii="Georgia" w:cs="Georgia" w:eastAsia="Georgia" w:hAnsi="Georgia"/>
          <w:sz w:val="22"/>
          <w:szCs w:val="22"/>
        </w:rPr>
        <w:t xml:space="preserve"> Choice A, because it is a clarification of what the book already claims rather than a retreat, and the venality material is a genuine gain rather than a concession.</w:t>
      </w:r>
    </w:p>
    <w:p>
      <w:pPr>
        <w:pBdr>
          <w:top w:val="single" w:color="C9A227" w:sz="6"/>
          <w:left w:val="single" w:color="C9A227" w:sz="6"/>
          <w:right w:val="single" w:color="C9A227" w:sz="6"/>
        </w:pBdr>
        <w:shd w:fill="FFF4D6" w:color="auto" w:val="clear"/>
        <w:spacing w:after="60" w:before="200"/>
      </w:pPr>
      <w:r>
        <w:rPr>
          <w:rFonts w:ascii="Georgia" w:cs="Georgia" w:eastAsia="Georgia" w:hAnsi="Georgia"/>
          <w:b/>
          <w:bCs/>
          <w:color w:val="8A6D00"/>
          <w:sz w:val="23"/>
          <w:szCs w:val="23"/>
        </w:rPr>
        <w:t xml:space="preserve">YOUR RULING:  </w:t>
      </w:r>
    </w:p>
    <w:p>
      <w:pPr>
        <w:pBdr>
          <w:left w:val="single" w:color="C9A227" w:sz="6"/>
          <w:right w:val="single" w:color="C9A227" w:sz="6"/>
        </w:pBdr>
        <w:shd w:fill="FFF4D6" w:color="auto" w:val="clear"/>
        <w:spacing w:after="40"/>
      </w:pPr>
      <w:r>
        <w:rPr>
          <w:sz w:val="22"/>
          <w:szCs w:val="22"/>
        </w:rPr>
        <w:t xml:space="preserve"> </w:t>
      </w:r>
    </w:p>
    <w:p>
      <w:pPr>
        <w:pBdr>
          <w:left w:val="single" w:color="C9A227" w:sz="6"/>
          <w:right w:val="single" w:color="C9A227" w:sz="6"/>
        </w:pBdr>
        <w:shd w:fill="FFF4D6" w:color="auto" w:val="clear"/>
        <w:spacing w:after="40"/>
      </w:pPr>
      <w:r>
        <w:rPr>
          <w:sz w:val="22"/>
          <w:szCs w:val="22"/>
        </w:rPr>
        <w:t xml:space="preserve"> </w:t>
      </w:r>
    </w:p>
    <w:p>
      <w:pPr>
        <w:pBdr>
          <w:bottom w:val="single" w:color="C9A227" w:sz="6"/>
          <w:left w:val="single" w:color="C9A227" w:sz="6"/>
          <w:right w:val="single" w:color="C9A227" w:sz="6"/>
        </w:pBdr>
        <w:shd w:fill="FFF4D6" w:color="auto" w:val="clear"/>
        <w:spacing w:after="60"/>
      </w:pPr>
      <w:r>
        <w:rPr>
          <w:sz w:val="22"/>
          <w:szCs w:val="22"/>
        </w:rPr>
        <w:t xml:space="preserve"> </w:t>
      </w:r>
    </w:p>
    <w:p>
      <w:pPr>
        <w:pStyle w:val="Heading1"/>
        <w:pageBreakBefore/>
        <w:spacing w:after="200" w:before="0"/>
      </w:pPr>
      <w:r>
        <w:rPr>
          <w:rFonts w:ascii="Georgia" w:cs="Georgia" w:eastAsia="Georgia" w:hAnsi="Georgia"/>
          <w:b/>
          <w:bCs/>
          <w:color w:val="1F3864"/>
          <w:sz w:val="32"/>
          <w:szCs w:val="32"/>
        </w:rPr>
        <w:t xml:space="preserve">Part Four — Spain and China</w:t>
      </w:r>
    </w:p>
    <w:p>
      <w:pPr>
        <w:pStyle w:val="Heading2"/>
        <w:spacing w:after="120" w:before="260"/>
      </w:pPr>
      <w:r>
        <w:rPr>
          <w:rFonts w:ascii="Georgia" w:cs="Georgia" w:eastAsia="Georgia" w:hAnsi="Georgia"/>
          <w:b/>
          <w:bCs/>
          <w:color w:val="1F3864"/>
          <w:sz w:val="25"/>
          <w:szCs w:val="25"/>
        </w:rPr>
        <w:t xml:space="preserve">Decision 15 — Spain: which intermediaries Castile actually subordinated</w:t>
      </w:r>
    </w:p>
    <w:p>
      <w:pPr>
        <w:spacing w:after="140"/>
      </w:pPr>
      <w:r>
        <w:rPr>
          <w:rFonts w:ascii="Georgia" w:cs="Georgia" w:eastAsia="Georgia" w:hAnsi="Georgia"/>
          <w:i/>
          <w:iCs/>
          <w:color w:val="777777"/>
          <w:sz w:val="19"/>
          <w:szCs w:val="19"/>
        </w:rPr>
        <w:t xml:space="preserve">Covers rows: (dd), (hh), (ttt)</w:t>
      </w:r>
    </w:p>
    <w:p>
      <w:pPr>
        <w:spacing w:after="150" w:line="290"/>
      </w:pPr>
      <w:r>
        <w:rPr>
          <w:rFonts w:ascii="Georgia" w:cs="Georgia" w:eastAsia="Georgia" w:hAnsi="Georgia"/>
          <w:b/>
          <w:bCs/>
          <w:sz w:val="22"/>
          <w:szCs w:val="22"/>
        </w:rPr>
        <w:t xml:space="preserve">The background.</w:t>
      </w:r>
      <w:r>
        <w:rPr>
          <w:rFonts w:ascii="Georgia" w:cs="Georgia" w:eastAsia="Georgia" w:hAnsi="Georgia"/>
          <w:sz w:val="22"/>
          <w:szCs w:val="22"/>
        </w:rPr>
        <w:t xml:space="preserve"> Chapter 11, section III, states that the Spanish settlement subordinated "the intermediaries of the core" — that is, the lords, orders and cities of Castile itself, the rest of the composite monarchy being ruled by contract. It does not distinguish between kinds of intermediary. Chapter 8, section VII, separately claims that the English sequence of ranking the courts and subordinating rival jurisdictions happened "nowhere else", and carries a sentence on Spain without dates.</w:t>
      </w:r>
    </w:p>
    <w:p>
      <w:pPr>
        <w:spacing w:after="150" w:line="290"/>
      </w:pPr>
      <w:r>
        <w:rPr>
          <w:rFonts w:ascii="Georgia" w:cs="Georgia" w:eastAsia="Georgia" w:hAnsi="Georgia"/>
          <w:sz w:val="22"/>
          <w:szCs w:val="22"/>
        </w:rPr>
        <w:t xml:space="preserve">Jan Glete, a Swedish historian of early-modern navies and armies, wrote </w:t>
      </w:r>
      <w:r>
        <w:rPr>
          <w:rFonts w:ascii="Georgia" w:cs="Georgia" w:eastAsia="Georgia" w:hAnsi="Georgia"/>
          <w:i/>
          <w:iCs/>
          <w:sz w:val="22"/>
          <w:szCs w:val="22"/>
        </w:rPr>
        <w:t xml:space="preserve">War and the State in Early Modern Europe</w:t>
      </w:r>
      <w:r>
        <w:rPr>
          <w:rFonts w:ascii="Georgia" w:cs="Georgia" w:eastAsia="Georgia" w:hAnsi="Georgia"/>
          <w:sz w:val="22"/>
          <w:szCs w:val="22"/>
        </w:rPr>
        <w:t xml:space="preserve"> (2002), a comparative study of Spain, the Dutch Republic and Sweden. It is a T2 source — the book's label for canonical scholarship, as against T1 for primary documents. Glete confirms every armed limb of your claim. In the war for Granada "Much of the war effort was paid for by taxes to the state, not by the participants" (p. 75); "Private armies as instruments of aristocratic factionalism ceased to be important after this war, and the noblemen's castles had become vulnerable to the rulers' new siege artillery" (p. 75); the hermandad, the towns' own policing force, was "abolished in 1498" (p. 75); and the military orders were "permanently incorporated into the crown in 1523, a change that eliminated autonomous military structures" (p. 76). But the fiscal limb runs the other way. The millones, a new tax agreed in 1590, was raised by "the cities represented in the Cortes … on their own", so that "the local elites took control of essential parts of the tax administration" (p. 122); "In the early 1620s, the crown tried to change the tax into a permanent obligation to maintain 30,000 soldiers, but that was denied" (p. 122); there are "few signs of deep penetration of a royal bureaucracy into local communities" (p. 138); and those elites eventually "had gained the power to dismantle large parts of the Spanish fiscal-military state" (p. 126).</w:t>
      </w:r>
    </w:p>
    <w:p>
      <w:pPr>
        <w:spacing w:after="150" w:line="290"/>
      </w:pPr>
      <w:r>
        <w:rPr>
          <w:rFonts w:ascii="Georgia" w:cs="Georgia" w:eastAsia="Georgia" w:hAnsi="Georgia"/>
          <w:sz w:val="22"/>
          <w:szCs w:val="22"/>
        </w:rPr>
        <w:t xml:space="preserve">David Stasavage, an American political scientist, supplies the constitutional sequel in </w:t>
      </w:r>
      <w:r>
        <w:rPr>
          <w:rFonts w:ascii="Georgia" w:cs="Georgia" w:eastAsia="Georgia" w:hAnsi="Georgia"/>
          <w:i/>
          <w:iCs/>
          <w:sz w:val="22"/>
          <w:szCs w:val="22"/>
        </w:rPr>
        <w:t xml:space="preserve">States of Credit</w:t>
      </w:r>
      <w:r>
        <w:rPr>
          <w:rFonts w:ascii="Georgia" w:cs="Georgia" w:eastAsia="Georgia" w:hAnsi="Georgia"/>
          <w:sz w:val="22"/>
          <w:szCs w:val="22"/>
        </w:rPr>
        <w:t xml:space="preserve"> (2011). The Cortes — the representative assembly of Castile — won consent, administration of the millones and audit powers, and then "the individual Castilian cities gradually lost control over their representatives", so that "the representatives failed to effectively use even those formal powers that they did have"; after 1665 "the monarchy did away with the institution entirely" (chapter 7). He compares "the Cortes of Castile in the seventeenth century to the Ugandan Parliament in the twenty-first" (chapter 8). This is a documented case of a body that kept its formal powers and lost its real ones, which is the exact shape of the "ornamental" settlement you ruled open two weeks ago.</w:t>
      </w:r>
    </w:p>
    <w:p>
      <w:pPr>
        <w:spacing w:after="150" w:line="290"/>
      </w:pPr>
      <w:r>
        <w:rPr>
          <w:rFonts w:ascii="Georgia" w:cs="Georgia" w:eastAsia="Georgia" w:hAnsi="Georgia"/>
          <w:sz w:val="22"/>
          <w:szCs w:val="22"/>
        </w:rPr>
        <w:t xml:space="preserve">On "nowhere else", Charles Tilly's disarmament chronology is plural and later: the Tudor programme is one case, Richelieu's is in the 1620s, and the Empire's follows 1648. Disarmament happened everywhere on different clocks; only the ranking of jurisdictions, in England between the 1470s and 1540s, has a claim to priority.</w:t>
      </w:r>
    </w:p>
    <w:p>
      <w:pPr>
        <w:spacing w:after="150" w:line="290"/>
      </w:pPr>
      <w:r>
        <w:rPr>
          <w:rFonts w:ascii="Georgia" w:cs="Georgia" w:eastAsia="Georgia" w:hAnsi="Georgia"/>
          <w:b/>
          <w:bCs/>
          <w:sz w:val="22"/>
          <w:szCs w:val="22"/>
        </w:rPr>
        <w:t xml:space="preserve">Why it matters.</w:t>
      </w:r>
      <w:r>
        <w:rPr>
          <w:rFonts w:ascii="Georgia" w:cs="Georgia" w:eastAsia="Georgia" w:hAnsi="Georgia"/>
          <w:sz w:val="22"/>
          <w:szCs w:val="22"/>
        </w:rPr>
        <w:t xml:space="preserve"> This is an accuracy point before it is a rhetorical one, and it is a large one. As written, Chapter 11's unqualified claim is simply false of Castile's fiscal intermediaries, and a reviewer who has read Glete will find the falsity in two pages. Stated with the split, Spain becomes evidence for your two-variable finding — armed intermediaries subordinated, the fisc never made permanent, decisive force fielded for a century and a half and then not sustained — which is the Burgundy finding of Chapter 10 at imperial scale. The "nowhere else" claim in Chapter 8 is a smaller exposure but the same kind: an absolute that one paragraph of Tilly contradicts.</w:t>
      </w:r>
    </w:p>
    <w:p>
      <w:pPr>
        <w:spacing w:after="150" w:line="290"/>
      </w:pPr>
      <w:r>
        <w:rPr>
          <w:rFonts w:ascii="Georgia" w:cs="Georgia" w:eastAsia="Georgia" w:hAnsi="Georgia"/>
          <w:b/>
          <w:bCs/>
          <w:sz w:val="22"/>
          <w:szCs w:val="22"/>
        </w:rPr>
        <w:t xml:space="preserve">Your choices.</w:t>
      </w:r>
      <w:r>
        <w:rPr>
          <w:rFonts w:ascii="Georgia" w:cs="Georgia" w:eastAsia="Georgia" w:hAnsi="Georgia"/>
          <w:sz w:val="22"/>
          <w:szCs w:val="22"/>
        </w:rPr>
        <w:t xml:space="preserve"> Choice A is to adopt the split, narrow "nowhere else", and give the Cortes portrait to Chapter 12. Chapter 11 gains a qualifying sentence naming Glete and distinguishing the armed intermediaries (orders, castles, private armies) from the fiscal ones (the Cortes cities collecting the millones on their own account), plus a half-sentence naming the Cortes as the intermediary Castile did not subordinate; the full portrait — powers kept, control lost, abolition in 1665 — goes whole into Chapter 12, where the constitutional form of the settlement is scored and where a documented historical case outweighs any modern indicator. Chapter 8's "nowhere else" becomes a claim about jurisdiction only, and its Spanish sentence gets Glete's dates. The cost is perhaps eighty words in Chapter 11 and a slight loss of pace; the gain is that the reviewer's objection becomes the chapter's own finding.</w:t>
      </w:r>
    </w:p>
    <w:p>
      <w:pPr>
        <w:spacing w:after="150" w:line="290"/>
      </w:pPr>
      <w:r>
        <w:rPr>
          <w:rFonts w:ascii="Georgia" w:cs="Georgia" w:eastAsia="Georgia" w:hAnsi="Georgia"/>
          <w:sz w:val="22"/>
          <w:szCs w:val="22"/>
        </w:rPr>
        <w:t xml:space="preserve">Choice B is the same split and the same narrowing, but with the Cortes portrait placed in Chapter 11, section III, at the moment the subordination story is told. This is honest and plants Chapter 12's question early. The risk is that section III already carries the armed-versus-fiscal refinement, and a second Cortes passage there reads as the same point made twice; Chapter 12 then has to repeat or back-reference it.</w:t>
      </w:r>
    </w:p>
    <w:p>
      <w:pPr>
        <w:spacing w:after="150" w:line="290"/>
      </w:pPr>
      <w:r>
        <w:rPr>
          <w:rFonts w:ascii="Georgia" w:cs="Georgia" w:eastAsia="Georgia" w:hAnsi="Georgia"/>
          <w:sz w:val="22"/>
          <w:szCs w:val="22"/>
        </w:rPr>
        <w:t xml:space="preserve">Choice C is to keep the unqualified formulation and the absolute in Chapter 8. Nothing changes and the paragraphs stay clean. Glete's pages 122 and 126 are then available to any hostile reader as a straightforward factual correction, and the book forfeits a case it could have claimed.</w:t>
      </w:r>
    </w:p>
    <w:p>
      <w:pPr>
        <w:spacing w:after="150" w:line="290"/>
      </w:pPr>
      <w:r>
        <w:rPr>
          <w:rFonts w:ascii="Georgia" w:cs="Georgia" w:eastAsia="Georgia" w:hAnsi="Georgia"/>
          <w:b/>
          <w:bCs/>
          <w:sz w:val="22"/>
          <w:szCs w:val="22"/>
        </w:rPr>
        <w:t xml:space="preserve">My view.</w:t>
      </w:r>
      <w:r>
        <w:rPr>
          <w:rFonts w:ascii="Georgia" w:cs="Georgia" w:eastAsia="Georgia" w:hAnsi="Georgia"/>
          <w:sz w:val="22"/>
          <w:szCs w:val="22"/>
        </w:rPr>
        <w:t xml:space="preserve"> Choice A, because it is the rare refinement that makes the argument more precise and more favourable at the same time, and keeping the portrait whole in one place stops the book saying the same thing twice.</w:t>
      </w:r>
    </w:p>
    <w:p>
      <w:pPr>
        <w:pBdr>
          <w:top w:val="single" w:color="C9A227" w:sz="6"/>
          <w:left w:val="single" w:color="C9A227" w:sz="6"/>
          <w:right w:val="single" w:color="C9A227" w:sz="6"/>
        </w:pBdr>
        <w:shd w:fill="FFF4D6" w:color="auto" w:val="clear"/>
        <w:spacing w:after="60" w:before="200"/>
      </w:pPr>
      <w:r>
        <w:rPr>
          <w:rFonts w:ascii="Georgia" w:cs="Georgia" w:eastAsia="Georgia" w:hAnsi="Georgia"/>
          <w:b/>
          <w:bCs/>
          <w:color w:val="8A6D00"/>
          <w:sz w:val="23"/>
          <w:szCs w:val="23"/>
        </w:rPr>
        <w:t xml:space="preserve">YOUR RULING:  </w:t>
      </w:r>
    </w:p>
    <w:p>
      <w:pPr>
        <w:pBdr>
          <w:left w:val="single" w:color="C9A227" w:sz="6"/>
          <w:right w:val="single" w:color="C9A227" w:sz="6"/>
        </w:pBdr>
        <w:shd w:fill="FFF4D6" w:color="auto" w:val="clear"/>
        <w:spacing w:after="40"/>
      </w:pPr>
      <w:r>
        <w:rPr>
          <w:sz w:val="22"/>
          <w:szCs w:val="22"/>
        </w:rPr>
        <w:t xml:space="preserve"> </w:t>
      </w:r>
    </w:p>
    <w:p>
      <w:pPr>
        <w:pBdr>
          <w:left w:val="single" w:color="C9A227" w:sz="6"/>
          <w:right w:val="single" w:color="C9A227" w:sz="6"/>
        </w:pBdr>
        <w:shd w:fill="FFF4D6" w:color="auto" w:val="clear"/>
        <w:spacing w:after="40"/>
      </w:pPr>
      <w:r>
        <w:rPr>
          <w:sz w:val="22"/>
          <w:szCs w:val="22"/>
        </w:rPr>
        <w:t xml:space="preserve"> </w:t>
      </w:r>
    </w:p>
    <w:p>
      <w:pPr>
        <w:pBdr>
          <w:bottom w:val="single" w:color="C9A227" w:sz="6"/>
          <w:left w:val="single" w:color="C9A227" w:sz="6"/>
          <w:right w:val="single" w:color="C9A227" w:sz="6"/>
        </w:pBdr>
        <w:shd w:fill="FFF4D6" w:color="auto" w:val="clear"/>
        <w:spacing w:after="60"/>
      </w:pPr>
      <w:r>
        <w:rPr>
          <w:sz w:val="22"/>
          <w:szCs w:val="22"/>
        </w:rPr>
        <w:t xml:space="preserve"> </w:t>
      </w:r>
    </w:p>
    <w:p>
      <w:pPr>
        <w:pStyle w:val="Heading2"/>
        <w:spacing w:after="120" w:before="260"/>
      </w:pPr>
      <w:r>
        <w:rPr>
          <w:rFonts w:ascii="Georgia" w:cs="Georgia" w:eastAsia="Georgia" w:hAnsi="Georgia"/>
          <w:b/>
          <w:bCs/>
          <w:color w:val="1F3864"/>
          <w:sz w:val="25"/>
          <w:szCs w:val="25"/>
        </w:rPr>
        <w:t xml:space="preserve">Decision 16 — China: the verdict layer by layer, and the word "fusion"</w:t>
      </w:r>
    </w:p>
    <w:p>
      <w:pPr>
        <w:spacing w:after="140"/>
      </w:pPr>
      <w:r>
        <w:rPr>
          <w:rFonts w:ascii="Georgia" w:cs="Georgia" w:eastAsia="Georgia" w:hAnsi="Georgia"/>
          <w:i/>
          <w:iCs/>
          <w:color w:val="777777"/>
          <w:sz w:val="19"/>
          <w:szCs w:val="19"/>
        </w:rPr>
        <w:t xml:space="preserve">Covers rows: (kk), (yy), (zz)</w:t>
      </w:r>
    </w:p>
    <w:p>
      <w:pPr>
        <w:spacing w:after="150" w:line="290"/>
      </w:pPr>
      <w:r>
        <w:rPr>
          <w:rFonts w:ascii="Georgia" w:cs="Georgia" w:eastAsia="Georgia" w:hAnsi="Georgia"/>
          <w:b/>
          <w:bCs/>
          <w:sz w:val="22"/>
          <w:szCs w:val="22"/>
        </w:rPr>
        <w:t xml:space="preserve">The background.</w:t>
      </w:r>
      <w:r>
        <w:rPr>
          <w:rFonts w:ascii="Georgia" w:cs="Georgia" w:eastAsia="Georgia" w:hAnsi="Georgia"/>
          <w:sz w:val="22"/>
          <w:szCs w:val="22"/>
        </w:rPr>
        <w:t xml:space="preserve"> Chapter 12, section IV, says that "China is the furthest along … the fused-ownership absorption mode", and the same vocabulary of "fused" and "fusion" recurs in Chapter 2, Chapter 4 ("the Chinese fused model of Chapter 2"), Chapter 11 and Appendix C. Chapter 2, section III, dates the Chinese case by its most visible event: "The demonstration was the crackdown of 2020–21". Chapter 12, section III, describes the absorbed platform's legal form as "operative but never invested". The spine — the book's internal doctrine document, which records your rulings and licenses sentences for use anywhere in the manuscript — currently ranks China first and calls its settlement "substantially executed".</w:t>
      </w:r>
    </w:p>
    <w:p>
      <w:pPr>
        <w:spacing w:after="150" w:line="290"/>
      </w:pPr>
      <w:r>
        <w:rPr>
          <w:rFonts w:ascii="Georgia" w:cs="Georgia" w:eastAsia="Georgia" w:hAnsi="Georgia"/>
          <w:sz w:val="22"/>
          <w:szCs w:val="22"/>
        </w:rPr>
        <w:t xml:space="preserve">Tai Ming Cheung, a scholar of the Chinese defence industry, published </w:t>
      </w:r>
      <w:r>
        <w:rPr>
          <w:rFonts w:ascii="Georgia" w:cs="Georgia" w:eastAsia="Georgia" w:hAnsi="Georgia"/>
          <w:i/>
          <w:iCs/>
          <w:sz w:val="22"/>
          <w:szCs w:val="22"/>
        </w:rPr>
        <w:t xml:space="preserve">Innovate to Dominate</w:t>
      </w:r>
      <w:r>
        <w:rPr>
          <w:rFonts w:ascii="Georgia" w:cs="Georgia" w:eastAsia="Georgia" w:hAnsi="Georgia"/>
          <w:sz w:val="22"/>
          <w:szCs w:val="22"/>
        </w:rPr>
        <w:t xml:space="preserve"> (2022), the one full scholarly account of the Chinese defence-industrial stack as a state project. His verdict on the move that puts private capability into the decisive stack is the reverse of the draft's. Military-civil fusion's twenty years are "an underwhelming achievement" (p. 116); "Hybridization has yet to make a significant impact on the Chinese techno-security state" (p. 295); "the public sector will remain the dominant player with the private sector limited to a minor role" (p. 298). The obstruction is domestic and privileged — "two hot ends but a cold middle" (p. 97) — and the state-owned defence monopolies "have so far successfully limited meaningful implementation of these market-opening measures" (p. 172). Private firms enter only by licence, and "The big state-owned defense firms have maintained an iron grip on licenses" at the top category (pp. 114–15); the roughly three thousand firms recruited into the acquisition system are "a participation rate of just 2.3 percent" of 130,000 technology firms (p. 116). Foreign dependence is a standing condition: "China seeks long-term technological self-reliance but is heavily dependent on foreign technology and know-how in the meantime" (p. 298).</w:t>
      </w:r>
    </w:p>
    <w:p>
      <w:pPr>
        <w:spacing w:after="150" w:line="290"/>
      </w:pPr>
      <w:r>
        <w:rPr>
          <w:rFonts w:ascii="Georgia" w:cs="Georgia" w:eastAsia="Georgia" w:hAnsi="Georgia"/>
          <w:sz w:val="22"/>
          <w:szCs w:val="22"/>
        </w:rPr>
        <w:t xml:space="preserve">There is a second problem with the word itself. In China, "fusion" is a term of art: military-civil fusion, 军民融合, has been a national strategy since March 2015, with its own commission and its own outline document (pp. 51, 89, 94), and Cheung rates it early-stage. Your book uses "fusion" to mean something quite different — platforms ruled as departments of the party-state. A China-literate reviewer will read your "fusion" as his, check Cheung, and find the book apparently claiming as accomplished the very programme its cited authority rates as barely begun.</w:t>
      </w:r>
    </w:p>
    <w:p>
      <w:pPr>
        <w:spacing w:after="150" w:line="290"/>
      </w:pPr>
      <w:r>
        <w:rPr>
          <w:rFonts w:ascii="Georgia" w:cs="Georgia" w:eastAsia="Georgia" w:hAnsi="Georgia"/>
          <w:sz w:val="22"/>
          <w:szCs w:val="22"/>
        </w:rPr>
        <w:t xml:space="preserve">Two further rows concern dates. Jack Goldsmith and Tim Wu, in </w:t>
      </w:r>
      <w:r>
        <w:rPr>
          <w:rFonts w:ascii="Georgia" w:cs="Georgia" w:eastAsia="Georgia" w:hAnsi="Georgia"/>
          <w:i/>
          <w:iCs/>
          <w:sz w:val="22"/>
          <w:szCs w:val="22"/>
        </w:rPr>
        <w:t xml:space="preserve">Who Controls the Internet?</w:t>
      </w:r>
      <w:r>
        <w:rPr>
          <w:rFonts w:ascii="Georgia" w:cs="Georgia" w:eastAsia="Georgia" w:hAnsi="Georgia"/>
          <w:sz w:val="22"/>
          <w:szCs w:val="22"/>
        </w:rPr>
        <w:t xml:space="preserve"> (2006), date the first instrument of platform discipline to 2002, when Yahoo "signed a document called the Public Pledge on Self-Discipline for the Chinese Internet Industry in which it promised to 'inspect and monitor the information on domestic and foreign Websites'" (p. 9), and "major commercial operators like Yahoo agreed in 2002 to a binding 'self-discipline pact'" (p. 96). The foreign firms were subordinated by pact two decades before the domestic ones were disciplined by fine. The same book supplies what Chapter 2 currently lacks: a documented internet instance of the investiture question, which in the book's medieval usage means who holds the title to an office as against who merely exercises it. In 1995 Robert Aiken asked verbatim "IS ISOC claiming that it has jurisdiction and overall responsibility for the [Internet] top level address and name space… if NO then who does own it?" (p. 37); Jon Postel split the root on 28 January 1998 and was stopped by Ira Magaziner's telephone call — "Jon, you don't have the legal right to conduct a test" (p. 46) — and thereafter root authority "has remained, without exception, in the hands of the U.S. government". The United States "never actually ceded control over either ICANN or the root" (p. 169). The row calls ICANN "the Sforza form", after Francesco Sforza, the hired captain who took Milan in 1450: the label for an operator who runs the function without holding the title. ICANN is the case where the operator ran it for a generation and the title never passed.</w:t>
      </w:r>
    </w:p>
    <w:p>
      <w:pPr>
        <w:spacing w:after="150" w:line="290"/>
      </w:pPr>
      <w:r>
        <w:rPr>
          <w:rFonts w:ascii="Georgia" w:cs="Georgia" w:eastAsia="Georgia" w:hAnsi="Georgia"/>
          <w:b/>
          <w:bCs/>
          <w:sz w:val="22"/>
          <w:szCs w:val="22"/>
        </w:rPr>
        <w:t xml:space="preserve">Why it matters.</w:t>
      </w:r>
      <w:r>
        <w:rPr>
          <w:rFonts w:ascii="Georgia" w:cs="Georgia" w:eastAsia="Georgia" w:hAnsi="Georgia"/>
          <w:sz w:val="22"/>
          <w:szCs w:val="22"/>
        </w:rPr>
        <w:t xml:space="preserve"> Two large things ride on this. The ranking touches the spine's central claims about which bloc is furthest along: "substantially executed" rests on the platform discipline and the legibility instruments, which Cheung does not cover, while his verdict concerns the defence-industrial stack, which the state never lost and never had to take back. The vocabulary is a different kind of risk — not a nuance but a false cognate, and a reviewer's note that writes itself. The dates and the root contest are smaller and are gains rather than corrections: a state that has been doing this since 2002 is better evidence than one that began in 2020, and the 1998 case gives Part I a documented instance where it now has an abstraction.</w:t>
      </w:r>
    </w:p>
    <w:p>
      <w:pPr>
        <w:spacing w:after="150" w:line="290"/>
      </w:pPr>
      <w:r>
        <w:rPr>
          <w:rFonts w:ascii="Georgia" w:cs="Georgia" w:eastAsia="Georgia" w:hAnsi="Georgia"/>
          <w:b/>
          <w:bCs/>
          <w:sz w:val="22"/>
          <w:szCs w:val="22"/>
        </w:rPr>
        <w:t xml:space="preserve">Your choices.</w:t>
      </w:r>
      <w:r>
        <w:rPr>
          <w:rFonts w:ascii="Georgia" w:cs="Georgia" w:eastAsia="Georgia" w:hAnsi="Georgia"/>
          <w:sz w:val="22"/>
          <w:szCs w:val="22"/>
        </w:rPr>
        <w:t xml:space="preserve"> Choice A is the full package. Chapter 12's Chinese verdict is rewritten layer by layer: executed at the canon (what may be said and hosted) and the register (who is who), inherited at the defence stack, unexecuted at the seam between the two, and dependent at the foreign chokepoint, with one clause naming the state's own defence monopolies as the over-mighty subjects the mechanism has not subordinated. "Fusion" is replaced wherever it names the platform mode — Chapter 2, Chapter 4, Chapter 11 and Appendix C — and reserved for the Chinese programme. Chapter 2 carries two dates, 2002 and 2020, and the root contest enters Chapter 2's investiture section with ICANN as the case where title never passed. The cost is a rewritten verdict sentence, four or five cross-chapter substitutions, the loss of a compact label, and a retrieval errand for the 1998 primary documents. It buys a verdict that survives the specialist, and a finding — that the Chinese state has subordinated the private barons and not its own state-owned ones — that the book can claim first.</w:t>
      </w:r>
    </w:p>
    <w:p>
      <w:pPr>
        <w:spacing w:after="150" w:line="290"/>
      </w:pPr>
      <w:r>
        <w:rPr>
          <w:rFonts w:ascii="Georgia" w:cs="Georgia" w:eastAsia="Georgia" w:hAnsi="Georgia"/>
          <w:sz w:val="22"/>
          <w:szCs w:val="22"/>
        </w:rPr>
        <w:t xml:space="preserve">Choice B is the rename and the dates only, keeping the undifferentiated ranking. The false cognate is removed and the sequence is honest, but the spine's "substantially executed" still stands over a defence stack its principal authority calls fragmented, and a reviewer will still ask how a settlement can be executed at the layer the state never lost.</w:t>
      </w:r>
    </w:p>
    <w:p>
      <w:pPr>
        <w:spacing w:after="150" w:line="290"/>
      </w:pPr>
      <w:r>
        <w:rPr>
          <w:rFonts w:ascii="Georgia" w:cs="Georgia" w:eastAsia="Georgia" w:hAnsi="Georgia"/>
          <w:sz w:val="22"/>
          <w:szCs w:val="22"/>
        </w:rPr>
        <w:t xml:space="preserve">Choice C is to keep "fused" and the single ranking. Nothing moves and the four-bloc casting keeps its cleanest instance. The book's strongest contemporary case is then stated in a form its own principal authority contradicts on two counts.</w:t>
      </w:r>
    </w:p>
    <w:p>
      <w:pPr>
        <w:spacing w:after="150" w:line="290"/>
      </w:pPr>
      <w:r>
        <w:rPr>
          <w:rFonts w:ascii="Georgia" w:cs="Georgia" w:eastAsia="Georgia" w:hAnsi="Georgia"/>
          <w:b/>
          <w:bCs/>
          <w:sz w:val="22"/>
          <w:szCs w:val="22"/>
        </w:rPr>
        <w:t xml:space="preserve">My view.</w:t>
      </w:r>
      <w:r>
        <w:rPr>
          <w:rFonts w:ascii="Georgia" w:cs="Georgia" w:eastAsia="Georgia" w:hAnsi="Georgia"/>
          <w:sz w:val="22"/>
          <w:szCs w:val="22"/>
        </w:rPr>
        <w:t xml:space="preserve"> Choice A, because the layer-by-layer verdict is the more interesting claim as well as the safer one; and if you take only half, take the rename, which is close to compulsory.</w:t>
      </w:r>
    </w:p>
    <w:p>
      <w:pPr>
        <w:pBdr>
          <w:top w:val="single" w:color="C9A227" w:sz="6"/>
          <w:left w:val="single" w:color="C9A227" w:sz="6"/>
          <w:right w:val="single" w:color="C9A227" w:sz="6"/>
        </w:pBdr>
        <w:shd w:fill="FFF4D6" w:color="auto" w:val="clear"/>
        <w:spacing w:after="60" w:before="200"/>
      </w:pPr>
      <w:r>
        <w:rPr>
          <w:rFonts w:ascii="Georgia" w:cs="Georgia" w:eastAsia="Georgia" w:hAnsi="Georgia"/>
          <w:b/>
          <w:bCs/>
          <w:color w:val="8A6D00"/>
          <w:sz w:val="23"/>
          <w:szCs w:val="23"/>
        </w:rPr>
        <w:t xml:space="preserve">YOUR RULING:  </w:t>
      </w:r>
    </w:p>
    <w:p>
      <w:pPr>
        <w:pBdr>
          <w:left w:val="single" w:color="C9A227" w:sz="6"/>
          <w:right w:val="single" w:color="C9A227" w:sz="6"/>
        </w:pBdr>
        <w:shd w:fill="FFF4D6" w:color="auto" w:val="clear"/>
        <w:spacing w:after="40"/>
      </w:pPr>
      <w:r>
        <w:rPr>
          <w:sz w:val="22"/>
          <w:szCs w:val="22"/>
        </w:rPr>
        <w:t xml:space="preserve"> </w:t>
      </w:r>
    </w:p>
    <w:p>
      <w:pPr>
        <w:pBdr>
          <w:left w:val="single" w:color="C9A227" w:sz="6"/>
          <w:right w:val="single" w:color="C9A227" w:sz="6"/>
        </w:pBdr>
        <w:shd w:fill="FFF4D6" w:color="auto" w:val="clear"/>
        <w:spacing w:after="40"/>
      </w:pPr>
      <w:r>
        <w:rPr>
          <w:sz w:val="22"/>
          <w:szCs w:val="22"/>
        </w:rPr>
        <w:t xml:space="preserve"> </w:t>
      </w:r>
    </w:p>
    <w:p>
      <w:pPr>
        <w:pBdr>
          <w:bottom w:val="single" w:color="C9A227" w:sz="6"/>
          <w:left w:val="single" w:color="C9A227" w:sz="6"/>
          <w:right w:val="single" w:color="C9A227" w:sz="6"/>
        </w:pBdr>
        <w:shd w:fill="FFF4D6" w:color="auto" w:val="clear"/>
        <w:spacing w:after="60"/>
      </w:pPr>
      <w:r>
        <w:rPr>
          <w:sz w:val="22"/>
          <w:szCs w:val="22"/>
        </w:rPr>
        <w:t xml:space="preserve"> </w:t>
      </w:r>
    </w:p>
    <w:p>
      <w:pPr>
        <w:pStyle w:val="Heading1"/>
        <w:pageBreakBefore/>
        <w:spacing w:after="200" w:before="0"/>
      </w:pPr>
      <w:r>
        <w:rPr>
          <w:rFonts w:ascii="Georgia" w:cs="Georgia" w:eastAsia="Georgia" w:hAnsi="Georgia"/>
          <w:b/>
          <w:bCs/>
          <w:color w:val="1F3864"/>
          <w:sz w:val="32"/>
          <w:szCs w:val="32"/>
        </w:rPr>
        <w:t xml:space="preserve">Part Five — Words the book has borrowed</w:t>
      </w:r>
    </w:p>
    <w:p>
      <w:pPr>
        <w:pStyle w:val="Heading2"/>
        <w:spacing w:after="120" w:before="260"/>
      </w:pPr>
      <w:r>
        <w:rPr>
          <w:rFonts w:ascii="Georgia" w:cs="Georgia" w:eastAsia="Georgia" w:hAnsi="Georgia"/>
          <w:b/>
          <w:bCs/>
          <w:color w:val="1F3864"/>
          <w:sz w:val="25"/>
          <w:szCs w:val="25"/>
        </w:rPr>
        <w:t xml:space="preserve">Decision 17 — The word "exclusive"</w:t>
      </w:r>
    </w:p>
    <w:p>
      <w:pPr>
        <w:spacing w:after="140"/>
      </w:pPr>
      <w:r>
        <w:rPr>
          <w:rFonts w:ascii="Georgia" w:cs="Georgia" w:eastAsia="Georgia" w:hAnsi="Georgia"/>
          <w:i/>
          <w:iCs/>
          <w:color w:val="777777"/>
          <w:sz w:val="19"/>
          <w:szCs w:val="19"/>
        </w:rPr>
        <w:t xml:space="preserve">Covers rows: (vv)</w:t>
      </w:r>
    </w:p>
    <w:p>
      <w:pPr>
        <w:spacing w:after="150" w:line="290"/>
      </w:pPr>
      <w:r>
        <w:rPr>
          <w:rFonts w:ascii="Georgia" w:cs="Georgia" w:eastAsia="Georgia" w:hAnsi="Georgia"/>
          <w:b/>
          <w:bCs/>
          <w:sz w:val="22"/>
          <w:szCs w:val="22"/>
        </w:rPr>
        <w:t xml:space="preserve">The background.</w:t>
      </w:r>
      <w:r>
        <w:rPr>
          <w:rFonts w:ascii="Georgia" w:cs="Georgia" w:eastAsia="Georgia" w:hAnsi="Georgia"/>
          <w:sz w:val="22"/>
          <w:szCs w:val="22"/>
        </w:rPr>
        <w:t xml:space="preserve"> The manuscript uses "exclusive" in four load-bearing places. The Introduction promises an argument about "the world before exclusive territorial sovereignty". Chapter 1, section I, asks "by what specific mechanism Europe's overlapping authorities were, over one long century, hammered into the exclusive territorial states we mistake for nature". Chapter 1, section VI, says both sides of the Westphalia dispute concede "that the exclusive territorial state was </w:t>
      </w:r>
      <w:r>
        <w:rPr>
          <w:rFonts w:ascii="Georgia" w:cs="Georgia" w:eastAsia="Georgia" w:hAnsi="Georgia"/>
          <w:i/>
          <w:iCs/>
          <w:sz w:val="22"/>
          <w:szCs w:val="22"/>
        </w:rPr>
        <w:t xml:space="preserve">made</w:t>
      </w:r>
      <w:r>
        <w:rPr>
          <w:rFonts w:ascii="Georgia" w:cs="Georgia" w:eastAsia="Georgia" w:hAnsi="Georgia"/>
          <w:sz w:val="22"/>
          <w:szCs w:val="22"/>
        </w:rPr>
        <w:t xml:space="preserve">, under pressure, out of something else", and then that some force "made the overlapping authorities of 1200 into the exclusive sovereignties of 1700 … and paradoxically produced, out of the densest plurality in European history, the most exclusive form of political authority ever devised".</w:t>
      </w:r>
    </w:p>
    <w:p>
      <w:pPr>
        <w:spacing w:after="150" w:line="290"/>
      </w:pPr>
      <w:r>
        <w:rPr>
          <w:rFonts w:ascii="Georgia" w:cs="Georgia" w:eastAsia="Georgia" w:hAnsi="Georgia"/>
          <w:sz w:val="22"/>
          <w:szCs w:val="22"/>
        </w:rPr>
        <w:t xml:space="preserve">Stephen Krasner, an American political scientist, wrote </w:t>
      </w:r>
      <w:r>
        <w:rPr>
          <w:rFonts w:ascii="Georgia" w:cs="Georgia" w:eastAsia="Georgia" w:hAnsi="Georgia"/>
          <w:i/>
          <w:iCs/>
          <w:sz w:val="22"/>
          <w:szCs w:val="22"/>
        </w:rPr>
        <w:t xml:space="preserve">Sovereignty: Organized Hypocrisy</w:t>
      </w:r>
      <w:r>
        <w:rPr>
          <w:rFonts w:ascii="Georgia" w:cs="Georgia" w:eastAsia="Georgia" w:hAnsi="Georgia"/>
          <w:sz w:val="22"/>
          <w:szCs w:val="22"/>
        </w:rPr>
        <w:t xml:space="preserve"> (1999), the realist answer to Hedley Bull that Chapter 1 has always needed. His finding is that exclusive sovereignty was never anyone's practice: "There has never been some ideal time during which all, or even most, political entities conformed with all of the characteristics that have been associated with sovereignty" (p. 238); "the most important empirical conclusion of the present study is that the principles associated with both Westphalian and international legal sovereignty have always been violated" (p. 24); "perhaps half of the countries of Europe have never enjoyed Westphalian sovereignty for a single moment of their existence" (p. 29). He separates four senses of the word — domestic, interdependence, international legal and Westphalian — and insists that authority and control are different things (p. 10), with domestic sovereignty "not necessarily related to international legal or Westphalian sovereignty" (p. 12). He brackets the internal consolidation your book is about — "I offer no explanation for the displacement of other institutional forms" (p. 5) — and then concedes it happened.</w:t>
      </w:r>
    </w:p>
    <w:p>
      <w:pPr>
        <w:spacing w:after="150" w:line="290"/>
      </w:pPr>
      <w:r>
        <w:rPr>
          <w:rFonts w:ascii="Georgia" w:cs="Georgia" w:eastAsia="Georgia" w:hAnsi="Georgia"/>
          <w:sz w:val="22"/>
          <w:szCs w:val="22"/>
        </w:rPr>
        <w:t xml:space="preserve">John Ruggie cuts the other way and should be kept in view: for him the modern form "has differentiated its subject collectivity into territorially defined, fixed, and mutually exclusive enclaves of legitimate dominion" (1993, p. 151). So "exclusive" is defensible as a description of the doctrine of rule even where Krasner shows it false as a description of practice.</w:t>
      </w:r>
    </w:p>
    <w:p>
      <w:pPr>
        <w:spacing w:after="150" w:line="290"/>
      </w:pPr>
      <w:r>
        <w:rPr>
          <w:rFonts w:ascii="Georgia" w:cs="Georgia" w:eastAsia="Georgia" w:hAnsi="Georgia"/>
          <w:b/>
          <w:bCs/>
          <w:sz w:val="22"/>
          <w:szCs w:val="22"/>
        </w:rPr>
        <w:t xml:space="preserve">Why it matters.</w:t>
      </w:r>
      <w:r>
        <w:rPr>
          <w:rFonts w:ascii="Georgia" w:cs="Georgia" w:eastAsia="Georgia" w:hAnsi="Georgia"/>
          <w:sz w:val="22"/>
          <w:szCs w:val="22"/>
        </w:rPr>
        <w:t xml:space="preserve"> This is an accuracy point of the kind a reviewer enjoys, and it touches the Introduction. The book does not need exclusivity. Its whole chain ends at the subordination of internal intermediate authorities under a permanent fisc, which is domestic sovereignty in Krasner's control sense plus a fiscal monopoly of decisive force — a cell his grid does not contain, and the book's own contribution. Every sentence that claims exclusivity is claiming something stronger than the argument needs and weaker than the evidence supports. It also matters for the pendulum image in the spine: if the lock was exclusivity, Krasner has shown there was nothing to lock; if the lock was internal subordination, his book is silent and his own regularity — that strong states lose autonomy only by invitation (p. 29) — implies the consolidators were internally what you say they became.</w:t>
      </w:r>
    </w:p>
    <w:p>
      <w:pPr>
        <w:spacing w:after="150" w:line="290"/>
      </w:pPr>
      <w:r>
        <w:rPr>
          <w:rFonts w:ascii="Georgia" w:cs="Georgia" w:eastAsia="Georgia" w:hAnsi="Georgia"/>
          <w:b/>
          <w:bCs/>
          <w:sz w:val="22"/>
          <w:szCs w:val="22"/>
        </w:rPr>
        <w:t xml:space="preserve">Your choices.</w:t>
      </w:r>
      <w:r>
        <w:rPr>
          <w:rFonts w:ascii="Georgia" w:cs="Georgia" w:eastAsia="Georgia" w:hAnsi="Georgia"/>
          <w:sz w:val="22"/>
          <w:szCs w:val="22"/>
        </w:rPr>
        <w:t xml:space="preserve"> Choice A is to recast the four instances. "Exclusive territorial states" becomes states that had subordinated their internal intermediate authorities and monopolised the fiscal capacity for decisive force; "the exclusive sovereignties of 1700" becomes the consolidated sovereignties of 1700; "the most exclusive form of political authority ever devised" becomes a claim about internal hierarchy rather than external purity; and Chapter 1, section VI, gains one sentence conceding Krasner's page 24 by name and saying why the lock is a different cell of his own grid. One use of Ruggie's "mutually exclusive enclaves of legitimate dominion" survives as a quoted description of the doctrine, properly attributed. The cost is four sentence rewrites, one added sentence, and a loss of snap — "exclusive" is a crisp word and its replacements are not. It buys an opening claim exactly as strong as its evidence, and it turns Krasner from a standing objection into an ally.</w:t>
      </w:r>
    </w:p>
    <w:p>
      <w:pPr>
        <w:spacing w:after="150" w:line="290"/>
      </w:pPr>
      <w:r>
        <w:rPr>
          <w:rFonts w:ascii="Georgia" w:cs="Georgia" w:eastAsia="Georgia" w:hAnsi="Georgia"/>
          <w:sz w:val="22"/>
          <w:szCs w:val="22"/>
        </w:rPr>
        <w:t xml:space="preserve">Choice B is to keep "exclusive" and defend it on Ruggie's ground: the word describes the doctrine of rule as the period articulated it, not the record, and one footnote says so, citing Ruggie for the doctrine and Krasner for the practice. This costs a footnote and preserves the Introduction's cadence. A reviewer who has read Krasner will say, not unfairly, that the footnote is a retreat conducted in small type while the text goes on making the larger claim, and may extend the doubt to the pendulum.</w:t>
      </w:r>
    </w:p>
    <w:p>
      <w:pPr>
        <w:spacing w:after="150" w:line="290"/>
      </w:pPr>
      <w:r>
        <w:rPr>
          <w:rFonts w:ascii="Georgia" w:cs="Georgia" w:eastAsia="Georgia" w:hAnsi="Georgia"/>
          <w:b/>
          <w:bCs/>
          <w:sz w:val="22"/>
          <w:szCs w:val="22"/>
        </w:rPr>
        <w:t xml:space="preserve">My view.</w:t>
      </w:r>
      <w:r>
        <w:rPr>
          <w:rFonts w:ascii="Georgia" w:cs="Georgia" w:eastAsia="Georgia" w:hAnsi="Georgia"/>
          <w:sz w:val="22"/>
          <w:szCs w:val="22"/>
        </w:rPr>
        <w:t xml:space="preserve"> Choice A, because "internal subordination plus the fiscal monopoly of decisive force" is a sharper statement of your own thesis than "exclusive" ever was, and it is the claim Part II actually demonstrates.</w:t>
      </w:r>
    </w:p>
    <w:p>
      <w:pPr>
        <w:pBdr>
          <w:top w:val="single" w:color="C9A227" w:sz="6"/>
          <w:left w:val="single" w:color="C9A227" w:sz="6"/>
          <w:right w:val="single" w:color="C9A227" w:sz="6"/>
        </w:pBdr>
        <w:shd w:fill="FFF4D6" w:color="auto" w:val="clear"/>
        <w:spacing w:after="60" w:before="200"/>
      </w:pPr>
      <w:r>
        <w:rPr>
          <w:rFonts w:ascii="Georgia" w:cs="Georgia" w:eastAsia="Georgia" w:hAnsi="Georgia"/>
          <w:b/>
          <w:bCs/>
          <w:color w:val="8A6D00"/>
          <w:sz w:val="23"/>
          <w:szCs w:val="23"/>
        </w:rPr>
        <w:t xml:space="preserve">YOUR RULING:  </w:t>
      </w:r>
    </w:p>
    <w:p>
      <w:pPr>
        <w:pBdr>
          <w:left w:val="single" w:color="C9A227" w:sz="6"/>
          <w:right w:val="single" w:color="C9A227" w:sz="6"/>
        </w:pBdr>
        <w:shd w:fill="FFF4D6" w:color="auto" w:val="clear"/>
        <w:spacing w:after="40"/>
      </w:pPr>
      <w:r>
        <w:rPr>
          <w:sz w:val="22"/>
          <w:szCs w:val="22"/>
        </w:rPr>
        <w:t xml:space="preserve"> </w:t>
      </w:r>
    </w:p>
    <w:p>
      <w:pPr>
        <w:pBdr>
          <w:left w:val="single" w:color="C9A227" w:sz="6"/>
          <w:right w:val="single" w:color="C9A227" w:sz="6"/>
        </w:pBdr>
        <w:shd w:fill="FFF4D6" w:color="auto" w:val="clear"/>
        <w:spacing w:after="40"/>
      </w:pPr>
      <w:r>
        <w:rPr>
          <w:sz w:val="22"/>
          <w:szCs w:val="22"/>
        </w:rPr>
        <w:t xml:space="preserve"> </w:t>
      </w:r>
    </w:p>
    <w:p>
      <w:pPr>
        <w:pBdr>
          <w:bottom w:val="single" w:color="C9A227" w:sz="6"/>
          <w:left w:val="single" w:color="C9A227" w:sz="6"/>
          <w:right w:val="single" w:color="C9A227" w:sz="6"/>
        </w:pBdr>
        <w:shd w:fill="FFF4D6" w:color="auto" w:val="clear"/>
        <w:spacing w:after="60"/>
      </w:pPr>
      <w:r>
        <w:rPr>
          <w:sz w:val="22"/>
          <w:szCs w:val="22"/>
        </w:rPr>
        <w:t xml:space="preserve"> </w:t>
      </w:r>
    </w:p>
    <w:p>
      <w:pPr>
        <w:pStyle w:val="Heading2"/>
        <w:spacing w:after="120" w:before="260"/>
      </w:pPr>
      <w:r>
        <w:rPr>
          <w:rFonts w:ascii="Georgia" w:cs="Georgia" w:eastAsia="Georgia" w:hAnsi="Georgia"/>
          <w:b/>
          <w:bCs/>
          <w:color w:val="1F3864"/>
          <w:sz w:val="25"/>
          <w:szCs w:val="25"/>
        </w:rPr>
        <w:t xml:space="preserve">Decision 18 — The word "legibility", and James C. Scott</w:t>
      </w:r>
    </w:p>
    <w:p>
      <w:pPr>
        <w:spacing w:after="140"/>
      </w:pPr>
      <w:r>
        <w:rPr>
          <w:rFonts w:ascii="Georgia" w:cs="Georgia" w:eastAsia="Georgia" w:hAnsi="Georgia"/>
          <w:i/>
          <w:iCs/>
          <w:color w:val="777777"/>
          <w:sz w:val="19"/>
          <w:szCs w:val="19"/>
        </w:rPr>
        <w:t xml:space="preserve">Covers rows: (rr), and the "legible" half of (bbbb)</w:t>
      </w:r>
    </w:p>
    <w:p>
      <w:pPr>
        <w:spacing w:after="150" w:line="290"/>
      </w:pPr>
      <w:r>
        <w:rPr>
          <w:rFonts w:ascii="Georgia" w:cs="Georgia" w:eastAsia="Georgia" w:hAnsi="Georgia"/>
          <w:b/>
          <w:bCs/>
          <w:sz w:val="22"/>
          <w:szCs w:val="22"/>
        </w:rPr>
        <w:t xml:space="preserve">The background.</w:t>
      </w:r>
      <w:r>
        <w:rPr>
          <w:rFonts w:ascii="Georgia" w:cs="Georgia" w:eastAsia="Georgia" w:hAnsi="Georgia"/>
          <w:sz w:val="22"/>
          <w:szCs w:val="22"/>
        </w:rPr>
        <w:t xml:space="preserve"> "Legibility" and "legible" appear twenty-eight times in the manuscript, including in the thesis statement itself — the "identity-payments-legibility stack" of the Introduction — and as a family of indicators in Appendix C. The word in this technical sense — a state's capacity to see its population and resources in a standard, countable form — is the coinage of James C. Scott, an American political scientist and anthropologist, in </w:t>
      </w:r>
      <w:r>
        <w:rPr>
          <w:rFonts w:ascii="Georgia" w:cs="Georgia" w:eastAsia="Georgia" w:hAnsi="Georgia"/>
          <w:i/>
          <w:iCs/>
          <w:sz w:val="22"/>
          <w:szCs w:val="22"/>
        </w:rPr>
        <w:t xml:space="preserve">Seeing Like a State</w:t>
      </w:r>
      <w:r>
        <w:rPr>
          <w:rFonts w:ascii="Georgia" w:cs="Georgia" w:eastAsia="Georgia" w:hAnsi="Georgia"/>
          <w:sz w:val="22"/>
          <w:szCs w:val="22"/>
        </w:rPr>
        <w:t xml:space="preserve"> (1998). Scott is cited nowhere in the book, and Appendix A, the annotated bibliography, has no entry for him. Roughly a third of the twenty-eight uses are casual ("the shape of the present becomes legible"; "the test's result is legible"; Chapter 10, section V, uses "legible" in this loose way), and the rest are technical.</w:t>
      </w:r>
    </w:p>
    <w:p>
      <w:pPr>
        <w:spacing w:after="150" w:line="290"/>
      </w:pPr>
      <w:r>
        <w:rPr>
          <w:rFonts w:ascii="Georgia" w:cs="Georgia" w:eastAsia="Georgia" w:hAnsi="Georgia"/>
          <w:sz w:val="22"/>
          <w:szCs w:val="22"/>
        </w:rPr>
        <w:t xml:space="preserve">Scott's optic is exactly yours. The pre-modern state "was, in many crucial respects, partially blind" (p. 2); surnames, cadastres, registers and standard measures are "comprehensible as attempts at legibility and simplification" (p. 2), driven by "the pressing material interests of rulers: fiscal receipts, military manpower, and state security" (p. 24). His strongest instance is the Amsterdam population registry of May 1941, which guided the deportation of sixty-five thousand Jews: the legibility supplied by the Dutch authorities was "a capacity that in principle could as easily have been deployed to feed the Jews as to deport them" (p. 78). And his warning is stated as a recipe of four elements: "the legibility of a society provides the capacity for large-scale social engineering, high-modernist ideology provides the desire, the authoritarian state provides the determination to act on that desire, and an incapacitated civil society provides the leveled social terrain on which to build" (p. 5). Your book predicts the first and third of those elements combining in at least one bloc.</w:t>
      </w:r>
    </w:p>
    <w:p>
      <w:pPr>
        <w:spacing w:after="150" w:line="290"/>
      </w:pPr>
      <w:r>
        <w:rPr>
          <w:rFonts w:ascii="Georgia" w:cs="Georgia" w:eastAsia="Georgia" w:hAnsi="Georgia"/>
          <w:b/>
          <w:bCs/>
          <w:sz w:val="22"/>
          <w:szCs w:val="22"/>
        </w:rPr>
        <w:t xml:space="preserve">Why it matters.</w:t>
      </w:r>
      <w:r>
        <w:rPr>
          <w:rFonts w:ascii="Georgia" w:cs="Georgia" w:eastAsia="Georgia" w:hAnsi="Georgia"/>
          <w:sz w:val="22"/>
          <w:szCs w:val="22"/>
        </w:rPr>
        <w:t xml:space="preserve"> The citation is not optional. A book that uses a living scholar's coinage that often, in its title concept, and never names him, carries an unexploded objection that any reviewer can detonate in one line. The larger question is how much of him to take. Scott is not merely a debt; he is the sharpest available critic of the settlement you predict, since a Tudor settlement run as personal rule over a fully legible society is his four elements assembled. But the book has already built the falsifier his critique demands: Appendix C's first failure condition — a full-stack power defeated by cheap, distributed systems without a patron's decisive layer — is the Scott scenario, formalised and scoreable. Saying so converts him into part of the apparatus.</w:t>
      </w:r>
    </w:p>
    <w:p>
      <w:pPr>
        <w:spacing w:after="150" w:line="290"/>
      </w:pPr>
      <w:r>
        <w:rPr>
          <w:rFonts w:ascii="Georgia" w:cs="Georgia" w:eastAsia="Georgia" w:hAnsi="Georgia"/>
          <w:b/>
          <w:bCs/>
          <w:sz w:val="22"/>
          <w:szCs w:val="22"/>
        </w:rPr>
        <w:t xml:space="preserve">Your choices.</w:t>
      </w:r>
      <w:r>
        <w:rPr>
          <w:rFonts w:ascii="Georgia" w:cs="Georgia" w:eastAsia="Georgia" w:hAnsi="Georgia"/>
          <w:sz w:val="22"/>
          <w:szCs w:val="22"/>
        </w:rPr>
        <w:t xml:space="preserve"> Choice A is to name him at the Introduction's first use, take the Amsterdam registry and the four-element recipe into Chapter 12, section III, beside the identity stacks, identify Appendix C's first condition as the Scott scenario, and reword every casual instance to "visible", "readable" or "plain" so that the term of art stays a term of art. The cost is that Chapter 12 then carries a warning at full strength in a chapter already carrying the bloc verdicts, plus an hour's hygiene across the casual uses. It buys the book's strongest possible position on its title concept: prediction stated visibly beside the demonstration of what the same machinery does when the other elements arrive, in his words rather than defensively in yours.</w:t>
      </w:r>
    </w:p>
    <w:p>
      <w:pPr>
        <w:spacing w:after="150" w:line="290"/>
      </w:pPr>
      <w:r>
        <w:rPr>
          <w:rFonts w:ascii="Georgia" w:cs="Georgia" w:eastAsia="Georgia" w:hAnsi="Georgia"/>
          <w:sz w:val="22"/>
          <w:szCs w:val="22"/>
        </w:rPr>
        <w:t xml:space="preserve">Choice B is the bare citation: Scott named at first use and in Appendix A, the casual uses reworded, but the Amsterdam registry and the recipe left out. This discharges the debt and costs almost nothing. A reviewer would then say the book has cited the man whose warning it most needs to answer and has not answered him, which is a weaker position than not having noticed him at all.</w:t>
      </w:r>
    </w:p>
    <w:p>
      <w:pPr>
        <w:spacing w:after="150" w:line="290"/>
      </w:pPr>
      <w:r>
        <w:rPr>
          <w:rFonts w:ascii="Georgia" w:cs="Georgia" w:eastAsia="Georgia" w:hAnsi="Georgia"/>
          <w:b/>
          <w:bCs/>
          <w:sz w:val="22"/>
          <w:szCs w:val="22"/>
        </w:rPr>
        <w:t xml:space="preserve">My view.</w:t>
      </w:r>
      <w:r>
        <w:rPr>
          <w:rFonts w:ascii="Georgia" w:cs="Georgia" w:eastAsia="Georgia" w:hAnsi="Georgia"/>
          <w:sz w:val="22"/>
          <w:szCs w:val="22"/>
        </w:rPr>
        <w:t xml:space="preserve"> Choice A, because once he is in the apparatus the Amsterdam registry is the most economical statement of the disanalogy the book already makes — that registration is a capacity, not a policy — and the recipe lets Appendix C be seen to have priced his objection in.</w:t>
      </w:r>
    </w:p>
    <w:p>
      <w:pPr>
        <w:pBdr>
          <w:top w:val="single" w:color="C9A227" w:sz="6"/>
          <w:left w:val="single" w:color="C9A227" w:sz="6"/>
          <w:right w:val="single" w:color="C9A227" w:sz="6"/>
        </w:pBdr>
        <w:shd w:fill="FFF4D6" w:color="auto" w:val="clear"/>
        <w:spacing w:after="60" w:before="200"/>
      </w:pPr>
      <w:r>
        <w:rPr>
          <w:rFonts w:ascii="Georgia" w:cs="Georgia" w:eastAsia="Georgia" w:hAnsi="Georgia"/>
          <w:b/>
          <w:bCs/>
          <w:color w:val="8A6D00"/>
          <w:sz w:val="23"/>
          <w:szCs w:val="23"/>
        </w:rPr>
        <w:t xml:space="preserve">YOUR RULING:  </w:t>
      </w:r>
    </w:p>
    <w:p>
      <w:pPr>
        <w:pBdr>
          <w:left w:val="single" w:color="C9A227" w:sz="6"/>
          <w:right w:val="single" w:color="C9A227" w:sz="6"/>
        </w:pBdr>
        <w:shd w:fill="FFF4D6" w:color="auto" w:val="clear"/>
        <w:spacing w:after="40"/>
      </w:pPr>
      <w:r>
        <w:rPr>
          <w:sz w:val="22"/>
          <w:szCs w:val="22"/>
        </w:rPr>
        <w:t xml:space="preserve"> </w:t>
      </w:r>
    </w:p>
    <w:p>
      <w:pPr>
        <w:pBdr>
          <w:left w:val="single" w:color="C9A227" w:sz="6"/>
          <w:right w:val="single" w:color="C9A227" w:sz="6"/>
        </w:pBdr>
        <w:shd w:fill="FFF4D6" w:color="auto" w:val="clear"/>
        <w:spacing w:after="40"/>
      </w:pPr>
      <w:r>
        <w:rPr>
          <w:sz w:val="22"/>
          <w:szCs w:val="22"/>
        </w:rPr>
        <w:t xml:space="preserve"> </w:t>
      </w:r>
    </w:p>
    <w:p>
      <w:pPr>
        <w:pBdr>
          <w:bottom w:val="single" w:color="C9A227" w:sz="6"/>
          <w:left w:val="single" w:color="C9A227" w:sz="6"/>
          <w:right w:val="single" w:color="C9A227" w:sz="6"/>
        </w:pBdr>
        <w:shd w:fill="FFF4D6" w:color="auto" w:val="clear"/>
        <w:spacing w:after="60"/>
      </w:pPr>
      <w:r>
        <w:rPr>
          <w:sz w:val="22"/>
          <w:szCs w:val="22"/>
        </w:rPr>
        <w:t xml:space="preserve"> </w:t>
      </w:r>
    </w:p>
    <w:p>
      <w:pPr>
        <w:pStyle w:val="Heading2"/>
        <w:spacing w:after="120" w:before="260"/>
      </w:pPr>
      <w:r>
        <w:rPr>
          <w:rFonts w:ascii="Georgia" w:cs="Georgia" w:eastAsia="Georgia" w:hAnsi="Georgia"/>
          <w:b/>
          <w:bCs/>
          <w:color w:val="1F3864"/>
          <w:sz w:val="25"/>
          <w:szCs w:val="25"/>
        </w:rPr>
        <w:t xml:space="preserve">Decision 19 — Answering Ruggie, and who had the neomedieval idea first</w:t>
      </w:r>
    </w:p>
    <w:p>
      <w:pPr>
        <w:spacing w:after="140"/>
      </w:pPr>
      <w:r>
        <w:rPr>
          <w:rFonts w:ascii="Georgia" w:cs="Georgia" w:eastAsia="Georgia" w:hAnsi="Georgia"/>
          <w:i/>
          <w:iCs/>
          <w:color w:val="777777"/>
          <w:sz w:val="19"/>
          <w:szCs w:val="19"/>
        </w:rPr>
        <w:t xml:space="preserve">Covers rows: (tt), (xx), (ww), (fff)</w:t>
      </w:r>
    </w:p>
    <w:p>
      <w:pPr>
        <w:spacing w:after="150" w:line="290"/>
      </w:pPr>
      <w:r>
        <w:rPr>
          <w:rFonts w:ascii="Georgia" w:cs="Georgia" w:eastAsia="Georgia" w:hAnsi="Georgia"/>
          <w:b/>
          <w:bCs/>
          <w:sz w:val="22"/>
          <w:szCs w:val="22"/>
        </w:rPr>
        <w:t xml:space="preserve">The background.</w:t>
      </w:r>
      <w:r>
        <w:rPr>
          <w:rFonts w:ascii="Georgia" w:cs="Georgia" w:eastAsia="Georgia" w:hAnsi="Georgia"/>
          <w:sz w:val="22"/>
          <w:szCs w:val="22"/>
        </w:rPr>
        <w:t xml:space="preserve"> John Gerard Ruggie's article "Territoriality and Beyond" (</w:t>
      </w:r>
      <w:r>
        <w:rPr>
          <w:rFonts w:ascii="Georgia" w:cs="Georgia" w:eastAsia="Georgia" w:hAnsi="Georgia"/>
          <w:i/>
          <w:iCs/>
          <w:sz w:val="22"/>
          <w:szCs w:val="22"/>
        </w:rPr>
        <w:t xml:space="preserve">International Organization</w:t>
      </w:r>
      <w:r>
        <w:rPr>
          <w:rFonts w:ascii="Georgia" w:cs="Georgia" w:eastAsia="Georgia" w:hAnsi="Georgia"/>
          <w:sz w:val="22"/>
          <w:szCs w:val="22"/>
        </w:rPr>
        <w:t xml:space="preserve">, 1993) supplied the vocabulary the neomedieval literature runs on. It bears on the book in four places, each a separate row.</w:t>
      </w:r>
    </w:p>
    <w:p>
      <w:pPr>
        <w:spacing w:after="150" w:line="290"/>
      </w:pPr>
      <w:r>
        <w:rPr>
          <w:rFonts w:ascii="Georgia" w:cs="Georgia" w:eastAsia="Georgia" w:hAnsi="Georgia"/>
          <w:sz w:val="22"/>
          <w:szCs w:val="22"/>
        </w:rPr>
        <w:t xml:space="preserve">First, the off-switch. Chapter 12, section I, closes its Ukraine week on the sentence "A drone-rich army learned, in one week, that its cheap strike complex aimed through an ally's targeting layer, and that the layer had an owner." Ruggie named that argument in 1993 as an error. Quoting Kapstein's remark that if the United States wished to stop satellite transmission "it could easily do so by shooting the satellite down", he replied: "There is an extraordinarily impoverished mind-set at work here, one that is able to visualize long-term challenges to the system of states only in terms of entities that are institutionally substitutable for the state" (p. 143). His demonstration is the medieval fair: "In no sense could the medieval trade fairs have become substitutes for the institutions of feudal rule. Yet, the fairs contributed significantly to the demise of feudal authority relations", and "local lords at any time could have closed down a fair in their domain … though other lords in other places probably would have been only too pleased to provide alternative sites" (p. 155). On Europe he is equally direct: the Community "may constitute the first 'multiperspectival polity' to emerge since the advent of the modern era", but "There is no indication, however, that this reimagining will result in a federal state of Europe" (p. 172).</w:t>
      </w:r>
    </w:p>
    <w:p>
      <w:pPr>
        <w:spacing w:after="150" w:line="290"/>
      </w:pPr>
      <w:r>
        <w:rPr>
          <w:rFonts w:ascii="Georgia" w:cs="Georgia" w:eastAsia="Georgia" w:hAnsi="Georgia"/>
          <w:sz w:val="22"/>
          <w:szCs w:val="22"/>
        </w:rPr>
        <w:t xml:space="preserve">Second, the spine's test. Spine section 7 — the spine being the book's internal doctrine document — attributes to Hedley Bull a test with a "new units" limb: whether the dispersing trends replaced sovereignty as the organising principle "or merely reproduced it in new units". Chapter 1 carries a standing marker, a [DELTA] flag, recording that this limb is a reconstruction from Bull's per-trend reasoning rather than a test he states. Ruggie's page 143 denies that substitutability is the right question at all.</w:t>
      </w:r>
    </w:p>
    <w:p>
      <w:pPr>
        <w:spacing w:after="150" w:line="290"/>
      </w:pPr>
      <w:r>
        <w:rPr>
          <w:rFonts w:ascii="Georgia" w:cs="Georgia" w:eastAsia="Georgia" w:hAnsi="Georgia"/>
          <w:sz w:val="22"/>
          <w:szCs w:val="22"/>
        </w:rPr>
        <w:t xml:space="preserve">Third, the origin story. Chapter 1, section I, presents the neomedieval literature as having "a founding text", and section III calls Bull "the founder first, doubting his own hypothesis". But Charles Tilly, writing in 1975, two years before </w:t>
      </w:r>
      <w:r>
        <w:rPr>
          <w:rFonts w:ascii="Georgia" w:cs="Georgia" w:eastAsia="Georgia" w:hAnsi="Georgia"/>
          <w:i/>
          <w:iCs/>
          <w:sz w:val="22"/>
          <w:szCs w:val="22"/>
        </w:rPr>
        <w:t xml:space="preserve">The Anarchical Society</w:t>
      </w:r>
      <w:r>
        <w:rPr>
          <w:rFonts w:ascii="Georgia" w:cs="Georgia" w:eastAsia="Georgia" w:hAnsi="Georgia"/>
          <w:sz w:val="22"/>
          <w:szCs w:val="22"/>
        </w:rPr>
        <w:t xml:space="preserve">, already had the thought and gave it a technological cause: the state "may be losing part of its significance", authority moving "toward the regional grouping and the compact of superstates above, toward the subnational region, ethnic population, or racial group below", and, flatly, "Perhaps, unknowing, we are writing obituaries for the state" (p. 638). Ruggie's own note 23 points further back, to John Herz's "Rise and Demise of the Territorial State" of 1957. Alongside this sits an attribution error. Chapter 1, section II, gives Perry Anderson (1974, pp. 37–38) both the phrase "patchwork of overlapping and incomplete rights of government" and the phrases that follow, and credits the canonisation to Ruggie 1993. Ruggie's own notes divide the sentence: "patchwork of overlapping and incomplete rights of government" is from Strayer and Munro, </w:t>
      </w:r>
      <w:r>
        <w:rPr>
          <w:rFonts w:ascii="Georgia" w:cs="Georgia" w:eastAsia="Georgia" w:hAnsi="Georgia"/>
          <w:i/>
          <w:iCs/>
          <w:sz w:val="22"/>
          <w:szCs w:val="22"/>
        </w:rPr>
        <w:t xml:space="preserve">The Middle Ages</w:t>
      </w:r>
      <w:r>
        <w:rPr>
          <w:rFonts w:ascii="Georgia" w:cs="Georgia" w:eastAsia="Georgia" w:hAnsi="Georgia"/>
          <w:sz w:val="22"/>
          <w:szCs w:val="22"/>
        </w:rPr>
        <w:t xml:space="preserve"> (1959), p. 115; "inextricably superimposed and tangled" and the "plural allegiances, asymmetrical suzerainties and anomalous enclaves" clause are Anderson's; and the canonising article was Ruggie's 1983 piece in </w:t>
      </w:r>
      <w:r>
        <w:rPr>
          <w:rFonts w:ascii="Georgia" w:cs="Georgia" w:eastAsia="Georgia" w:hAnsi="Georgia"/>
          <w:i/>
          <w:iCs/>
          <w:sz w:val="22"/>
          <w:szCs w:val="22"/>
        </w:rPr>
        <w:t xml:space="preserve">World Politics</w:t>
      </w:r>
      <w:r>
        <w:rPr>
          <w:rFonts w:ascii="Georgia" w:cs="Georgia" w:eastAsia="Georgia" w:hAnsi="Georgia"/>
          <w:sz w:val="22"/>
          <w:szCs w:val="22"/>
        </w:rPr>
        <w:t xml:space="preserve">, which is what Kobrin and Zielonka both cite. Anderson's page 37 has not been seen directly, so it remains possible that he is himself quoting Strayer and Munro.</w:t>
      </w:r>
    </w:p>
    <w:p>
      <w:pPr>
        <w:spacing w:after="150" w:line="290"/>
      </w:pPr>
      <w:r>
        <w:rPr>
          <w:rFonts w:ascii="Georgia" w:cs="Georgia" w:eastAsia="Georgia" w:hAnsi="Georgia"/>
          <w:sz w:val="22"/>
          <w:szCs w:val="22"/>
        </w:rPr>
        <w:t xml:space="preserve">Fourth, the two centuries. Chapter 4 treats the Hanseatic Kontore — the League's overseas trading stations — and the other alternative polities without meeting Ruggie's strongest objection: "the Italian city-states and the Hanse, in fact were viable political alternatives to the territorial state, fully able to levy taxes and raise armies, for the better part of two centuries. In social life, two centuries is no mere time lag" (p. 156). He also supplies, from Mattingly, the phrase the Kontore have been waiting for — the new states "found they could only communicate with one another by tolerating within themselves little islands of alien sovereignty" (p. 165).</w:t>
      </w:r>
    </w:p>
    <w:p>
      <w:pPr>
        <w:spacing w:after="150" w:line="290"/>
      </w:pPr>
      <w:r>
        <w:rPr>
          <w:rFonts w:ascii="Georgia" w:cs="Georgia" w:eastAsia="Georgia" w:hAnsi="Georgia"/>
          <w:b/>
          <w:bCs/>
          <w:sz w:val="22"/>
          <w:szCs w:val="22"/>
        </w:rPr>
        <w:t xml:space="preserve">Why it matters.</w:t>
      </w:r>
      <w:r>
        <w:rPr>
          <w:rFonts w:ascii="Georgia" w:cs="Georgia" w:eastAsia="Georgia" w:hAnsi="Georgia"/>
          <w:sz w:val="22"/>
          <w:szCs w:val="22"/>
        </w:rPr>
        <w:t xml:space="preserve"> The four rows are of different weights. The Anderson repair is an error of fact in a reviewed chapter and must be made regardless. The spine correction costs one clause and removes an attribution a specialist can falsify. The origin story is a rhetorical convenience, and giving it up is a gain: the founder of the war-makes-states school predicted dispersal on technological grounds in 1975, so the book's inversion — the same family of technologies now re-concentrating — answers Tilly rather than merely correcting Bull. The off-switch is the large one. Chapter 12's whole opening week is the argument Ruggie discredited thirty years ago, and if the book does not answer him a reviewer who knows the literature will do it for you. The answer is available and cheap: Part I already concedes the platforms are not substitutes for the state; the book's claim is that a non-substitutable authority can nonetheless be subordinated, the switch being the instrument; and Ruggie's alternative sites are the point, because a fab is not a fair and the alternative sites now lie inside three or four commercial worlds. The two centuries are conceded just as cheaply, because they are the two centuries before the ratchet — the book's name for the step at which the price of decisive force rose past subordinate reach — with Ruggie's alternatives flourishing 1300–1500 and the mechanism running 1440–1500.</w:t>
      </w:r>
    </w:p>
    <w:p>
      <w:pPr>
        <w:spacing w:after="150" w:line="290"/>
      </w:pPr>
      <w:r>
        <w:rPr>
          <w:rFonts w:ascii="Georgia" w:cs="Georgia" w:eastAsia="Georgia" w:hAnsi="Georgia"/>
          <w:b/>
          <w:bCs/>
          <w:sz w:val="22"/>
          <w:szCs w:val="22"/>
        </w:rPr>
        <w:t xml:space="preserve">Your choices.</w:t>
      </w:r>
      <w:r>
        <w:rPr>
          <w:rFonts w:ascii="Georgia" w:cs="Georgia" w:eastAsia="Georgia" w:hAnsi="Georgia"/>
          <w:sz w:val="22"/>
          <w:szCs w:val="22"/>
        </w:rPr>
        <w:t xml:space="preserve"> Choice A is to answer Ruggie by name at every point. Chapter 12 carries the off-switch answer, placed at section II where the fairs are the natural material rather than in section I where the week works because it is concrete; "multiperspectival polity" is named in section IV as a failure mode and "no indication … federal state" as the null the European conditional scores against; the [DELTA] in Chapter 1 is closed with one clause saying the subordination test is the book's own, and spine section 7 is amended to match; Chapter 1 gives Tilly 1975 and Herz 1957 their priority and demotes Bull from founder to namer, with Herz entering Appendix A; the Anderson sentence is split as Ruggie's notes divide it, the canonisation re-pointed to 1983, and the commit held until Anderson's page 37 has been seen; Chapter 4 concedes the two centuries by name and dates them before the ratchet, with Mattingly's phrase in a note. The cost is perhaps 300 words across three chapters, a spine note, and one verification errand. It buys the book's answers on the record before the reviewer makes the objections, and it buys a better opening: the Tilly passage is stronger material than the sentence it replaces.</w:t>
      </w:r>
    </w:p>
    <w:p>
      <w:pPr>
        <w:spacing w:after="150" w:line="290"/>
      </w:pPr>
      <w:r>
        <w:rPr>
          <w:rFonts w:ascii="Georgia" w:cs="Georgia" w:eastAsia="Georgia" w:hAnsi="Georgia"/>
          <w:sz w:val="22"/>
          <w:szCs w:val="22"/>
        </w:rPr>
        <w:t xml:space="preserve">Choice B is the housekeeping only: the Anderson repair, the spine clause and the two-centuries concession are made, because each is a matter of fact; the off-switch answer goes into Chapter 12's critiques file rather than its text, and Bull stays the founder. This keeps Chapter 12 lean and saves the reader an excursion into theory. A reviewer would observe that the book's central contemporary exhibit is precisely the move Ruggie discredited and is not obliged to notice that the book has an answer.</w:t>
      </w:r>
    </w:p>
    <w:p>
      <w:pPr>
        <w:spacing w:after="150" w:line="290"/>
      </w:pPr>
      <w:r>
        <w:rPr>
          <w:rFonts w:ascii="Georgia" w:cs="Georgia" w:eastAsia="Georgia" w:hAnsi="Georgia"/>
          <w:b/>
          <w:bCs/>
          <w:sz w:val="22"/>
          <w:szCs w:val="22"/>
        </w:rPr>
        <w:t xml:space="preserve">My view.</w:t>
      </w:r>
      <w:r>
        <w:rPr>
          <w:rFonts w:ascii="Georgia" w:cs="Georgia" w:eastAsia="Georgia" w:hAnsi="Georgia"/>
          <w:sz w:val="22"/>
          <w:szCs w:val="22"/>
        </w:rPr>
        <w:t xml:space="preserve"> Choice A, with restraint in section I: the spine correction and the Anderson repair should happen whichever way you rule, and the off-switch answer is worth far more in the text than in a file no reviewer reads.</w:t>
      </w:r>
    </w:p>
    <w:p>
      <w:pPr>
        <w:pBdr>
          <w:top w:val="single" w:color="C9A227" w:sz="6"/>
          <w:left w:val="single" w:color="C9A227" w:sz="6"/>
          <w:right w:val="single" w:color="C9A227" w:sz="6"/>
        </w:pBdr>
        <w:shd w:fill="FFF4D6" w:color="auto" w:val="clear"/>
        <w:spacing w:after="60" w:before="200"/>
      </w:pPr>
      <w:r>
        <w:rPr>
          <w:rFonts w:ascii="Georgia" w:cs="Georgia" w:eastAsia="Georgia" w:hAnsi="Georgia"/>
          <w:b/>
          <w:bCs/>
          <w:color w:val="8A6D00"/>
          <w:sz w:val="23"/>
          <w:szCs w:val="23"/>
        </w:rPr>
        <w:t xml:space="preserve">YOUR RULING:  </w:t>
      </w:r>
    </w:p>
    <w:p>
      <w:pPr>
        <w:pBdr>
          <w:left w:val="single" w:color="C9A227" w:sz="6"/>
          <w:right w:val="single" w:color="C9A227" w:sz="6"/>
        </w:pBdr>
        <w:shd w:fill="FFF4D6" w:color="auto" w:val="clear"/>
        <w:spacing w:after="40"/>
      </w:pPr>
      <w:r>
        <w:rPr>
          <w:sz w:val="22"/>
          <w:szCs w:val="22"/>
        </w:rPr>
        <w:t xml:space="preserve"> </w:t>
      </w:r>
    </w:p>
    <w:p>
      <w:pPr>
        <w:pBdr>
          <w:left w:val="single" w:color="C9A227" w:sz="6"/>
          <w:right w:val="single" w:color="C9A227" w:sz="6"/>
        </w:pBdr>
        <w:shd w:fill="FFF4D6" w:color="auto" w:val="clear"/>
        <w:spacing w:after="40"/>
      </w:pPr>
      <w:r>
        <w:rPr>
          <w:sz w:val="22"/>
          <w:szCs w:val="22"/>
        </w:rPr>
        <w:t xml:space="preserve"> </w:t>
      </w:r>
    </w:p>
    <w:p>
      <w:pPr>
        <w:pBdr>
          <w:bottom w:val="single" w:color="C9A227" w:sz="6"/>
          <w:left w:val="single" w:color="C9A227" w:sz="6"/>
          <w:right w:val="single" w:color="C9A227" w:sz="6"/>
        </w:pBdr>
        <w:shd w:fill="FFF4D6" w:color="auto" w:val="clear"/>
        <w:spacing w:after="60"/>
      </w:pPr>
      <w:r>
        <w:rPr>
          <w:sz w:val="22"/>
          <w:szCs w:val="22"/>
        </w:rPr>
        <w:t xml:space="preserve"> </w:t>
      </w:r>
    </w:p>
    <w:p>
      <w:pPr>
        <w:pStyle w:val="Heading2"/>
        <w:spacing w:after="120" w:before="260"/>
      </w:pPr>
      <w:r>
        <w:rPr>
          <w:rFonts w:ascii="Georgia" w:cs="Georgia" w:eastAsia="Georgia" w:hAnsi="Georgia"/>
          <w:b/>
          <w:bCs/>
          <w:color w:val="1F3864"/>
          <w:sz w:val="25"/>
          <w:szCs w:val="25"/>
        </w:rPr>
        <w:t xml:space="preserve">Decision 20 — Borrowed terms, each paid for</w:t>
      </w:r>
    </w:p>
    <w:p>
      <w:pPr>
        <w:spacing w:after="140"/>
      </w:pPr>
      <w:r>
        <w:rPr>
          <w:rFonts w:ascii="Georgia" w:cs="Georgia" w:eastAsia="Georgia" w:hAnsi="Georgia"/>
          <w:i/>
          <w:iCs/>
          <w:color w:val="777777"/>
          <w:sz w:val="19"/>
          <w:szCs w:val="19"/>
        </w:rPr>
        <w:t xml:space="preserve">Covers rows: (ii), (pp), (qq), (ggg), (qqq), (sss), and the Schmitt/chokepoint half of (bbbb)</w:t>
      </w:r>
    </w:p>
    <w:p>
      <w:pPr>
        <w:spacing w:after="150" w:line="290"/>
      </w:pPr>
      <w:r>
        <w:rPr>
          <w:rFonts w:ascii="Georgia" w:cs="Georgia" w:eastAsia="Georgia" w:hAnsi="Georgia"/>
          <w:b/>
          <w:bCs/>
          <w:sz w:val="22"/>
          <w:szCs w:val="22"/>
        </w:rPr>
        <w:t xml:space="preserve">The background.</w:t>
      </w:r>
      <w:r>
        <w:rPr>
          <w:rFonts w:ascii="Georgia" w:cs="Georgia" w:eastAsia="Georgia" w:hAnsi="Georgia"/>
          <w:sz w:val="22"/>
          <w:szCs w:val="22"/>
        </w:rPr>
        <w:t xml:space="preserve"> Seven small rows share one problem: the manuscript uses words that belong to named scholars without naming them, or names them at one remove. Each is cheap to fix and each is the kind of thing a doctrine that treats provenance seriously cannot leave.</w:t>
      </w:r>
    </w:p>
    <w:p>
      <w:pPr>
        <w:spacing w:after="150" w:line="290"/>
      </w:pPr>
      <w:r>
        <w:rPr>
          <w:rFonts w:ascii="Georgia" w:cs="Georgia" w:eastAsia="Georgia" w:hAnsi="Georgia"/>
          <w:sz w:val="22"/>
          <w:szCs w:val="22"/>
        </w:rPr>
        <w:t xml:space="preserve">The spine's third route to consolidation — absorption by alliance, the barons asked in rather than revoked — has no name from the literature. Stephen Krasner supplies one: rulers "can extend invitations, sometimes inadvertent, that result in compromises of their own Westphalian sovereignty" (1999, p. 20), and "more powerful states are unlikely to lose their Westphalian sovereignty unless they invite external authority through conventions or contractual arrangements" (p. 29). His invited party is a foreign sovereign, not a firm, so the borrowing is an extension and should say so.</w:t>
      </w:r>
    </w:p>
    <w:p>
      <w:pPr>
        <w:spacing w:after="150" w:line="290"/>
      </w:pPr>
      <w:r>
        <w:rPr>
          <w:rFonts w:ascii="Georgia" w:cs="Georgia" w:eastAsia="Georgia" w:hAnsi="Georgia"/>
          <w:sz w:val="22"/>
          <w:szCs w:val="22"/>
        </w:rPr>
        <w:t xml:space="preserve">Chapter 12, section IV, reads the Monroe Doctrine through Benjamin Bratton's gloss on Carl Schmitt. The original is now in the corpus: the Doctrine and the Western Hemisphere "encompass a space far exceeding the boundaries of the state proper — a Großraum in the sense of international law" (p. 281), and the three possibilities of a single world sovereign, a hegemonic balance, or "an equilibrium of several independent Großräume … rational, if the Großräume are differentiated meaningfully and are homogeneous internally" (pp. 354–55) — the last being the position your four-bloc prediction occupies. What travels with the citation is the provenance: Schmitt built the Großraum doctrine inside the Third Reich, in the 1939 </w:t>
      </w:r>
      <w:r>
        <w:rPr>
          <w:rFonts w:ascii="Georgia" w:cs="Georgia" w:eastAsia="Georgia" w:hAnsi="Georgia"/>
          <w:i/>
          <w:iCs/>
          <w:sz w:val="22"/>
          <w:szCs w:val="22"/>
        </w:rPr>
        <w:t xml:space="preserve">Völkerrechtliche Großraumordnung</w:t>
      </w:r>
      <w:r>
        <w:rPr>
          <w:rFonts w:ascii="Georgia" w:cs="Georgia" w:eastAsia="Georgia" w:hAnsi="Georgia"/>
          <w:sz w:val="22"/>
          <w:szCs w:val="22"/>
        </w:rPr>
        <w:t xml:space="preserve">, with the Reich as the intended ordering centre, and the 1950 </w:t>
      </w:r>
      <w:r>
        <w:rPr>
          <w:rFonts w:ascii="Georgia" w:cs="Georgia" w:eastAsia="Georgia" w:hAnsi="Georgia"/>
          <w:i/>
          <w:iCs/>
          <w:sz w:val="22"/>
          <w:szCs w:val="22"/>
        </w:rPr>
        <w:t xml:space="preserve">Nomos of the Earth</w:t>
      </w:r>
      <w:r>
        <w:rPr>
          <w:rFonts w:ascii="Georgia" w:cs="Georgia" w:eastAsia="Georgia" w:hAnsi="Georgia"/>
          <w:sz w:val="22"/>
          <w:szCs w:val="22"/>
        </w:rPr>
        <w:t xml:space="preserve"> re-grounds it without confessing the lineage. Chapter 10 is a separate matter: Schmitt's account of where the state came from is a rival cause, the bracketed-war order arising "solely from the emergence of a new spatial order" (p. 140), with no cannon and no fisc in it, so he belongs in that chapter's critiques file and not its text.</w:t>
      </w:r>
    </w:p>
    <w:p>
      <w:pPr>
        <w:spacing w:after="150" w:line="290"/>
      </w:pPr>
      <w:r>
        <w:rPr>
          <w:rFonts w:ascii="Georgia" w:cs="Georgia" w:eastAsia="Georgia" w:hAnsi="Georgia"/>
          <w:sz w:val="22"/>
          <w:szCs w:val="22"/>
        </w:rPr>
        <w:t xml:space="preserve">Chapter 12 uses the off-switch and the map without their owners' names, and Chapter 10, section VIII, uses "chokepoints" as ordinary language. The terms are Henry Farrell and Abraham Newman's, from "Weaponized Interdependence" (</w:t>
      </w:r>
      <w:r>
        <w:rPr>
          <w:rFonts w:ascii="Georgia" w:cs="Georgia" w:eastAsia="Georgia" w:hAnsi="Georgia"/>
          <w:i/>
          <w:iCs/>
          <w:sz w:val="22"/>
          <w:szCs w:val="22"/>
        </w:rPr>
        <w:t xml:space="preserve">International Security</w:t>
      </w:r>
      <w:r>
        <w:rPr>
          <w:rFonts w:ascii="Georgia" w:cs="Georgia" w:eastAsia="Georgia" w:hAnsi="Georgia"/>
          <w:sz w:val="22"/>
          <w:szCs w:val="22"/>
        </w:rPr>
        <w:t xml:space="preserve">, 2019): the panopticon effect, by which states with jurisdiction over network hubs "can use this influence to obtain information passing through the hubs", and the chokepoint effect, "privileged states' capacity to limit or penalize use of hubs by third parties" (pp. 55–56). Their scope condition is your mechanism in modern dress: "States need both leverage over network hubs and appropriate institutions" (p. 75). Their objection — two decades of coercion through deputised private hands with no absorption — cannot be answered away and should be staged as a wager for Appendix C to score.</w:t>
      </w:r>
    </w:p>
    <w:p>
      <w:pPr>
        <w:spacing w:after="150" w:line="290"/>
      </w:pPr>
      <w:r>
        <w:rPr>
          <w:rFonts w:ascii="Georgia" w:cs="Georgia" w:eastAsia="Georgia" w:hAnsi="Georgia"/>
          <w:sz w:val="22"/>
          <w:szCs w:val="22"/>
        </w:rPr>
        <w:t xml:space="preserve">Chapter 5, section VII, calls the minority council's position "the dignified pretence". The word is Walter Bagehot's, from </w:t>
      </w:r>
      <w:r>
        <w:rPr>
          <w:rFonts w:ascii="Georgia" w:cs="Georgia" w:eastAsia="Georgia" w:hAnsi="Georgia"/>
          <w:i/>
          <w:iCs/>
          <w:sz w:val="22"/>
          <w:szCs w:val="22"/>
        </w:rPr>
        <w:t xml:space="preserve">The English Constitution</w:t>
      </w:r>
      <w:r>
        <w:rPr>
          <w:rFonts w:ascii="Georgia" w:cs="Georgia" w:eastAsia="Georgia" w:hAnsi="Georgia"/>
          <w:sz w:val="22"/>
          <w:szCs w:val="22"/>
        </w:rPr>
        <w:t xml:space="preserve"> (1867): the "DIGNIFIED parts" that "excite and preserve the reverence of the population" against the "EFFICIENT parts — those by which it, in fact, works and rules" (PDF p. 21). His caveat — "I am not, of course, now speaking of the middle ages" (PDF p. 48) — must travel with any medieval use.</w:t>
      </w:r>
    </w:p>
    <w:p>
      <w:pPr>
        <w:spacing w:after="150" w:line="290"/>
      </w:pPr>
      <w:r>
        <w:rPr>
          <w:rFonts w:ascii="Georgia" w:cs="Georgia" w:eastAsia="Georgia" w:hAnsi="Georgia"/>
          <w:sz w:val="22"/>
          <w:szCs w:val="22"/>
        </w:rPr>
        <w:t xml:space="preserve">Chapter 3, section I, attributes to Charles Tilly "the protection-market frame". The market is Frederic Lane's; Tilly carries it and hardens it into a racket — "war making and state making — quintessential protection rackets with the advantage of legitimacy — qualify as our largest examples of organized crime". The chapter's conditional clause about weakening central capacity is the book's own and should be marked as such, and widened to cover capacity never formed. Chapter 3, section III, also refers to a "centuries-old taboo against mercenarism"; Ruggie, citing Thomson, dates it to the nation-state: "when the concept of state sovereignty expanded to become the concept of national sovereignty, the use of mercenaries in warfare declined and ultimately was eliminated altogether" (p. 163).</w:t>
      </w:r>
    </w:p>
    <w:p>
      <w:pPr>
        <w:spacing w:after="150" w:line="290"/>
      </w:pPr>
      <w:r>
        <w:rPr>
          <w:rFonts w:ascii="Georgia" w:cs="Georgia" w:eastAsia="Georgia" w:hAnsi="Georgia"/>
          <w:b/>
          <w:bCs/>
          <w:sz w:val="22"/>
          <w:szCs w:val="22"/>
        </w:rPr>
        <w:t xml:space="preserve">Why it matters.</w:t>
      </w:r>
      <w:r>
        <w:rPr>
          <w:rFonts w:ascii="Georgia" w:cs="Georgia" w:eastAsia="Georgia" w:hAnsi="Georgia"/>
          <w:sz w:val="22"/>
          <w:szCs w:val="22"/>
        </w:rPr>
        <w:t xml:space="preserve"> Individually these are footnotes. Together they decide whether a reviewer reads the book as commanding its field or as helping itself to it. Two carry real content: the Schmitt provenance, which omitted is the easiest available attack on Part III, and the mercenary date, which turns the return of contracted force from an aberration into a reversion.</w:t>
      </w:r>
    </w:p>
    <w:p>
      <w:pPr>
        <w:spacing w:after="150" w:line="290"/>
      </w:pPr>
      <w:r>
        <w:rPr>
          <w:rFonts w:ascii="Georgia" w:cs="Georgia" w:eastAsia="Georgia" w:hAnsi="Georgia"/>
          <w:b/>
          <w:bCs/>
          <w:sz w:val="22"/>
          <w:szCs w:val="22"/>
        </w:rPr>
        <w:t xml:space="preserve">Your choices.</w:t>
      </w:r>
      <w:r>
        <w:rPr>
          <w:rFonts w:ascii="Georgia" w:cs="Georgia" w:eastAsia="Georgia" w:hAnsi="Georgia"/>
          <w:sz w:val="22"/>
          <w:szCs w:val="22"/>
        </w:rPr>
        <w:t xml:space="preserve"> Choice A is to pay every debt as stated: "invitation" adopted with the extension acknowledged in a note; Schmitt cited directly for both passages with provenance and the substance disanalogy in one endnote, and kept out of Chapter 10's text; panopticon and chokepoint adopted by name with the deputisation objection staged as a wager; "dignified" attributed to Bagehot with his caveat in the note; Lane's market and Tilly's racket both named, with the conditional marked as yours; "centuries-old" cut and the taboo dated. This costs six or seven notes and a few reworded clauses, and buys every borrowed term cleanly acknowledged.</w:t>
      </w:r>
    </w:p>
    <w:p>
      <w:pPr>
        <w:spacing w:after="150" w:line="290"/>
      </w:pPr>
      <w:r>
        <w:rPr>
          <w:rFonts w:ascii="Georgia" w:cs="Georgia" w:eastAsia="Georgia" w:hAnsi="Georgia"/>
          <w:sz w:val="22"/>
          <w:szCs w:val="22"/>
        </w:rPr>
        <w:t xml:space="preserve">Choice B is to attribute only where the word is unavoidable and reword the rest: drop "invitation" for a plain description, replace "dignified pretence" with an unmarked phrase, keep "chokepoint" as ordinary English, and make only the Schmitt, Lane and mercenary corrections. This is cheaper by three notes and loses three genealogies that count in the book's favour, since Bagehot's distinction descends from the very fifteenth-century split Chapter 5 describes.</w:t>
      </w:r>
    </w:p>
    <w:p>
      <w:pPr>
        <w:spacing w:after="150" w:line="290"/>
      </w:pPr>
      <w:r>
        <w:rPr>
          <w:rFonts w:ascii="Georgia" w:cs="Georgia" w:eastAsia="Georgia" w:hAnsi="Georgia"/>
          <w:b/>
          <w:bCs/>
          <w:sz w:val="22"/>
          <w:szCs w:val="22"/>
        </w:rPr>
        <w:t xml:space="preserve">My view.</w:t>
      </w:r>
      <w:r>
        <w:rPr>
          <w:rFonts w:ascii="Georgia" w:cs="Georgia" w:eastAsia="Georgia" w:hAnsi="Georgia"/>
          <w:sz w:val="22"/>
          <w:szCs w:val="22"/>
        </w:rPr>
        <w:t xml:space="preserve"> Choice A, because each borrowed term arrives with a pedigree the book can use, and the notes cost less than the appearance of having coined freely.</w:t>
      </w:r>
    </w:p>
    <w:p>
      <w:pPr>
        <w:pBdr>
          <w:top w:val="single" w:color="C9A227" w:sz="6"/>
          <w:left w:val="single" w:color="C9A227" w:sz="6"/>
          <w:right w:val="single" w:color="C9A227" w:sz="6"/>
        </w:pBdr>
        <w:shd w:fill="FFF4D6" w:color="auto" w:val="clear"/>
        <w:spacing w:after="60" w:before="200"/>
      </w:pPr>
      <w:r>
        <w:rPr>
          <w:rFonts w:ascii="Georgia" w:cs="Georgia" w:eastAsia="Georgia" w:hAnsi="Georgia"/>
          <w:b/>
          <w:bCs/>
          <w:color w:val="8A6D00"/>
          <w:sz w:val="23"/>
          <w:szCs w:val="23"/>
        </w:rPr>
        <w:t xml:space="preserve">YOUR RULING:  </w:t>
      </w:r>
    </w:p>
    <w:p>
      <w:pPr>
        <w:pBdr>
          <w:left w:val="single" w:color="C9A227" w:sz="6"/>
          <w:right w:val="single" w:color="C9A227" w:sz="6"/>
        </w:pBdr>
        <w:shd w:fill="FFF4D6" w:color="auto" w:val="clear"/>
        <w:spacing w:after="40"/>
      </w:pPr>
      <w:r>
        <w:rPr>
          <w:sz w:val="22"/>
          <w:szCs w:val="22"/>
        </w:rPr>
        <w:t xml:space="preserve"> </w:t>
      </w:r>
    </w:p>
    <w:p>
      <w:pPr>
        <w:pBdr>
          <w:left w:val="single" w:color="C9A227" w:sz="6"/>
          <w:right w:val="single" w:color="C9A227" w:sz="6"/>
        </w:pBdr>
        <w:shd w:fill="FFF4D6" w:color="auto" w:val="clear"/>
        <w:spacing w:after="40"/>
      </w:pPr>
      <w:r>
        <w:rPr>
          <w:sz w:val="22"/>
          <w:szCs w:val="22"/>
        </w:rPr>
        <w:t xml:space="preserve"> </w:t>
      </w:r>
    </w:p>
    <w:p>
      <w:pPr>
        <w:pBdr>
          <w:bottom w:val="single" w:color="C9A227" w:sz="6"/>
          <w:left w:val="single" w:color="C9A227" w:sz="6"/>
          <w:right w:val="single" w:color="C9A227" w:sz="6"/>
        </w:pBdr>
        <w:shd w:fill="FFF4D6" w:color="auto" w:val="clear"/>
        <w:spacing w:after="60"/>
      </w:pPr>
      <w:r>
        <w:rPr>
          <w:sz w:val="22"/>
          <w:szCs w:val="22"/>
        </w:rPr>
        <w:t xml:space="preserve"> </w:t>
      </w:r>
    </w:p>
    <w:p>
      <w:pPr>
        <w:pStyle w:val="Heading1"/>
        <w:pageBreakBefore/>
        <w:spacing w:after="200" w:before="0"/>
      </w:pPr>
      <w:r>
        <w:rPr>
          <w:rFonts w:ascii="Georgia" w:cs="Georgia" w:eastAsia="Georgia" w:hAnsi="Georgia"/>
          <w:b/>
          <w:bCs/>
          <w:color w:val="1F3864"/>
          <w:sz w:val="32"/>
          <w:szCs w:val="32"/>
        </w:rPr>
        <w:t xml:space="preserve">Part Six — The new medieval scenes</w:t>
      </w:r>
    </w:p>
    <w:p>
      <w:pPr>
        <w:pStyle w:val="Heading2"/>
        <w:spacing w:after="120" w:before="260"/>
      </w:pPr>
      <w:r>
        <w:rPr>
          <w:rFonts w:ascii="Georgia" w:cs="Georgia" w:eastAsia="Georgia" w:hAnsi="Georgia"/>
          <w:b/>
          <w:bCs/>
          <w:color w:val="1F3864"/>
          <w:sz w:val="25"/>
          <w:szCs w:val="25"/>
        </w:rPr>
        <w:t xml:space="preserve">Decision 21 — The Alençon scene: what the crown took and what it left</w:t>
      </w:r>
    </w:p>
    <w:p>
      <w:pPr>
        <w:spacing w:after="140"/>
      </w:pPr>
      <w:r>
        <w:rPr>
          <w:rFonts w:ascii="Georgia" w:cs="Georgia" w:eastAsia="Georgia" w:hAnsi="Georgia"/>
          <w:i/>
          <w:iCs/>
          <w:color w:val="777777"/>
          <w:sz w:val="19"/>
          <w:szCs w:val="19"/>
        </w:rPr>
        <w:t xml:space="preserve">Covers rows: (gg)</w:t>
      </w:r>
    </w:p>
    <w:p>
      <w:pPr>
        <w:spacing w:after="150" w:line="290"/>
      </w:pPr>
      <w:r>
        <w:rPr>
          <w:rFonts w:ascii="Georgia" w:cs="Georgia" w:eastAsia="Georgia" w:hAnsi="Georgia"/>
          <w:b/>
          <w:bCs/>
          <w:sz w:val="22"/>
          <w:szCs w:val="22"/>
        </w:rPr>
        <w:t xml:space="preserve">The background.</w:t>
      </w:r>
      <w:r>
        <w:rPr>
          <w:rFonts w:ascii="Georgia" w:cs="Georgia" w:eastAsia="Georgia" w:hAnsi="Georgia"/>
          <w:sz w:val="22"/>
          <w:szCs w:val="22"/>
        </w:rPr>
        <w:t xml:space="preserve"> Your earlier ruling, filed as ruling (v), asked the book to itemise what an over-mighty subject loses and what he keeps when the crown breaks him. Chapter 11, section VII, is the place a medieval instance was flagged and left empty: the draft carries a gap marker, and the flag beside it paraphrases what the scene must show, "the crown retaining the artillery and the named fortresses and preserving the family's other interests". The passage does not yet exist.</w:t>
      </w:r>
    </w:p>
    <w:p>
      <w:pPr>
        <w:spacing w:after="150" w:line="290"/>
      </w:pPr>
      <w:r>
        <w:rPr>
          <w:rFonts w:ascii="Georgia" w:cs="Georgia" w:eastAsia="Georgia" w:hAnsi="Georgia"/>
          <w:sz w:val="22"/>
          <w:szCs w:val="22"/>
        </w:rPr>
        <w:t xml:space="preserve">The evidence is at T1 — the book's label for a primary source in a scholarly edition. Georges Chastellain, the Burgundian court chronicler, transcribes the sentence passed on the Duke of Alençon on 10 October 1458 in the chancellor's own words. Of the condemned peer's movable goods the king left everything to wife and children, "réservé au roy l'artillerie, harnois et autres habillemens de guerre" — reserved to the king the artillery, armour and other equipment of war (tome III, p. 486). The crown took Alençon, Domfront and Verneuil into the royal domain, and left Perche to one son "sans toutevoies aucune dignité ou prérogative de parrie" — without, however, any dignity or prerogative of the peerage (p. 487). The line the sentence draws is between appanage and patrimony: an appanage is land granted by the crown to a royal prince, and reverts to the crown; patrimony is the family's own inherited property. The crown resumed the whole appanage and left the family what was its own — with a single exception. The guns were the duke's own movable property, and were taken anyway.</w:t>
      </w:r>
    </w:p>
    <w:p>
      <w:pPr>
        <w:spacing w:after="150" w:line="290"/>
      </w:pPr>
      <w:r>
        <w:rPr>
          <w:rFonts w:ascii="Georgia" w:cs="Georgia" w:eastAsia="Georgia" w:hAnsi="Georgia"/>
          <w:sz w:val="22"/>
          <w:szCs w:val="22"/>
        </w:rPr>
        <w:t xml:space="preserve">Two cautions attach. The instrument is judicial, not military; the moderation of the sentence was obtained at the Duke of Brittany's petition; and execution was merely deferred, "jusques à son bon plaisir" — until the king's good pleasure (p. 484). A sentence that a successor may set aside is weaker than a list of transfers suggests. The sentence is also silent on the operational knowledge that went with the train — the gunners and their craft — and saying so costs nothing.</w:t>
      </w:r>
    </w:p>
    <w:p>
      <w:pPr>
        <w:spacing w:after="150" w:line="290"/>
      </w:pPr>
      <w:r>
        <w:rPr>
          <w:rFonts w:ascii="Georgia" w:cs="Georgia" w:eastAsia="Georgia" w:hAnsi="Georgia"/>
          <w:b/>
          <w:bCs/>
          <w:sz w:val="22"/>
          <w:szCs w:val="22"/>
        </w:rPr>
        <w:t xml:space="preserve">Why it matters.</w:t>
      </w:r>
      <w:r>
        <w:rPr>
          <w:rFonts w:ascii="Georgia" w:cs="Georgia" w:eastAsia="Georgia" w:hAnsi="Georgia"/>
          <w:sz w:val="22"/>
          <w:szCs w:val="22"/>
        </w:rPr>
        <w:t xml:space="preserve"> This is a placement of evidence rather than a change of argument, but it gives section VII its strongest sentence: of everything a condemned peer owned, the one thing the crown would not leave in private hands was his artillery. It is the mechanism stated in the crown's own voice. The risk is in overstatement. A reviewer who knows the reign will point out that the sentence was reversible, and if the chapter has not said so first the scene reads as more than it is.</w:t>
      </w:r>
    </w:p>
    <w:p>
      <w:pPr>
        <w:spacing w:after="150" w:line="290"/>
      </w:pPr>
      <w:r>
        <w:rPr>
          <w:rFonts w:ascii="Georgia" w:cs="Georgia" w:eastAsia="Georgia" w:hAnsi="Georgia"/>
          <w:b/>
          <w:bCs/>
          <w:sz w:val="22"/>
          <w:szCs w:val="22"/>
        </w:rPr>
        <w:t xml:space="preserve">Your choices.</w:t>
      </w:r>
      <w:r>
        <w:rPr>
          <w:rFonts w:ascii="Georgia" w:cs="Georgia" w:eastAsia="Georgia" w:hAnsi="Georgia"/>
          <w:sz w:val="22"/>
          <w:szCs w:val="22"/>
        </w:rPr>
        <w:t xml:space="preserve"> Choice A is to write the scene with the appanage-versus-patrimony precision, keep the Old French "réservé au roy l'artillerie" in the text with a translation beside it, and state the reversibility caveat in the same paragraph. The chapter gains a T1 anchor for the ruling it already made, and the caveat becomes a disanalogy the book carries proudly — a consolidation a succession could undo — rather than one produced against it. The cost is a paragraph, and a small loss of the clean list the flag imagined.</w:t>
      </w:r>
    </w:p>
    <w:p>
      <w:pPr>
        <w:spacing w:after="150" w:line="290"/>
      </w:pPr>
      <w:r>
        <w:rPr>
          <w:rFonts w:ascii="Georgia" w:cs="Georgia" w:eastAsia="Georgia" w:hAnsi="Georgia"/>
          <w:sz w:val="22"/>
          <w:szCs w:val="22"/>
        </w:rPr>
        <w:t xml:space="preserve">Choice B is the same scene with the caveat in an endnote and the Old French relegated to the note. This reads more smoothly and proves slightly less: the crown's own words are what make the sentence land, and a reviewer who finds the deferral in the note will ask why it was not in the text.</w:t>
      </w:r>
    </w:p>
    <w:p>
      <w:pPr>
        <w:spacing w:after="150" w:line="290"/>
      </w:pPr>
      <w:r>
        <w:rPr>
          <w:rFonts w:ascii="Georgia" w:cs="Georgia" w:eastAsia="Georgia" w:hAnsi="Georgia"/>
          <w:sz w:val="22"/>
          <w:szCs w:val="22"/>
        </w:rPr>
        <w:t xml:space="preserve">Choice C is to leave the gap. Section VII then has no medieval instance of ruling (v), and the chapter's list of what the crown took rests on paraphrase.</w:t>
      </w:r>
    </w:p>
    <w:p>
      <w:pPr>
        <w:spacing w:after="150" w:line="290"/>
      </w:pPr>
      <w:r>
        <w:rPr>
          <w:rFonts w:ascii="Georgia" w:cs="Georgia" w:eastAsia="Georgia" w:hAnsi="Georgia"/>
          <w:b/>
          <w:bCs/>
          <w:sz w:val="22"/>
          <w:szCs w:val="22"/>
        </w:rPr>
        <w:t xml:space="preserve">My view.</w:t>
      </w:r>
      <w:r>
        <w:rPr>
          <w:rFonts w:ascii="Georgia" w:cs="Georgia" w:eastAsia="Georgia" w:hAnsi="Georgia"/>
          <w:sz w:val="22"/>
          <w:szCs w:val="22"/>
        </w:rPr>
        <w:t xml:space="preserve"> Choice A, because the scene is only as strong as its concession, and the crown's own words are the point of using it at all.</w:t>
      </w:r>
    </w:p>
    <w:p>
      <w:pPr>
        <w:pBdr>
          <w:top w:val="single" w:color="C9A227" w:sz="6"/>
          <w:left w:val="single" w:color="C9A227" w:sz="6"/>
          <w:right w:val="single" w:color="C9A227" w:sz="6"/>
        </w:pBdr>
        <w:shd w:fill="FFF4D6" w:color="auto" w:val="clear"/>
        <w:spacing w:after="60" w:before="200"/>
      </w:pPr>
      <w:r>
        <w:rPr>
          <w:rFonts w:ascii="Georgia" w:cs="Georgia" w:eastAsia="Georgia" w:hAnsi="Georgia"/>
          <w:b/>
          <w:bCs/>
          <w:color w:val="8A6D00"/>
          <w:sz w:val="23"/>
          <w:szCs w:val="23"/>
        </w:rPr>
        <w:t xml:space="preserve">YOUR RULING:  </w:t>
      </w:r>
    </w:p>
    <w:p>
      <w:pPr>
        <w:pBdr>
          <w:left w:val="single" w:color="C9A227" w:sz="6"/>
          <w:right w:val="single" w:color="C9A227" w:sz="6"/>
        </w:pBdr>
        <w:shd w:fill="FFF4D6" w:color="auto" w:val="clear"/>
        <w:spacing w:after="40"/>
      </w:pPr>
      <w:r>
        <w:rPr>
          <w:sz w:val="22"/>
          <w:szCs w:val="22"/>
        </w:rPr>
        <w:t xml:space="preserve"> </w:t>
      </w:r>
    </w:p>
    <w:p>
      <w:pPr>
        <w:pBdr>
          <w:left w:val="single" w:color="C9A227" w:sz="6"/>
          <w:right w:val="single" w:color="C9A227" w:sz="6"/>
        </w:pBdr>
        <w:shd w:fill="FFF4D6" w:color="auto" w:val="clear"/>
        <w:spacing w:after="40"/>
      </w:pPr>
      <w:r>
        <w:rPr>
          <w:sz w:val="22"/>
          <w:szCs w:val="22"/>
        </w:rPr>
        <w:t xml:space="preserve"> </w:t>
      </w:r>
    </w:p>
    <w:p>
      <w:pPr>
        <w:pBdr>
          <w:bottom w:val="single" w:color="C9A227" w:sz="6"/>
          <w:left w:val="single" w:color="C9A227" w:sz="6"/>
          <w:right w:val="single" w:color="C9A227" w:sz="6"/>
        </w:pBdr>
        <w:shd w:fill="FFF4D6" w:color="auto" w:val="clear"/>
        <w:spacing w:after="60"/>
      </w:pPr>
      <w:r>
        <w:rPr>
          <w:sz w:val="22"/>
          <w:szCs w:val="22"/>
        </w:rPr>
        <w:t xml:space="preserve"> </w:t>
      </w:r>
    </w:p>
    <w:p>
      <w:pPr>
        <w:pStyle w:val="Heading2"/>
        <w:spacing w:after="120" w:before="260"/>
      </w:pPr>
      <w:r>
        <w:rPr>
          <w:rFonts w:ascii="Georgia" w:cs="Georgia" w:eastAsia="Georgia" w:hAnsi="Georgia"/>
          <w:b/>
          <w:bCs/>
          <w:color w:val="1F3864"/>
          <w:sz w:val="25"/>
          <w:szCs w:val="25"/>
        </w:rPr>
        <w:t xml:space="preserve">Decision 22 — The Lombards of Bruges, and the book's three words: command, dependence, capture</w:t>
      </w:r>
    </w:p>
    <w:p>
      <w:pPr>
        <w:spacing w:after="140"/>
      </w:pPr>
      <w:r>
        <w:rPr>
          <w:rFonts w:ascii="Georgia" w:cs="Georgia" w:eastAsia="Georgia" w:hAnsi="Georgia"/>
          <w:i/>
          <w:iCs/>
          <w:color w:val="777777"/>
          <w:sz w:val="19"/>
          <w:szCs w:val="19"/>
        </w:rPr>
        <w:t xml:space="preserve">Covers rows: (uuu), (aaaa)</w:t>
      </w:r>
    </w:p>
    <w:p>
      <w:pPr>
        <w:spacing w:after="150" w:line="290"/>
      </w:pPr>
      <w:r>
        <w:rPr>
          <w:rFonts w:ascii="Georgia" w:cs="Georgia" w:eastAsia="Georgia" w:hAnsi="Georgia"/>
          <w:b/>
          <w:bCs/>
          <w:sz w:val="22"/>
          <w:szCs w:val="22"/>
        </w:rPr>
        <w:t xml:space="preserve">The background.</w:t>
      </w:r>
      <w:r>
        <w:rPr>
          <w:rFonts w:ascii="Georgia" w:cs="Georgia" w:eastAsia="Georgia" w:hAnsi="Georgia"/>
          <w:sz w:val="22"/>
          <w:szCs w:val="22"/>
        </w:rPr>
        <w:t xml:space="preserve"> On 14 September you ruled (decision 3, filed as row (x)) that the book should distinguish three ways a state can stand towards the people who supply what it cannot make for itself: command, where the state can simply order; dependence, where it needs the supplier and knows it; and capture, where the supplier has got inside the state's own decision-making. Chapter 10 section VIII is where that triad is to be defined, and at present the section carries only a placeholder marker for the ruling. The chapter's footer ledger, the short record at the end of every draft that counts the chapter's coined concepts, metaphors and aphorisms against the voice rules (at most one of each per chapter), currently reads "none coined".</w:t>
      </w:r>
    </w:p>
    <w:p>
      <w:pPr>
        <w:spacing w:after="150" w:line="290"/>
      </w:pPr>
      <w:r>
        <w:rPr>
          <w:rFonts w:ascii="Georgia" w:cs="Georgia" w:eastAsia="Georgia" w:hAnsi="Georgia"/>
          <w:sz w:val="22"/>
          <w:szCs w:val="22"/>
        </w:rPr>
        <w:t xml:space="preserve">Two things have since been found. The first is a scene. Georges Chastellain, the official chronicler of the Burgundian court, whose third volume is now in the repository in Kervyn de Lettenhove's edition, records at chapter LXI (tome III, pages 314 to 316) what happened at Bruges in 1457 when three Piedmontese banking tables fled by night with their depositors' money. The duke inventoried the houses, confiscated the deposits of burgesses who had lent at interest, fined them, and put every bank in his lands to composition. Then the sentence the book wants: the towns were long without any Lombards to lend, "là où le peuple toutevoies, selon la nature de luy ancienne, se peut mal passer de eux. Et par ainsi, le duc enfin estoit constraint de les y remettre par la nécessité publique" (page 316) — the people could ill do without them, and so the duke was in the end constrained to restore them by public necessity. This is a source of the highest grade the book uses, what the doctrine calls T1, a primary document in a scholarly edition. The assessment attaches two cautions. The punishment was for a failure and a flight, not for lending as such; and it was fiscal in form, the state profiting from the seizure before dependence forced the restoration. Wherever the scene goes, the extraction must travel with the dependence, or the passage flatters the state.</w:t>
      </w:r>
    </w:p>
    <w:p>
      <w:pPr>
        <w:spacing w:after="150" w:line="290"/>
      </w:pPr>
      <w:r>
        <w:rPr>
          <w:rFonts w:ascii="Georgia" w:cs="Georgia" w:eastAsia="Georgia" w:hAnsi="Georgia"/>
          <w:sz w:val="22"/>
          <w:szCs w:val="22"/>
        </w:rPr>
        <w:t xml:space="preserve">The second is a check on the words. Your voice rule of 1 August requires any coined concept to be tested against existing scholarship before the ledger claims it. Colin Crouch, the British political scientist whose 2000 Fabian pamphlet </w:t>
      </w:r>
      <w:r>
        <w:rPr>
          <w:rFonts w:ascii="Georgia" w:cs="Georgia" w:eastAsia="Georgia" w:hAnsi="Georgia"/>
          <w:i/>
          <w:iCs/>
          <w:sz w:val="22"/>
          <w:szCs w:val="22"/>
        </w:rPr>
        <w:t xml:space="preserve">Coping with Post-Democracy</w:t>
      </w:r>
      <w:r>
        <w:rPr>
          <w:rFonts w:ascii="Georgia" w:cs="Georgia" w:eastAsia="Georgia" w:hAnsi="Georgia"/>
          <w:sz w:val="22"/>
          <w:szCs w:val="22"/>
        </w:rPr>
        <w:t xml:space="preserve"> is in the corpus, has two of the three in substance: dependence, where the state "loses touch with the knowledge necessary to understand certain activities" and "is therefore forced to sub-contract further" (Crouch, PDF page 17), and capture, where the state's policy-making machinery "has itself become endogenous to the problem of the power of the corporate elite". Command he lacks entirely; his state's only weapon is "a bluff which the political world is afraid to call". Henry Farrell and Abraham Newman, the two American political scientists whose 2019 article introduced "weaponized interdependence", own the word "chokepoint", which chapter 10 uses without attribution. Tai Ming Cheung's study of the Chinese defence industry supplies capture in state-owned form: the state monopolies "have so far successfully limited meaningful implementation of these market-opening measures" (page 172). And Jan Glete, a Swedish historian of early-modern navies, raises a question the same section cannot dodge: the earliest state-owned navies were "created by naval-minded kings for protection selling and as instruments of dynastic ambition" (page 39), where no wall was ever broken, so artillery against walls is one form of the book's capital-intensity mechanism rather than its only form.</w:t>
      </w:r>
    </w:p>
    <w:p>
      <w:pPr>
        <w:spacing w:after="150" w:line="290"/>
      </w:pPr>
      <w:r>
        <w:rPr>
          <w:rFonts w:ascii="Georgia" w:cs="Georgia" w:eastAsia="Georgia" w:hAnsi="Georgia"/>
          <w:sz w:val="22"/>
          <w:szCs w:val="22"/>
        </w:rPr>
        <w:t xml:space="preserve">Row (uuu) also asks whether Carl Schmitt should stand beside Otto Brunner in chapter 8 section III. The assessment places Schmitt at footnote level in chapters 1 and 2 and out of chapter 10's text; adding him to chapter 8 buys a jurist's confirmation at the cost of a name whose provenance then has to be stated.</w:t>
      </w:r>
    </w:p>
    <w:p>
      <w:pPr>
        <w:spacing w:after="150" w:line="290"/>
      </w:pPr>
      <w:r>
        <w:rPr>
          <w:rFonts w:ascii="Georgia" w:cs="Georgia" w:eastAsia="Georgia" w:hAnsi="Georgia"/>
          <w:b/>
          <w:bCs/>
          <w:sz w:val="22"/>
          <w:szCs w:val="22"/>
        </w:rPr>
        <w:t xml:space="preserve">Why it matters.</w:t>
      </w:r>
      <w:r>
        <w:rPr>
          <w:rFonts w:ascii="Georgia" w:cs="Georgia" w:eastAsia="Georgia" w:hAnsi="Georgia"/>
          <w:sz w:val="22"/>
          <w:szCs w:val="22"/>
        </w:rPr>
        <w:t xml:space="preserve"> This is a medium-sized point with one large consequence. The triad is the vocabulary chapter 12 uses to say what kind of settlement it predicts for the platforms (command with dependence), so the words need a firm definition and a firm historical anchor. If the ledger claims the triad as a coinage and a reviewer who knows Crouch finds two of its three terms in a 2000 pamphlet, the failure is on the record in the book's own apparatus. If the naval question is left unanswered in the very section that defines the mechanism's vocabulary, the chapter's one coinage rests on a claim its own cited authority contradicts.</w:t>
      </w:r>
    </w:p>
    <w:p>
      <w:pPr>
        <w:spacing w:after="150" w:line="290"/>
      </w:pPr>
      <w:r>
        <w:rPr>
          <w:rFonts w:ascii="Georgia" w:cs="Georgia" w:eastAsia="Georgia" w:hAnsi="Georgia"/>
          <w:b/>
          <w:bCs/>
          <w:sz w:val="22"/>
          <w:szCs w:val="22"/>
        </w:rPr>
        <w:t xml:space="preserve">Your choices.</w:t>
      </w:r>
      <w:r>
        <w:rPr>
          <w:rFonts w:ascii="Georgia" w:cs="Georgia" w:eastAsia="Georgia" w:hAnsi="Georgia"/>
          <w:sz w:val="22"/>
          <w:szCs w:val="22"/>
        </w:rPr>
        <w:t xml:space="preserve"> Choice A puts the Lombards at chapter 10 section VIII as the T1 anchor for dependence, claims the triad as the chapter's one coinage with the pedigree paid, and answers the naval question in the same section. The ledger line says plainly that dependence and capture have Crouch's pedigree and command is yours; "chokepoint" is footnoted to Farrell and Newman; chapter 8 section VII carries one cross-referring clause with the Burgundy caution, that here was a prince who enforced without a permanent fisc and financed the enforcement from the seizure; and one sentence concedes that the navy is a second form of the capital-intensity mechanism. The cost is a fuller section and a ledger line that admits two-thirds of the triad is inherited. What it buys is a phrase the century itself supplies, "nécessité publique", two hundred years before the Stationers or the Arsenal, and a coinage claim no reviewer can undo.</w:t>
      </w:r>
    </w:p>
    <w:p>
      <w:pPr>
        <w:spacing w:after="150" w:line="290"/>
      </w:pPr>
      <w:r>
        <w:rPr>
          <w:rFonts w:ascii="Georgia" w:cs="Georgia" w:eastAsia="Georgia" w:hAnsi="Georgia"/>
          <w:sz w:val="22"/>
          <w:szCs w:val="22"/>
        </w:rPr>
        <w:t xml:space="preserve">Choice B puts the Lombards in chapter 8 instead, at section V or section VII, as a case of enforcement, and leaves chapter 10 to define the triad without a fifteenth-century anchor in the same place. Chapter 8 is about enforcement, and a duke who enforces and then retreats is a genuine instance for it. The cost is that the scene becomes one more example in a chapter that has several, and that the definition in chapter 10 loses its best witness. A reviewer would not fault it, but the argument would be weaker where it needs to be strongest.</w:t>
      </w:r>
    </w:p>
    <w:p>
      <w:pPr>
        <w:spacing w:after="150" w:line="290"/>
      </w:pPr>
      <w:r>
        <w:rPr>
          <w:rFonts w:ascii="Georgia" w:cs="Georgia" w:eastAsia="Georgia" w:hAnsi="Georgia"/>
          <w:sz w:val="22"/>
          <w:szCs w:val="22"/>
        </w:rPr>
        <w:t xml:space="preserve">Choice C declines the coinage claim: the three words are used as ordinary vocabulary, Crouch is cited for the two that are his, and the ledger keeps "none coined", conserving chapter 10's allowance for something else. This is the safest position on originality and the weakest on force; the book's predictive vocabulary would then belong, on paper, to someone else.</w:t>
      </w:r>
    </w:p>
    <w:p>
      <w:pPr>
        <w:spacing w:after="150" w:line="290"/>
      </w:pPr>
      <w:r>
        <w:rPr>
          <w:rFonts w:ascii="Georgia" w:cs="Georgia" w:eastAsia="Georgia" w:hAnsi="Georgia"/>
          <w:sz w:val="22"/>
          <w:szCs w:val="22"/>
        </w:rPr>
        <w:t xml:space="preserve">On Schmitt in chapter 8 section III, the sub-choice is simply to add him or omit him; adding him costs a provenance note, omitting him costs nothing.</w:t>
      </w:r>
    </w:p>
    <w:p>
      <w:pPr>
        <w:spacing w:after="150" w:line="290"/>
      </w:pPr>
      <w:r>
        <w:rPr>
          <w:rFonts w:ascii="Georgia" w:cs="Georgia" w:eastAsia="Georgia" w:hAnsi="Georgia"/>
          <w:b/>
          <w:bCs/>
          <w:sz w:val="22"/>
          <w:szCs w:val="22"/>
        </w:rPr>
        <w:t xml:space="preserve">My view.</w:t>
      </w:r>
      <w:r>
        <w:rPr>
          <w:rFonts w:ascii="Georgia" w:cs="Georgia" w:eastAsia="Georgia" w:hAnsi="Georgia"/>
          <w:sz w:val="22"/>
          <w:szCs w:val="22"/>
        </w:rPr>
        <w:t xml:space="preserve"> Choice A, and omit Schmitt from chapter 8: the honest ledger line is the whole point of the 1 August rule, and the phrase at page 316 is worth more where the words are defined than where they are merely illustrated. This is a view.</w:t>
      </w:r>
    </w:p>
    <w:p>
      <w:pPr>
        <w:pBdr>
          <w:top w:val="single" w:color="C9A227" w:sz="6"/>
          <w:left w:val="single" w:color="C9A227" w:sz="6"/>
          <w:right w:val="single" w:color="C9A227" w:sz="6"/>
        </w:pBdr>
        <w:shd w:fill="FFF4D6" w:color="auto" w:val="clear"/>
        <w:spacing w:after="60" w:before="200"/>
      </w:pPr>
      <w:r>
        <w:rPr>
          <w:rFonts w:ascii="Georgia" w:cs="Georgia" w:eastAsia="Georgia" w:hAnsi="Georgia"/>
          <w:b/>
          <w:bCs/>
          <w:color w:val="8A6D00"/>
          <w:sz w:val="23"/>
          <w:szCs w:val="23"/>
        </w:rPr>
        <w:t xml:space="preserve">YOUR RULING:  </w:t>
      </w:r>
    </w:p>
    <w:p>
      <w:pPr>
        <w:pBdr>
          <w:left w:val="single" w:color="C9A227" w:sz="6"/>
          <w:right w:val="single" w:color="C9A227" w:sz="6"/>
        </w:pBdr>
        <w:shd w:fill="FFF4D6" w:color="auto" w:val="clear"/>
        <w:spacing w:after="40"/>
      </w:pPr>
      <w:r>
        <w:rPr>
          <w:sz w:val="22"/>
          <w:szCs w:val="22"/>
        </w:rPr>
        <w:t xml:space="preserve"> </w:t>
      </w:r>
    </w:p>
    <w:p>
      <w:pPr>
        <w:pBdr>
          <w:left w:val="single" w:color="C9A227" w:sz="6"/>
          <w:right w:val="single" w:color="C9A227" w:sz="6"/>
        </w:pBdr>
        <w:shd w:fill="FFF4D6" w:color="auto" w:val="clear"/>
        <w:spacing w:after="40"/>
      </w:pPr>
      <w:r>
        <w:rPr>
          <w:sz w:val="22"/>
          <w:szCs w:val="22"/>
        </w:rPr>
        <w:t xml:space="preserve"> </w:t>
      </w:r>
    </w:p>
    <w:p>
      <w:pPr>
        <w:pBdr>
          <w:bottom w:val="single" w:color="C9A227" w:sz="6"/>
          <w:left w:val="single" w:color="C9A227" w:sz="6"/>
          <w:right w:val="single" w:color="C9A227" w:sz="6"/>
        </w:pBdr>
        <w:shd w:fill="FFF4D6" w:color="auto" w:val="clear"/>
        <w:spacing w:after="60"/>
      </w:pPr>
      <w:r>
        <w:rPr>
          <w:sz w:val="22"/>
          <w:szCs w:val="22"/>
        </w:rPr>
        <w:t xml:space="preserve"> </w:t>
      </w:r>
    </w:p>
    <w:p>
      <w:pPr>
        <w:pStyle w:val="Heading2"/>
        <w:spacing w:after="120" w:before="260"/>
      </w:pPr>
      <w:r>
        <w:rPr>
          <w:rFonts w:ascii="Georgia" w:cs="Georgia" w:eastAsia="Georgia" w:hAnsi="Georgia"/>
          <w:b/>
          <w:bCs/>
          <w:color w:val="1F3864"/>
          <w:sz w:val="25"/>
          <w:szCs w:val="25"/>
        </w:rPr>
        <w:t xml:space="preserve">Decision 23 — Smaller medieval placements</w:t>
      </w:r>
    </w:p>
    <w:p>
      <w:pPr>
        <w:spacing w:after="140"/>
      </w:pPr>
      <w:r>
        <w:rPr>
          <w:rFonts w:ascii="Georgia" w:cs="Georgia" w:eastAsia="Georgia" w:hAnsi="Georgia"/>
          <w:i/>
          <w:iCs/>
          <w:color w:val="777777"/>
          <w:sz w:val="19"/>
          <w:szCs w:val="19"/>
        </w:rPr>
        <w:t xml:space="preserve">Covers rows: (lll), (ppp), (kkk), (jjjj), (qqqq)</w:t>
      </w:r>
    </w:p>
    <w:p>
      <w:pPr>
        <w:spacing w:after="150" w:line="290"/>
      </w:pPr>
      <w:r>
        <w:rPr>
          <w:rFonts w:ascii="Georgia" w:cs="Georgia" w:eastAsia="Georgia" w:hAnsi="Georgia"/>
          <w:b/>
          <w:bCs/>
          <w:sz w:val="22"/>
          <w:szCs w:val="22"/>
        </w:rPr>
        <w:t xml:space="preserve">The background.</w:t>
      </w:r>
      <w:r>
        <w:rPr>
          <w:rFonts w:ascii="Georgia" w:cs="Georgia" w:eastAsia="Georgia" w:hAnsi="Georgia"/>
          <w:sz w:val="22"/>
          <w:szCs w:val="22"/>
        </w:rPr>
        <w:t xml:space="preserve"> Five rows, all placement, none touching the argument's direction. I take them in order, and I note first that the Lepore rows of 28 September refer to chapter 9 sections VIII and IX where the September 16 rows refer to sections VI and VII, so the chapter's sections have evidently been renumbered in the renovated text; the substance is unchanged and I use the numbering each row uses.</w:t>
      </w:r>
    </w:p>
    <w:p>
      <w:pPr>
        <w:spacing w:after="150" w:line="290"/>
      </w:pPr>
      <w:r>
        <w:rPr>
          <w:rFonts w:ascii="Georgia" w:cs="Georgia" w:eastAsia="Georgia" w:hAnsi="Georgia"/>
          <w:sz w:val="22"/>
          <w:szCs w:val="22"/>
        </w:rPr>
        <w:t xml:space="preserve">First, Charles VII's court. Chapter 5 sections VI and VII close the French recovery without showing that the recovering monarchy was itself managing great subjects at the same moment. Chastellain's third volume, the Burgundian court chronicle now in the repository at T1 (a primary source in a scholarly edition), supplies the scenes for 1454 to 1458: the crown at Lyon in 1456 "pour mettre en son obéissance tout le pays du Dauphiné" after the dauphin's flight, the governor yielding on the view that the country could not resist "à l'encontre de sa puissance" (pages 225 to 226); the duke of Alençon arrested in Paris in 1456 for treating with the English and sentenced on 10 October 1458; and Burgundy, exempt under the treaty of Arras from personal summons, summoned "comme doien des pairs" regardless (page 417), the king crying the arrière-ban even in the pledged Somme towns (page 423), while Chastellain read the sentence on the lesser peer as meant to "donner fréeur au duc de Bourgongne" (page 422). Three of the row's pins, pages 178, 200 and 216 to 217, are not carried in the assessment and cannot be verified from what I have. Row (jjjj) offers the same court as a converse case in chapter 9 section III, where the two English designs "failed in opposite ways"; it would be a French comparator in an English chapter, and it would tell the Alençon story a second time, thinly, before chapter 11 tells it properly.</w:t>
      </w:r>
    </w:p>
    <w:p>
      <w:pPr>
        <w:spacing w:after="150" w:line="290"/>
      </w:pPr>
      <w:r>
        <w:rPr>
          <w:rFonts w:ascii="Georgia" w:cs="Georgia" w:eastAsia="Georgia" w:hAnsi="Georgia"/>
          <w:sz w:val="22"/>
          <w:szCs w:val="22"/>
        </w:rPr>
        <w:t xml:space="preserve">Second, chapter 7. Four small items. James C. Scott, the American political scientist whose </w:t>
      </w:r>
      <w:r>
        <w:rPr>
          <w:rFonts w:ascii="Georgia" w:cs="Georgia" w:eastAsia="Georgia" w:hAnsi="Georgia"/>
          <w:i/>
          <w:iCs/>
          <w:sz w:val="22"/>
          <w:szCs w:val="22"/>
        </w:rPr>
        <w:t xml:space="preserve">Seeing Like a State</w:t>
      </w:r>
      <w:r>
        <w:rPr>
          <w:rFonts w:ascii="Georgia" w:cs="Georgia" w:eastAsia="Georgia" w:hAnsi="Georgia"/>
          <w:sz w:val="22"/>
          <w:szCs w:val="22"/>
        </w:rPr>
        <w:t xml:space="preserve"> supplied the book's word "legibility", records that the rising of 1381 "is attributed to an unprecedented decade of registrations and assessments of poll taxes" (page 68), which makes it a rising against registration itself and completes the chapter's pattern at its most interesting point. David Stasavage, an American political scientist whose </w:t>
      </w:r>
      <w:r>
        <w:rPr>
          <w:rFonts w:ascii="Georgia" w:cs="Georgia" w:eastAsia="Georgia" w:hAnsi="Georgia"/>
          <w:i/>
          <w:iCs/>
          <w:sz w:val="22"/>
          <w:szCs w:val="22"/>
        </w:rPr>
        <w:t xml:space="preserve">States of Credit</w:t>
      </w:r>
      <w:r>
        <w:rPr>
          <w:rFonts w:ascii="Georgia" w:cs="Georgia" w:eastAsia="Georgia" w:hAnsi="Georgia"/>
          <w:sz w:val="22"/>
          <w:szCs w:val="22"/>
        </w:rPr>
        <w:t xml:space="preserve"> is the standard quantitative account of early public debt, names who paid: "merchants tended to own debt whereas members of the craft guilds bore a significant part of the tax burden necessary to service this debt" (chapter 1). Chastellain gives Alençon's arrest of 1456 at pages 100 to 101 and the sentence at pages 478 to 488, so that the chapter's existing note that the Praguerie rebels including Alençon "retired to their lordships unpunished" in 1440 can be bracketed with 1458 in one clause. And Chastellain gives Ghent's submission of 1458 at pages 412 to 413, the city meeting its prince in black with the keys under the legend "Veni nobis, pacificus dominus; utere servitio nostro". Ghent is the most vivid image on offer and genuinely evidenced, but it is a submission scene, not a rising, and the section it would enter is about resistance to fiscal legibility.</w:t>
      </w:r>
    </w:p>
    <w:p>
      <w:pPr>
        <w:spacing w:after="150" w:line="290"/>
      </w:pPr>
      <w:r>
        <w:rPr>
          <w:rFonts w:ascii="Georgia" w:cs="Georgia" w:eastAsia="Georgia" w:hAnsi="Georgia"/>
          <w:sz w:val="22"/>
          <w:szCs w:val="22"/>
        </w:rPr>
        <w:t xml:space="preserve">Third, chapter 5's bridge. Section I carries a paragraph flagged [BRIDGE], the marker for the joints between the medieval and the modern material that the doctrine reserves for your own hand. Kervyn's note at tome III page 7 confirms that the preceding volume of Chastellain's chronicle is lost, consistent with the break at the close of tome II. Concretely, the Burgundian chronicler's pages for 1453, the year of Castillon, the fall of Bordeaux and the king's collapse, are not in the corpus, and nothing in it replaces them. The question is whether the bridge tells the reader so.</w:t>
      </w:r>
    </w:p>
    <w:p>
      <w:pPr>
        <w:spacing w:after="150" w:line="290"/>
      </w:pPr>
      <w:r>
        <w:rPr>
          <w:rFonts w:ascii="Georgia" w:cs="Georgia" w:eastAsia="Georgia" w:hAnsi="Georgia"/>
          <w:sz w:val="22"/>
          <w:szCs w:val="22"/>
        </w:rPr>
        <w:t xml:space="preserve">Fourth, chapter 9's three footnotes. Walter Bagehot, the Victorian editor of </w:t>
      </w:r>
      <w:r>
        <w:rPr>
          <w:rFonts w:ascii="Georgia" w:cs="Georgia" w:eastAsia="Georgia" w:hAnsi="Georgia"/>
          <w:i/>
          <w:iCs/>
          <w:sz w:val="22"/>
          <w:szCs w:val="22"/>
        </w:rPr>
        <w:t xml:space="preserve">The Economist</w:t>
      </w:r>
      <w:r>
        <w:rPr>
          <w:rFonts w:ascii="Georgia" w:cs="Georgia" w:eastAsia="Georgia" w:hAnsi="Georgia"/>
          <w:sz w:val="22"/>
          <w:szCs w:val="22"/>
        </w:rPr>
        <w:t xml:space="preserve"> whose </w:t>
      </w:r>
      <w:r>
        <w:rPr>
          <w:rFonts w:ascii="Georgia" w:cs="Georgia" w:eastAsia="Georgia" w:hAnsi="Georgia"/>
          <w:i/>
          <w:iCs/>
          <w:sz w:val="22"/>
          <w:szCs w:val="22"/>
        </w:rPr>
        <w:t xml:space="preserve">English Constitution</w:t>
      </w:r>
      <w:r>
        <w:rPr>
          <w:rFonts w:ascii="Georgia" w:cs="Georgia" w:eastAsia="Georgia" w:hAnsi="Georgia"/>
          <w:sz w:val="22"/>
          <w:szCs w:val="22"/>
        </w:rPr>
        <w:t xml:space="preserve"> (1867, second edition 1872) is in the corpus, gives George III as the prototype of the returning personal ruler, "a secret power which is always eager, which is generally obstinate, which is often wrong … which is irresponsible because it is inscrutable, which cannot be prevented because it cannot be seen" (PDF page 46), for section VI's OpenAI passage. Stephen Krasner, the American political scientist of </w:t>
      </w:r>
      <w:r>
        <w:rPr>
          <w:rFonts w:ascii="Georgia" w:cs="Georgia" w:eastAsia="Georgia" w:hAnsi="Georgia"/>
          <w:i/>
          <w:iCs/>
          <w:sz w:val="22"/>
          <w:szCs w:val="22"/>
        </w:rPr>
        <w:t xml:space="preserve">Sovereignty: Organized Hypocrisy</w:t>
      </w:r>
      <w:r>
        <w:rPr>
          <w:rFonts w:ascii="Georgia" w:cs="Georgia" w:eastAsia="Georgia" w:hAnsi="Georgia"/>
          <w:sz w:val="22"/>
          <w:szCs w:val="22"/>
        </w:rPr>
        <w:t xml:space="preserve">, separates authority from control (pages 4 and 10), for a footnote at section I. Cheung supplies the Chinese commissions as "a personalistic symbol of Xi's command" (page 67), the triumvirate of commissions (page 284), and deputies who "lack the political qualifications to take over in anything more than a short-term acting capacity" (pages 285 to 286), for section V's Xi paragraph.</w:t>
      </w:r>
    </w:p>
    <w:p>
      <w:pPr>
        <w:spacing w:after="150" w:line="290"/>
      </w:pPr>
      <w:r>
        <w:rPr>
          <w:rFonts w:ascii="Georgia" w:cs="Georgia" w:eastAsia="Georgia" w:hAnsi="Georgia"/>
          <w:sz w:val="22"/>
          <w:szCs w:val="22"/>
        </w:rPr>
        <w:t xml:space="preserve">Fifth, the Lepore placements. Jill Lepore, the Harvard historian whose </w:t>
      </w:r>
      <w:r>
        <w:rPr>
          <w:rFonts w:ascii="Georgia" w:cs="Georgia" w:eastAsia="Georgia" w:hAnsi="Georgia"/>
          <w:i/>
          <w:iCs/>
          <w:sz w:val="22"/>
          <w:szCs w:val="22"/>
        </w:rPr>
        <w:t xml:space="preserve">Rise and Fall of the Artificial State</w:t>
      </w:r>
      <w:r>
        <w:rPr>
          <w:rFonts w:ascii="Georgia" w:cs="Georgia" w:eastAsia="Georgia" w:hAnsi="Georgia"/>
          <w:sz w:val="22"/>
          <w:szCs w:val="22"/>
        </w:rPr>
        <w:t xml:space="preserve"> arrived on 28 September without a title or copyright page (so no imprint or year may be cited, and every page reference is provisional), offers chapter 9 three things. A footnote illustration: her summary of Douglas Adams's Zaphod Beeblebrox as "a mere figurehead, chosen not by voters but by the government to serve as a diversion from its criminality" (printed page 210 / PDF page 224), which must be credited as her reading of a novel and never as evidence about a real constitution. A correction to the DOGE sentence at section VIII: the department "drew its inspiration from RAGE—Retire All Government Employees—by the neo-monarchist Curtis Yarvin", and "His aim was to replace humans with bots" (printed page 112 / PDF page 126). And a correction to section IX's claim that "the frontier labs have begun writing their own regency instruments" and that the substitutes are institutionalising: "No promised world governance board was ever assembled … no constitutional convention was ever held", and Anthropic's constitution "was written chiefly by a philosopher working for Anthropic" (printed pages 105 to 106 / PDF pages 119 to 120). She is graded T3, serious trade synthesis, so the labs' own documents must carry the correction, with her as the pointer.</w:t>
      </w:r>
    </w:p>
    <w:p>
      <w:pPr>
        <w:spacing w:after="150" w:line="290"/>
      </w:pPr>
      <w:r>
        <w:rPr>
          <w:rFonts w:ascii="Georgia" w:cs="Georgia" w:eastAsia="Georgia" w:hAnsi="Georgia"/>
          <w:b/>
          <w:bCs/>
          <w:sz w:val="22"/>
          <w:szCs w:val="22"/>
        </w:rPr>
        <w:t xml:space="preserve">Why it matters.</w:t>
      </w:r>
      <w:r>
        <w:rPr>
          <w:rFonts w:ascii="Georgia" w:cs="Georgia" w:eastAsia="Georgia" w:hAnsi="Georgia"/>
          <w:sz w:val="22"/>
          <w:szCs w:val="22"/>
        </w:rPr>
        <w:t xml:space="preserve"> Individually these are small. Together they decide whether Part II shows consolidation as contested management or as accomplished fact, whether chapter 9's modern paragraphs rest on pinned claims or assertions, and whether the book is caught saying the labs' constitutional instruments are institutionalising when the most recent account by a serious historian says the promised institutions were never built. That last is the only item a hostile reviewer would actually use.</w:t>
      </w:r>
    </w:p>
    <w:p>
      <w:pPr>
        <w:spacing w:after="150" w:line="290"/>
      </w:pPr>
      <w:r>
        <w:rPr>
          <w:rFonts w:ascii="Georgia" w:cs="Georgia" w:eastAsia="Georgia" w:hAnsi="Georgia"/>
          <w:b/>
          <w:bCs/>
          <w:sz w:val="22"/>
          <w:szCs w:val="22"/>
        </w:rPr>
        <w:t xml:space="preserve">Your choices.</w:t>
      </w:r>
      <w:r>
        <w:rPr>
          <w:rFonts w:ascii="Georgia" w:cs="Georgia" w:eastAsia="Georgia" w:hAnsi="Georgia"/>
          <w:sz w:val="22"/>
          <w:szCs w:val="22"/>
        </w:rPr>
        <w:t xml:space="preserve"> On Charles VII's court, choice A is one paragraph in chapter 5, built only on the pins the assessment verifies (pages 225 to 226, 417, 422, 423), and nothing in chapter 9; the cost is a paragraph and the acceptance that a partisan Burgundian is the witness, the gain a chapter that shows the recovering crown managing its own over-mighty subjects in the century's own words. Choice B places it in chapter 9 section III as well or instead, which makes the two-designs sentence less schematic at the price of a French comparator where the reader does not expect one and a rehearsal of Alençon before chapter 11.</w:t>
      </w:r>
    </w:p>
    <w:p>
      <w:pPr>
        <w:spacing w:after="150" w:line="290"/>
      </w:pPr>
      <w:r>
        <w:rPr>
          <w:rFonts w:ascii="Georgia" w:cs="Georgia" w:eastAsia="Georgia" w:hAnsi="Georgia"/>
          <w:sz w:val="22"/>
          <w:szCs w:val="22"/>
        </w:rPr>
        <w:t xml:space="preserve">On chapter 7, choice A takes 1381, the debt–tax cleavage and the Alençon bracket, at footnote scale, and leaves Ghent out; choice B takes Ghent too, at section V, where it would be the chapter's most memorable image and would prove less than it appears to.</w:t>
      </w:r>
    </w:p>
    <w:p>
      <w:pPr>
        <w:spacing w:after="150" w:line="290"/>
      </w:pPr>
      <w:r>
        <w:rPr>
          <w:rFonts w:ascii="Georgia" w:cs="Georgia" w:eastAsia="Georgia" w:hAnsi="Georgia"/>
          <w:sz w:val="22"/>
          <w:szCs w:val="22"/>
        </w:rPr>
        <w:t xml:space="preserve">On the bridge, choice A names the lost chronicle in the prose, which shows at the first weight-bearing point that you know where the corpus has holes and risks preciousness at a joint meant to move the reader forward; choice B puts the fact in the endnote to the bridge, doing the evidentiary work without slowing the passage; choice C says nothing. The bridge is yours to write whichever you choose.</w:t>
      </w:r>
    </w:p>
    <w:p>
      <w:pPr>
        <w:spacing w:after="150" w:line="290"/>
      </w:pPr>
      <w:r>
        <w:rPr>
          <w:rFonts w:ascii="Georgia" w:cs="Georgia" w:eastAsia="Georgia" w:hAnsi="Georgia"/>
          <w:sz w:val="22"/>
          <w:szCs w:val="22"/>
        </w:rPr>
        <w:t xml:space="preserve">On the three chapter 9 footnotes, choice A takes all three; choice B takes none. There is no real cost to taking them, and the Cheung note turns the Xi paragraph from an assertion into a pinned claim.</w:t>
      </w:r>
    </w:p>
    <w:p>
      <w:pPr>
        <w:spacing w:after="150" w:line="290"/>
      </w:pPr>
      <w:r>
        <w:rPr>
          <w:rFonts w:ascii="Georgia" w:cs="Georgia" w:eastAsia="Georgia" w:hAnsi="Georgia"/>
          <w:sz w:val="22"/>
          <w:szCs w:val="22"/>
        </w:rPr>
        <w:t xml:space="preserve">On Lepore, choice A takes the Zaphod footnote credited to her reading of Adams, adds RAGE and the bots aim to the DOGE sentence, and rewrites the section IX sentence so that it rests on no instrument whose constitutional character was announced and not built, with the labs' documents cited and Lepore as the signpost. Choice B takes the two corrections and drops the Zaphod footnote, on the ground that a novel's joke does not belong in the apparatus of a chapter about incapacity. Choice C leaves section IX as it stands, which a reviewer holding Lepore would mark as overtaken.</w:t>
      </w:r>
    </w:p>
    <w:p>
      <w:pPr>
        <w:spacing w:after="150" w:line="290"/>
      </w:pPr>
      <w:r>
        <w:rPr>
          <w:rFonts w:ascii="Georgia" w:cs="Georgia" w:eastAsia="Georgia" w:hAnsi="Georgia"/>
          <w:b/>
          <w:bCs/>
          <w:sz w:val="22"/>
          <w:szCs w:val="22"/>
        </w:rPr>
        <w:t xml:space="preserve">My view.</w:t>
      </w:r>
      <w:r>
        <w:rPr>
          <w:rFonts w:ascii="Georgia" w:cs="Georgia" w:eastAsia="Georgia" w:hAnsi="Georgia"/>
          <w:sz w:val="22"/>
          <w:szCs w:val="22"/>
        </w:rPr>
        <w:t xml:space="preserve"> Take choice A in every case except the bridge, where I would put the lacuna in the note and leave the sentence to you; and on Lepore I would drop the Zaphod footnote as a matter of taste and keep both corrections. This is a view.</w:t>
      </w:r>
    </w:p>
    <w:p>
      <w:pPr>
        <w:pBdr>
          <w:top w:val="single" w:color="C9A227" w:sz="6"/>
          <w:left w:val="single" w:color="C9A227" w:sz="6"/>
          <w:right w:val="single" w:color="C9A227" w:sz="6"/>
        </w:pBdr>
        <w:shd w:fill="FFF4D6" w:color="auto" w:val="clear"/>
        <w:spacing w:after="60" w:before="200"/>
      </w:pPr>
      <w:r>
        <w:rPr>
          <w:rFonts w:ascii="Georgia" w:cs="Georgia" w:eastAsia="Georgia" w:hAnsi="Georgia"/>
          <w:b/>
          <w:bCs/>
          <w:color w:val="8A6D00"/>
          <w:sz w:val="23"/>
          <w:szCs w:val="23"/>
        </w:rPr>
        <w:t xml:space="preserve">YOUR RULING:  </w:t>
      </w:r>
    </w:p>
    <w:p>
      <w:pPr>
        <w:pBdr>
          <w:left w:val="single" w:color="C9A227" w:sz="6"/>
          <w:right w:val="single" w:color="C9A227" w:sz="6"/>
        </w:pBdr>
        <w:shd w:fill="FFF4D6" w:color="auto" w:val="clear"/>
        <w:spacing w:after="40"/>
      </w:pPr>
      <w:r>
        <w:rPr>
          <w:sz w:val="22"/>
          <w:szCs w:val="22"/>
        </w:rPr>
        <w:t xml:space="preserve"> </w:t>
      </w:r>
    </w:p>
    <w:p>
      <w:pPr>
        <w:pBdr>
          <w:left w:val="single" w:color="C9A227" w:sz="6"/>
          <w:right w:val="single" w:color="C9A227" w:sz="6"/>
        </w:pBdr>
        <w:shd w:fill="FFF4D6" w:color="auto" w:val="clear"/>
        <w:spacing w:after="40"/>
      </w:pPr>
      <w:r>
        <w:rPr>
          <w:sz w:val="22"/>
          <w:szCs w:val="22"/>
        </w:rPr>
        <w:t xml:space="preserve"> </w:t>
      </w:r>
    </w:p>
    <w:p>
      <w:pPr>
        <w:pBdr>
          <w:bottom w:val="single" w:color="C9A227" w:sz="6"/>
          <w:left w:val="single" w:color="C9A227" w:sz="6"/>
          <w:right w:val="single" w:color="C9A227" w:sz="6"/>
        </w:pBdr>
        <w:shd w:fill="FFF4D6" w:color="auto" w:val="clear"/>
        <w:spacing w:after="60"/>
      </w:pPr>
      <w:r>
        <w:rPr>
          <w:sz w:val="22"/>
          <w:szCs w:val="22"/>
        </w:rPr>
        <w:t xml:space="preserve"> </w:t>
      </w:r>
    </w:p>
    <w:p>
      <w:pPr>
        <w:pStyle w:val="Heading2"/>
        <w:spacing w:after="120" w:before="260"/>
      </w:pPr>
      <w:r>
        <w:rPr>
          <w:rFonts w:ascii="Georgia" w:cs="Georgia" w:eastAsia="Georgia" w:hAnsi="Georgia"/>
          <w:b/>
          <w:bCs/>
          <w:color w:val="1F3864"/>
          <w:sz w:val="25"/>
          <w:szCs w:val="25"/>
        </w:rPr>
        <w:t xml:space="preserve">Decision 24 — Fornovo and the housekeeping corrections</w:t>
      </w:r>
    </w:p>
    <w:p>
      <w:pPr>
        <w:spacing w:after="140"/>
      </w:pPr>
      <w:r>
        <w:rPr>
          <w:rFonts w:ascii="Georgia" w:cs="Georgia" w:eastAsia="Georgia" w:hAnsi="Georgia"/>
          <w:i/>
          <w:iCs/>
          <w:color w:val="777777"/>
          <w:sz w:val="19"/>
          <w:szCs w:val="19"/>
        </w:rPr>
        <w:t xml:space="preserve">Covers rows: (nnn), (zzz), (rrr)</w:t>
      </w:r>
    </w:p>
    <w:p>
      <w:pPr>
        <w:spacing w:after="150" w:line="290"/>
      </w:pPr>
      <w:r>
        <w:rPr>
          <w:rFonts w:ascii="Georgia" w:cs="Georgia" w:eastAsia="Georgia" w:hAnsi="Georgia"/>
          <w:b/>
          <w:bCs/>
          <w:sz w:val="22"/>
          <w:szCs w:val="22"/>
        </w:rPr>
        <w:t xml:space="preserve">The background.</w:t>
      </w:r>
      <w:r>
        <w:rPr>
          <w:rFonts w:ascii="Georgia" w:cs="Georgia" w:eastAsia="Georgia" w:hAnsi="Georgia"/>
          <w:sz w:val="22"/>
          <w:szCs w:val="22"/>
        </w:rPr>
        <w:t xml:space="preserve"> Three rows of maintenance. First, Fornovo. Philippe de Commynes, the diplomat and memoirist who rode with Charles VIII into Italy, is in the repository in Calmette's 1925 edition, tome III, a primary source in a scholarly edition (the doctrine's T1 grade). Of the battle of Fornovo in 1495, the first time the French train was fired in the open field, he writes: "Je ne croy point que l'artillerie des deux costéz tuast dix hommes et ne dura point le combat ung quart d'heure" — I do not believe the artillery of the two sides killed ten men, and the fight did not last a quarter of an hour. Calmette's note reports Mandrot's explanation that the storm had wetted the powder. The row pins this at pages 210 to 211; the assessment pins it at page 192 (PDF 198), pages 210 to 211 carrying instead the Apennine recrossing and the line that "ne se perdit une seulle pierre ne une livre de pouldre". The pin must be corrected before the quotation is set in chapter 6 section V or VI.</w:t>
      </w:r>
    </w:p>
    <w:p>
      <w:pPr>
        <w:spacing w:after="150" w:line="290"/>
      </w:pPr>
      <w:r>
        <w:rPr>
          <w:rFonts w:ascii="Georgia" w:cs="Georgia" w:eastAsia="Georgia" w:hAnsi="Georgia"/>
          <w:sz w:val="22"/>
          <w:szCs w:val="22"/>
        </w:rPr>
        <w:t xml:space="preserve">Second, chapter 10 section VI's list. Chastellain places the Burgundian artillery office inside a general financial reform of 1457, not 1458, when after Rolin's fall the new men "créèrent six souverains gouverneurs sur le fait des finances" (page 335), and supplies two better passages for offices without a permanent fisc: the Franche-Comté nobles of 1454, "si francs que leur prince ne peut tailler leurs subgès sinon de leur consentement" (page 13), and the 1458 mobilisation raised as "point d'argent, ni finance, mais service corporel", the towns bringing their own artillery (page 451). William McNeill, the American world historian whose </w:t>
      </w:r>
      <w:r>
        <w:rPr>
          <w:rFonts w:ascii="Georgia" w:cs="Georgia" w:eastAsia="Georgia" w:hAnsi="Georgia"/>
          <w:i/>
          <w:iCs/>
          <w:sz w:val="22"/>
          <w:szCs w:val="22"/>
        </w:rPr>
        <w:t xml:space="preserve">Pursuit of Power</w:t>
      </w:r>
      <w:r>
        <w:rPr>
          <w:rFonts w:ascii="Georgia" w:cs="Georgia" w:eastAsia="Georgia" w:hAnsi="Georgia"/>
          <w:sz w:val="22"/>
          <w:szCs w:val="22"/>
        </w:rPr>
        <w:t xml:space="preserve"> (1982) the manuscript has not yet cited, dates the Franco-Swiss contract to 1479, citing Contamine, where the draft has 1521. Glete gives the French standing companies a nominal 14,000 to 17,000 (page 32), so the draft's "24,000 by 1483" now has two authorities against it and no source for it. Glete also restores Venice's "large permanent and state-administered navy" (page 13), so "without the apparatus" should become "without the fiscal-administrative penetration". Thomas Ertman, the American sociologist of </w:t>
      </w:r>
      <w:r>
        <w:rPr>
          <w:rFonts w:ascii="Georgia" w:cs="Georgia" w:eastAsia="Georgia" w:hAnsi="Georgia"/>
          <w:i/>
          <w:iCs/>
          <w:sz w:val="22"/>
          <w:szCs w:val="22"/>
        </w:rPr>
        <w:t xml:space="preserve">Birth of the Leviathan</w:t>
      </w:r>
      <w:r>
        <w:rPr>
          <w:rFonts w:ascii="Georgia" w:cs="Georgia" w:eastAsia="Georgia" w:hAnsi="Georgia"/>
          <w:sz w:val="22"/>
          <w:szCs w:val="22"/>
        </w:rPr>
        <w:t xml:space="preserve">, offers Matthias Corvinus of Hungary as a fifth counter-case, 28,000 men and a non-proprietary bureaucracy dismantled by the Diet in 1490 (page 31). And the chronicler's name is "Chastellain" throughout Kervyn's edition, not "Chastelain" as section V spells it; the 1467 ballade section V cites is not in the volume held and stands unpinned.</w:t>
      </w:r>
    </w:p>
    <w:p>
      <w:pPr>
        <w:spacing w:after="150" w:line="290"/>
      </w:pPr>
      <w:r>
        <w:rPr>
          <w:rFonts w:ascii="Georgia" w:cs="Georgia" w:eastAsia="Georgia" w:hAnsi="Georgia"/>
          <w:sz w:val="22"/>
          <w:szCs w:val="22"/>
        </w:rPr>
        <w:t xml:space="preserve">Third, chapter 3. Section V's inversion sentence, that the supplier can now hold the state to ransom, has no historical precedent named. McNeill's Liège supplies one: because the principality was weak and neutral, "Their very weakness thus allowed the Liégeois to set their own prices. Even the mightiest rulers had to pay what was asked, or do without" (pages 113 to 114), a condition that held only "As long as no single political command structure could reach out to every corner of Latin Christendom". Section IV states the dependence between state and supplier in one direction only. Glete's account of the Spanish asiento, the contract system by which the crown bought its naval and military services, runs the other way: contractors developed "skills so specialised that the state often had no realistic alternative but to negotiate new contracts with little competition" (page 131), and a navy run on contract "decade after decade" weakened the state's own organisation "as a social power container for skills" (page 134). The timetable consequence of Liège, that the gunmakers held their price for two centuries after the barons were beaten, is taken up as a separate matter at Decision 27; here the question is only whether the precedent enters chapter 3.</w:t>
      </w:r>
    </w:p>
    <w:p>
      <w:pPr>
        <w:spacing w:after="150" w:line="290"/>
      </w:pPr>
      <w:r>
        <w:rPr>
          <w:rFonts w:ascii="Georgia" w:cs="Georgia" w:eastAsia="Georgia" w:hAnsi="Georgia"/>
          <w:b/>
          <w:bCs/>
          <w:sz w:val="22"/>
          <w:szCs w:val="22"/>
        </w:rPr>
        <w:t xml:space="preserve">Why it matters.</w:t>
      </w:r>
      <w:r>
        <w:rPr>
          <w:rFonts w:ascii="Georgia" w:cs="Georgia" w:eastAsia="Georgia" w:hAnsi="Georgia"/>
          <w:sz w:val="22"/>
          <w:szCs w:val="22"/>
        </w:rPr>
        <w:t xml:space="preserve"> Small, but of the kind a specialist counts. An unsupported troop figure, a wrong date for the Swiss contract and a misspelled chronicler are the errors a reviewer uses to discount everything else. The Fornovo line is different in kind: it is the strongest apparent counter-evidence to the book's artillery claim, and the book's architecture is untouched by it, because the chapter locates decisiveness at the walls and not on the field; quoted first and proudly, it is a disanalogy the book owns rather than one produced against it.</w:t>
      </w:r>
    </w:p>
    <w:p>
      <w:pPr>
        <w:spacing w:after="150" w:line="290"/>
      </w:pPr>
      <w:r>
        <w:rPr>
          <w:rFonts w:ascii="Georgia" w:cs="Georgia" w:eastAsia="Georgia" w:hAnsi="Georgia"/>
          <w:b/>
          <w:bCs/>
          <w:sz w:val="22"/>
          <w:szCs w:val="22"/>
        </w:rPr>
        <w:t xml:space="preserve">Your choices.</w:t>
      </w:r>
      <w:r>
        <w:rPr>
          <w:rFonts w:ascii="Georgia" w:cs="Georgia" w:eastAsia="Georgia" w:hAnsi="Georgia"/>
          <w:sz w:val="22"/>
          <w:szCs w:val="22"/>
        </w:rPr>
        <w:t xml:space="preserve"> Choice A takes all of it: the Fornovo line quoted at page 192 with the wet-powder note; the 1457 reform, the two new Burgundian passages, 1479, the 24,000 cut or re-sourced, Venice's navy conceded, Matthias added and the name corrected; Liège in chapter 3 section V as the named precedent and the asiento in section IV as the reverse dependence. The cost is one unsupported figure, one date and a few sentences; the gain is three T1 passages, a fifth counter-case, and two precise statements of dependence in place of one loose one. Choice B takes the corrections and the Fornovo line but holds the chapter 3 additions until Decision 27 settles how the Liège lag is scored, so that the precedent and the risk enter together. That costs nothing now and avoids stating the precedent without its qualification.</w:t>
      </w:r>
    </w:p>
    <w:p>
      <w:pPr>
        <w:spacing w:after="150" w:line="290"/>
      </w:pPr>
      <w:r>
        <w:rPr>
          <w:rFonts w:ascii="Georgia" w:cs="Georgia" w:eastAsia="Georgia" w:hAnsi="Georgia"/>
          <w:b/>
          <w:bCs/>
          <w:sz w:val="22"/>
          <w:szCs w:val="22"/>
        </w:rPr>
        <w:t xml:space="preserve">My view.</w:t>
      </w:r>
      <w:r>
        <w:rPr>
          <w:rFonts w:ascii="Georgia" w:cs="Georgia" w:eastAsia="Georgia" w:hAnsi="Georgia"/>
          <w:sz w:val="22"/>
          <w:szCs w:val="22"/>
        </w:rPr>
        <w:t xml:space="preserve"> Choice A; the chapter 3 precedent reads perfectly well with a clause pointing forward to the risk, and there is no reason to hold maintenance hostage to a scoring decision. This is a view.</w:t>
      </w:r>
    </w:p>
    <w:p>
      <w:pPr>
        <w:pBdr>
          <w:top w:val="single" w:color="C9A227" w:sz="6"/>
          <w:left w:val="single" w:color="C9A227" w:sz="6"/>
          <w:right w:val="single" w:color="C9A227" w:sz="6"/>
        </w:pBdr>
        <w:shd w:fill="FFF4D6" w:color="auto" w:val="clear"/>
        <w:spacing w:after="60" w:before="200"/>
      </w:pPr>
      <w:r>
        <w:rPr>
          <w:rFonts w:ascii="Georgia" w:cs="Georgia" w:eastAsia="Georgia" w:hAnsi="Georgia"/>
          <w:b/>
          <w:bCs/>
          <w:color w:val="8A6D00"/>
          <w:sz w:val="23"/>
          <w:szCs w:val="23"/>
        </w:rPr>
        <w:t xml:space="preserve">YOUR RULING:  </w:t>
      </w:r>
    </w:p>
    <w:p>
      <w:pPr>
        <w:pBdr>
          <w:left w:val="single" w:color="C9A227" w:sz="6"/>
          <w:right w:val="single" w:color="C9A227" w:sz="6"/>
        </w:pBdr>
        <w:shd w:fill="FFF4D6" w:color="auto" w:val="clear"/>
        <w:spacing w:after="40"/>
      </w:pPr>
      <w:r>
        <w:rPr>
          <w:sz w:val="22"/>
          <w:szCs w:val="22"/>
        </w:rPr>
        <w:t xml:space="preserve"> </w:t>
      </w:r>
    </w:p>
    <w:p>
      <w:pPr>
        <w:pBdr>
          <w:left w:val="single" w:color="C9A227" w:sz="6"/>
          <w:right w:val="single" w:color="C9A227" w:sz="6"/>
        </w:pBdr>
        <w:shd w:fill="FFF4D6" w:color="auto" w:val="clear"/>
        <w:spacing w:after="40"/>
      </w:pPr>
      <w:r>
        <w:rPr>
          <w:sz w:val="22"/>
          <w:szCs w:val="22"/>
        </w:rPr>
        <w:t xml:space="preserve"> </w:t>
      </w:r>
    </w:p>
    <w:p>
      <w:pPr>
        <w:pBdr>
          <w:bottom w:val="single" w:color="C9A227" w:sz="6"/>
          <w:left w:val="single" w:color="C9A227" w:sz="6"/>
          <w:right w:val="single" w:color="C9A227" w:sz="6"/>
        </w:pBdr>
        <w:shd w:fill="FFF4D6" w:color="auto" w:val="clear"/>
        <w:spacing w:after="60"/>
      </w:pPr>
      <w:r>
        <w:rPr>
          <w:sz w:val="22"/>
          <w:szCs w:val="22"/>
        </w:rPr>
        <w:t xml:space="preserve"> </w:t>
      </w:r>
    </w:p>
    <w:p>
      <w:pPr>
        <w:pStyle w:val="Heading1"/>
        <w:pageBreakBefore/>
        <w:spacing w:after="200" w:before="0"/>
      </w:pPr>
      <w:r>
        <w:rPr>
          <w:rFonts w:ascii="Georgia" w:cs="Georgia" w:eastAsia="Georgia" w:hAnsi="Georgia"/>
          <w:b/>
          <w:bCs/>
          <w:color w:val="1F3864"/>
          <w:sz w:val="32"/>
          <w:szCs w:val="32"/>
        </w:rPr>
        <w:t xml:space="preserve">Part Seven — Chapter 9 and Bagehot</w:t>
      </w:r>
    </w:p>
    <w:p>
      <w:pPr>
        <w:pStyle w:val="Heading2"/>
        <w:spacing w:after="120" w:before="260"/>
      </w:pPr>
      <w:r>
        <w:rPr>
          <w:rFonts w:ascii="Georgia" w:cs="Georgia" w:eastAsia="Georgia" w:hAnsi="Georgia"/>
          <w:b/>
          <w:bCs/>
          <w:color w:val="1F3864"/>
          <w:sz w:val="25"/>
          <w:szCs w:val="25"/>
        </w:rPr>
        <w:t xml:space="preserve">Decision 25 — Chapter 9's subject, and the outline</w:t>
      </w:r>
    </w:p>
    <w:p>
      <w:pPr>
        <w:spacing w:after="140"/>
      </w:pPr>
      <w:r>
        <w:rPr>
          <w:rFonts w:ascii="Georgia" w:cs="Georgia" w:eastAsia="Georgia" w:hAnsi="Georgia"/>
          <w:i/>
          <w:iCs/>
          <w:color w:val="777777"/>
          <w:sz w:val="19"/>
          <w:szCs w:val="19"/>
        </w:rPr>
        <w:t xml:space="preserve">Covers rows: (kkkk)</w:t>
      </w:r>
    </w:p>
    <w:p>
      <w:pPr>
        <w:spacing w:after="150" w:line="290"/>
      </w:pPr>
      <w:r>
        <w:rPr>
          <w:rFonts w:ascii="Georgia" w:cs="Georgia" w:eastAsia="Georgia" w:hAnsi="Georgia"/>
          <w:b/>
          <w:bCs/>
          <w:sz w:val="22"/>
          <w:szCs w:val="22"/>
        </w:rPr>
        <w:t xml:space="preserve">The background.</w:t>
      </w:r>
      <w:r>
        <w:rPr>
          <w:rFonts w:ascii="Georgia" w:cs="Georgia" w:eastAsia="Georgia" w:hAnsi="Georgia"/>
          <w:sz w:val="22"/>
          <w:szCs w:val="22"/>
        </w:rPr>
        <w:t xml:space="preserve"> Two documents govern what chapter 9 is for, and they now say different things. The project's doctrine file makes outline.md the controlling document for the book's structure, and says that where doctrine and outline conflict the outline wins and the conflict must be flagged rather than resolved silently. The outline's chapter 9 structure, at items 6 and 7, tells the chapter to run from the personalisation of authority to the improvised substitutes that authority's failure produces, and then to indicators, the measurable signs that feed Appendix C. I have not had the outline itself in front of me; its wording is taken as the row states it.</w:t>
      </w:r>
    </w:p>
    <w:p>
      <w:pPr>
        <w:spacing w:after="150" w:line="290"/>
      </w:pPr>
      <w:r>
        <w:rPr>
          <w:rFonts w:ascii="Georgia" w:cs="Georgia" w:eastAsia="Georgia" w:hAnsi="Georgia"/>
          <w:sz w:val="22"/>
          <w:szCs w:val="22"/>
        </w:rPr>
        <w:t xml:space="preserve">Against that stands your own ruling of 14 September (decision 7, filed as row (bb)), that chapter 9 should take as its subject the difference between constitutional appearance and effective power, worked through the contrast between the English minority of 1422, an office temporarily filled by a council, and the incapacity of Henry VI after 1453, an office that could not be filled at all. The decision sheet recorded at the time that the outline conflict was to be flagged, not resolved. That ruling belongs with the larger one filed as spine §8(g) (the spine being the standing file of rulings that licence what the manuscript may say): that the barons' subordination is what the mechanism predicts, while the constitutional form of the state that subordinates them is an open question to be scored, with "ornamental democracy" one of the outcomes and Bagehot as the bridge between the medieval and modern halves.</w:t>
      </w:r>
    </w:p>
    <w:p>
      <w:pPr>
        <w:spacing w:after="150" w:line="290"/>
      </w:pPr>
      <w:r>
        <w:rPr>
          <w:rFonts w:ascii="Georgia" w:cs="Georgia" w:eastAsia="Georgia" w:hAnsi="Georgia"/>
          <w:sz w:val="22"/>
          <w:szCs w:val="22"/>
        </w:rPr>
        <w:t xml:space="preserve">What the chapter says now, in the sections the row cites. The pending-question section surveys the maturing substitutes for personal authority, the Digital Services Act's independent compliance function, the AI offices, Anthropic's Long-Term Benefit Trust, the SEC's treatment of chief-executive succession, and then the November 2023 OpenAI case, "the substitute existed, and acted, and could not hold — Charles VI's lucid interval in corporate form, the returning person re-personalising the constitution that had briefly operated without him"; then the sentence the row names, "Institutionalisation of the new political bodies is pending, not achieved; the two-bodies problem of the platform age is live, and Chapter 12 weighs it where it bears hardest"; and then the hand-off to chapter 10, "what forced that invention was not philosophy but pressure — the fiscal-military pressure of the gun and the payroll… The reader has already seen the machine at work; the next chapter opens its account books." The Lepore rows of 28 September number the close as section IX and add that it must now be written so that it rests on no instrument whose constitutional character was announced and not built.</w:t>
      </w:r>
    </w:p>
    <w:p>
      <w:pPr>
        <w:spacing w:after="150" w:line="290"/>
      </w:pPr>
      <w:r>
        <w:rPr>
          <w:rFonts w:ascii="Georgia" w:cs="Georgia" w:eastAsia="Georgia" w:hAnsi="Georgia"/>
          <w:sz w:val="22"/>
          <w:szCs w:val="22"/>
        </w:rPr>
        <w:t xml:space="preserve">Bagehot is what makes the ruled version possible. His distinction between the dignified parts of a constitution, "those which excite and preserve the reverence of the population", and the efficient parts, "those by which it, in fact, works and rules" (PDF page 21), is derived in his own conclusion from precisely the fifteenth-century case the chapter reconstructs: "The reverential associations upon which the government is built are transmitted according to one law, and the capacity needful to work the government is transmitted according to another law… But very soon that line comes to a child or an idiot, or one by some defect or other incapable" (PDF page 103). The bridge is his genealogy, not the book's invention. Crouch supplies a sentence the chapter may use to plant the modern question without spending chapter 12's coinage: "One cannot call this kind of politics non- or anti-democratic … At the same time it is difficult to dignify it as democracy itself" (Crouch, PDF page 8).</w:t>
      </w:r>
    </w:p>
    <w:p>
      <w:pPr>
        <w:spacing w:after="150" w:line="290"/>
      </w:pPr>
      <w:r>
        <w:rPr>
          <w:rFonts w:ascii="Georgia" w:cs="Georgia" w:eastAsia="Georgia" w:hAnsi="Georgia"/>
          <w:b/>
          <w:bCs/>
          <w:sz w:val="22"/>
          <w:szCs w:val="22"/>
        </w:rPr>
        <w:t xml:space="preserve">Why it matters.</w:t>
      </w:r>
      <w:r>
        <w:rPr>
          <w:rFonts w:ascii="Georgia" w:cs="Georgia" w:eastAsia="Georgia" w:hAnsi="Georgia"/>
          <w:sz w:val="22"/>
          <w:szCs w:val="22"/>
        </w:rPr>
        <w:t xml:space="preserve"> This is a large point, and it is a governance point before it is an argumentative one. The book's doctrine says the outline wins; a chapter rebuilt around a later ruling without the outline being amended is a silent override of the controlling document, which is the thing the doctrine forbids. Argumentatively, the ruled version gives chapter 9 a second, forward-pointing job, planting the question of what happens when the efficient part of a constitution migrates while the dignified part stays, so that chapter 12's constitutional close lands as the completion of something raised four chapters earlier from the medieval material rather than as a late arrival. Against that, the outline's version is load-bearing in its own right: the arc from personalisation to improvised substitutes is what earns the OpenAI case, and the indicators feed Appendix C, the book's list of dated, measurable predictions. And chapter 9 has one structural obligation it cannot fail whichever way you rule: it must open chapter 10, the fiscal chapter, and a close that turns toward Part III's constitutional question risks handing the reader to the wrong place.</w:t>
      </w:r>
    </w:p>
    <w:p>
      <w:pPr>
        <w:spacing w:after="150" w:line="290"/>
      </w:pPr>
      <w:r>
        <w:rPr>
          <w:rFonts w:ascii="Georgia" w:cs="Georgia" w:eastAsia="Georgia" w:hAnsi="Georgia"/>
          <w:b/>
          <w:bCs/>
          <w:sz w:val="22"/>
          <w:szCs w:val="22"/>
        </w:rPr>
        <w:t xml:space="preserve">Your choices.</w:t>
      </w:r>
      <w:r>
        <w:rPr>
          <w:rFonts w:ascii="Georgia" w:cs="Georgia" w:eastAsia="Georgia" w:hAnsi="Georgia"/>
          <w:sz w:val="22"/>
          <w:szCs w:val="22"/>
        </w:rPr>
        <w:t xml:space="preserve"> Choice A subordinates the outline's items 6 and 7 to the ruled close. Sections V and VI (or their renumbered equivalents) keep their material but are re-pointed, so that each improvised substitute is asked in the text whether it is a dignified part or an efficient one: the compliance function, the Long-Term Benefit Trust, the regency board that could not hold, each read against Bagehot's distinction; the close then plants Part III's question before turning to the account books. The cost is that the indicators material must compress or move to Appendix C, that the chapter carries a second forward-pointing beat where the voice rules ask for one close, and that you are overriding the controlling document, which must be recorded as an amendment to the outline rather than left as a standing conflict. What it buys is that chapter 9 becomes the chapter that makes the §8(g) split inevitable rather than optional; a reviewer reading the ending would find the question raised early and raised from the fifteenth century.</w:t>
      </w:r>
    </w:p>
    <w:p>
      <w:pPr>
        <w:spacing w:after="150" w:line="290"/>
      </w:pPr>
      <w:r>
        <w:rPr>
          <w:rFonts w:ascii="Georgia" w:cs="Georgia" w:eastAsia="Georgia" w:hAnsi="Georgia"/>
          <w:sz w:val="22"/>
          <w:szCs w:val="22"/>
        </w:rPr>
        <w:t xml:space="preserve">Choice B re-points rather than subordinates. The outline's structure stands, and the Bagehot engagement enters as a short passage before section IV (or at the close of section III, the placement Decision 26 weighs), so that the dignified-and-efficient question is planted in the chapter's analytical middle and sections V and VI proceed as the outline directs. The cost is a new passage and some rebalancing of the chapter's first half. What it buys is that nothing in the outline is overridden, the close keeps its clean hand-off to chapter 10, and the voice discipline of one forward-leaning close is preserved. A reviewer would find the bridge where it arguably belongs, since it is a claim about how the fifteenth-century split relates to the modern constitution, not a prediction.</w:t>
      </w:r>
    </w:p>
    <w:p>
      <w:pPr>
        <w:spacing w:after="150" w:line="290"/>
      </w:pPr>
      <w:r>
        <w:rPr>
          <w:rFonts w:ascii="Georgia" w:cs="Georgia" w:eastAsia="Georgia" w:hAnsi="Georgia"/>
          <w:sz w:val="22"/>
          <w:szCs w:val="22"/>
        </w:rPr>
        <w:t xml:space="preserve">Under either choice the section IX close must be rewritten to meet Lepore's correction (Decision 23), and the "ceremony" sentence in section V must be turned (Decision 26); neither depends on how this conflict is resolved.</w:t>
      </w:r>
    </w:p>
    <w:p>
      <w:pPr>
        <w:spacing w:after="150" w:line="290"/>
      </w:pPr>
      <w:r>
        <w:rPr>
          <w:rFonts w:ascii="Georgia" w:cs="Georgia" w:eastAsia="Georgia" w:hAnsi="Georgia"/>
          <w:b/>
          <w:bCs/>
          <w:sz w:val="22"/>
          <w:szCs w:val="22"/>
        </w:rPr>
        <w:t xml:space="preserve">My view.</w:t>
      </w:r>
      <w:r>
        <w:rPr>
          <w:rFonts w:ascii="Georgia" w:cs="Georgia" w:eastAsia="Georgia" w:hAnsi="Georgia"/>
          <w:sz w:val="22"/>
          <w:szCs w:val="22"/>
        </w:rPr>
        <w:t xml:space="preserve"> Choice B, because it does the ruled work without disturbing either the outline or the hand-off to chapter 10, and because a doctrine that says the outline wins is worth keeping intact where keeping it costs nothing. If you prefer choice A, amend the outline in the same commit so the conflict is closed rather than carried. This is a view.</w:t>
      </w:r>
    </w:p>
    <w:p>
      <w:pPr>
        <w:pBdr>
          <w:top w:val="single" w:color="C9A227" w:sz="6"/>
          <w:left w:val="single" w:color="C9A227" w:sz="6"/>
          <w:right w:val="single" w:color="C9A227" w:sz="6"/>
        </w:pBdr>
        <w:shd w:fill="FFF4D6" w:color="auto" w:val="clear"/>
        <w:spacing w:after="60" w:before="200"/>
      </w:pPr>
      <w:r>
        <w:rPr>
          <w:rFonts w:ascii="Georgia" w:cs="Georgia" w:eastAsia="Georgia" w:hAnsi="Georgia"/>
          <w:b/>
          <w:bCs/>
          <w:color w:val="8A6D00"/>
          <w:sz w:val="23"/>
          <w:szCs w:val="23"/>
        </w:rPr>
        <w:t xml:space="preserve">YOUR RULING:  </w:t>
      </w:r>
    </w:p>
    <w:p>
      <w:pPr>
        <w:pBdr>
          <w:left w:val="single" w:color="C9A227" w:sz="6"/>
          <w:right w:val="single" w:color="C9A227" w:sz="6"/>
        </w:pBdr>
        <w:shd w:fill="FFF4D6" w:color="auto" w:val="clear"/>
        <w:spacing w:after="40"/>
      </w:pPr>
      <w:r>
        <w:rPr>
          <w:sz w:val="22"/>
          <w:szCs w:val="22"/>
        </w:rPr>
        <w:t xml:space="preserve"> </w:t>
      </w:r>
    </w:p>
    <w:p>
      <w:pPr>
        <w:pBdr>
          <w:left w:val="single" w:color="C9A227" w:sz="6"/>
          <w:right w:val="single" w:color="C9A227" w:sz="6"/>
        </w:pBdr>
        <w:shd w:fill="FFF4D6" w:color="auto" w:val="clear"/>
        <w:spacing w:after="40"/>
      </w:pPr>
      <w:r>
        <w:rPr>
          <w:sz w:val="22"/>
          <w:szCs w:val="22"/>
        </w:rPr>
        <w:t xml:space="preserve"> </w:t>
      </w:r>
    </w:p>
    <w:p>
      <w:pPr>
        <w:pBdr>
          <w:bottom w:val="single" w:color="C9A227" w:sz="6"/>
          <w:left w:val="single" w:color="C9A227" w:sz="6"/>
          <w:right w:val="single" w:color="C9A227" w:sz="6"/>
        </w:pBdr>
        <w:shd w:fill="FFF4D6" w:color="auto" w:val="clear"/>
        <w:spacing w:after="60"/>
      </w:pPr>
      <w:r>
        <w:rPr>
          <w:sz w:val="22"/>
          <w:szCs w:val="22"/>
        </w:rPr>
        <w:t xml:space="preserve"> </w:t>
      </w:r>
    </w:p>
    <w:p>
      <w:pPr>
        <w:pStyle w:val="Heading2"/>
        <w:spacing w:after="120" w:before="260"/>
      </w:pPr>
      <w:r>
        <w:rPr>
          <w:rFonts w:ascii="Georgia" w:cs="Georgia" w:eastAsia="Georgia" w:hAnsi="Georgia"/>
          <w:b/>
          <w:bCs/>
          <w:color w:val="1F3864"/>
          <w:sz w:val="25"/>
          <w:szCs w:val="25"/>
        </w:rPr>
        <w:t xml:space="preserve">Decision 26 — Bagehot in chapter 9: where the bridge sits, and the "ceremony" sentence</w:t>
      </w:r>
    </w:p>
    <w:p>
      <w:pPr>
        <w:spacing w:after="140"/>
      </w:pPr>
      <w:r>
        <w:rPr>
          <w:rFonts w:ascii="Georgia" w:cs="Georgia" w:eastAsia="Georgia" w:hAnsi="Georgia"/>
          <w:i/>
          <w:iCs/>
          <w:color w:val="777777"/>
          <w:sz w:val="19"/>
          <w:szCs w:val="19"/>
        </w:rPr>
        <w:t xml:space="preserve">Covers rows: (hhhh), (gggg)</w:t>
      </w:r>
    </w:p>
    <w:p>
      <w:pPr>
        <w:spacing w:after="150" w:line="290"/>
      </w:pPr>
      <w:r>
        <w:rPr>
          <w:rFonts w:ascii="Georgia" w:cs="Georgia" w:eastAsia="Georgia" w:hAnsi="Georgia"/>
          <w:b/>
          <w:bCs/>
          <w:sz w:val="22"/>
          <w:szCs w:val="22"/>
        </w:rPr>
        <w:t xml:space="preserve">The background.</w:t>
      </w:r>
      <w:r>
        <w:rPr>
          <w:rFonts w:ascii="Georgia" w:cs="Georgia" w:eastAsia="Georgia" w:hAnsi="Georgia"/>
          <w:sz w:val="22"/>
          <w:szCs w:val="22"/>
        </w:rPr>
        <w:t xml:space="preserve"> Walter Bagehot's </w:t>
      </w:r>
      <w:r>
        <w:rPr>
          <w:rFonts w:ascii="Georgia" w:cs="Georgia" w:eastAsia="Georgia" w:hAnsi="Georgia"/>
          <w:i/>
          <w:iCs/>
          <w:sz w:val="22"/>
          <w:szCs w:val="22"/>
        </w:rPr>
        <w:t xml:space="preserve">English Constitution</w:t>
      </w:r>
      <w:r>
        <w:rPr>
          <w:rFonts w:ascii="Georgia" w:cs="Georgia" w:eastAsia="Georgia" w:hAnsi="Georgia"/>
          <w:sz w:val="22"/>
          <w:szCs w:val="22"/>
        </w:rPr>
        <w:t xml:space="preserve"> is now in the corpus, in the Project Gutenberg text, which carries no printed page numbers; references are to the PDF page of that text. He divides a constitution into its dignified parts, which "excite and preserve the reverence of the population", and its efficient parts, "those by which it, in fact, works and rules" (PDF page 21). Your ruling filed as spine §8(g), items 5 and 6, adopted that distinction as the bridge between the fifteenth-century separation of the king's two bodies and the modern question of where effective control sits, and ruled two conditions on its use: the dignified part must never be described as mere decoration, and the coinage "ornamental democracy" belongs to chapter 12, not chapter 9.</w:t>
      </w:r>
    </w:p>
    <w:p>
      <w:pPr>
        <w:spacing w:after="150" w:line="290"/>
      </w:pPr>
      <w:r>
        <w:rPr>
          <w:rFonts w:ascii="Georgia" w:cs="Georgia" w:eastAsia="Georgia" w:hAnsi="Georgia"/>
          <w:sz w:val="22"/>
          <w:szCs w:val="22"/>
        </w:rPr>
        <w:t xml:space="preserve">Row (hhhh) asks where the bridge sits. The passage is new. The genealogy is Bagehot's own and starts where the chapter starts: "The reverential associations upon which the government is built are transmitted according to one law, and the capacity needful to work the government is transmitted according to another law… But very soon that line comes to a child or an idiot, or one by some defect or other incapable" (PDF page 103). Three things must travel with it. His scope caveat, "I am not, of course, now speaking of the middle ages: I am not dealing with the embryo or the infant form of our Constitution" (PDF page 48), which answers the anachronism charge before it is made. The both-halves disanalogy: in the personal monarchy the two parts were one body (George III "was the Government"), 1422 to 1455 is the involuntary separation from which the designed one descends, and the lords' negative drafting of 1454 refused to make the split lawful. And his valuation, which the book must refuse: for Bagehot the separation is every constitution's condition and England's glory, "The apparent rulers of the English nation are like the most imposing personages of a splendid procession … The real rulers are secreted in second-rate carriages" (PDF page 101). The row offers two homes, the close of section III or a short section standing before section IV, and directs that the bridge plant the question with Crouch's "difficult to dignify it as democracy itself" (Crouch, PDF page 8) beside Bagehot, without naming the term.</w:t>
      </w:r>
    </w:p>
    <w:p>
      <w:pPr>
        <w:spacing w:after="150" w:line="290"/>
      </w:pPr>
      <w:r>
        <w:rPr>
          <w:rFonts w:ascii="Georgia" w:cs="Georgia" w:eastAsia="Georgia" w:hAnsi="Georgia"/>
          <w:sz w:val="22"/>
          <w:szCs w:val="22"/>
        </w:rPr>
        <w:t xml:space="preserve">Row (gggg) is a correction. Chapter 9 section V, at manuscript line 5575, reads "not in the residual monarchies, where the two bodies survive as ceremony". Bagehot's first page on the monarchy says the opposite: "The use of the Queen, in a dignified capacity, is incalculable. Without her in England, the present English Government would fail and pass away" (PDF page 30). His account of the dignified parts is functional, not ornamental: "The dignified parts of Government are those which bring it force—which attract its motive power. The efficient parts only employ that power" (PDF page 21); they "raise the army, though they do not win the battle". The assessment is blunt that the drafted sentence commits exactly the error your own ruling forbids.</w:t>
      </w:r>
    </w:p>
    <w:p>
      <w:pPr>
        <w:spacing w:after="150" w:line="290"/>
      </w:pPr>
      <w:r>
        <w:rPr>
          <w:rFonts w:ascii="Georgia" w:cs="Georgia" w:eastAsia="Georgia" w:hAnsi="Georgia"/>
          <w:b/>
          <w:bCs/>
          <w:sz w:val="22"/>
          <w:szCs w:val="22"/>
        </w:rPr>
        <w:t xml:space="preserve">Why it matters.</w:t>
      </w:r>
      <w:r>
        <w:rPr>
          <w:rFonts w:ascii="Georgia" w:cs="Georgia" w:eastAsia="Georgia" w:hAnsi="Georgia"/>
          <w:sz w:val="22"/>
          <w:szCs w:val="22"/>
        </w:rPr>
        <w:t xml:space="preserve"> A medium point on placement and a sharp one on the sentence. The placement decides whether the bridge reads as part of the incapacity argument or as a set piece announcing a concept whose home is three chapters away. The sentence is worse than an infelicity: it is the book contradicting, in its own voice, the authority it is about to borrow, on that authority's opening page, and it is the one thing a reviewer who knows Bagehot would quote back. It has to change whichever way anything else is ruled.</w:t>
      </w:r>
    </w:p>
    <w:p>
      <w:pPr>
        <w:spacing w:after="150" w:line="290"/>
      </w:pPr>
      <w:r>
        <w:rPr>
          <w:rFonts w:ascii="Georgia" w:cs="Georgia" w:eastAsia="Georgia" w:hAnsi="Georgia"/>
          <w:b/>
          <w:bCs/>
          <w:sz w:val="22"/>
          <w:szCs w:val="22"/>
        </w:rPr>
        <w:t xml:space="preserve">Your choices.</w:t>
      </w:r>
      <w:r>
        <w:rPr>
          <w:rFonts w:ascii="Georgia" w:cs="Georgia" w:eastAsia="Georgia" w:hAnsi="Georgia"/>
          <w:sz w:val="22"/>
          <w:szCs w:val="22"/>
        </w:rPr>
        <w:t xml:space="preserve"> On placement, choice A closes section III with the bridge, kept to one paragraph: the genealogy quoted, the caveat and the both-halves disanalogy stated, his valuation refused, Crouch's line planted, no new image of the book's own. It reads as the natural end of the incapacity argument and turns the chapter toward Part III without announcing itself. Choice B gives the bridge a short section of its own before section IV. It carries the same content with more weight, and the weight is the problem: a section invites the reader to expect the concept, and the concept is chapter 12's.</w:t>
      </w:r>
    </w:p>
    <w:p>
      <w:pPr>
        <w:spacing w:after="150" w:line="290"/>
      </w:pPr>
      <w:r>
        <w:rPr>
          <w:rFonts w:ascii="Georgia" w:cs="Georgia" w:eastAsia="Georgia" w:hAnsi="Georgia"/>
          <w:sz w:val="22"/>
          <w:szCs w:val="22"/>
        </w:rPr>
        <w:t xml:space="preserve">On the sentence, choice A makes the minimal repair, deleting "as ceremony" and saying that the dignified part in those monarchies still does the work of legitimation; it costs nothing and removes the exposure. Choice B turns the sentence: the residual monarchies are not the weak case but the demonstration, because they are where a separated dignified part is observably load-bearing, which is exactly what the modern prediction needs to be able to describe. The risk in choice B is that section V begins doing chapter 12's work, so it should stop short of naming the modern case.</w:t>
      </w:r>
    </w:p>
    <w:p>
      <w:pPr>
        <w:spacing w:after="150" w:line="290"/>
      </w:pPr>
      <w:r>
        <w:rPr>
          <w:rFonts w:ascii="Georgia" w:cs="Georgia" w:eastAsia="Georgia" w:hAnsi="Georgia"/>
          <w:b/>
          <w:bCs/>
          <w:sz w:val="22"/>
          <w:szCs w:val="22"/>
        </w:rPr>
        <w:t xml:space="preserve">My view.</w:t>
      </w:r>
      <w:r>
        <w:rPr>
          <w:rFonts w:ascii="Georgia" w:cs="Georgia" w:eastAsia="Georgia" w:hAnsi="Georgia"/>
          <w:sz w:val="22"/>
          <w:szCs w:val="22"/>
        </w:rPr>
        <w:t xml:space="preserve"> Close section III with the bridge in one paragraph, and turn the ceremony sentence rather than merely softening it, stopping before the modern case; the turned sentence is better material than the deleted one. This is a view.</w:t>
      </w:r>
    </w:p>
    <w:p>
      <w:pPr>
        <w:pBdr>
          <w:top w:val="single" w:color="C9A227" w:sz="6"/>
          <w:left w:val="single" w:color="C9A227" w:sz="6"/>
          <w:right w:val="single" w:color="C9A227" w:sz="6"/>
        </w:pBdr>
        <w:shd w:fill="FFF4D6" w:color="auto" w:val="clear"/>
        <w:spacing w:after="60" w:before="200"/>
      </w:pPr>
      <w:r>
        <w:rPr>
          <w:rFonts w:ascii="Georgia" w:cs="Georgia" w:eastAsia="Georgia" w:hAnsi="Georgia"/>
          <w:b/>
          <w:bCs/>
          <w:color w:val="8A6D00"/>
          <w:sz w:val="23"/>
          <w:szCs w:val="23"/>
        </w:rPr>
        <w:t xml:space="preserve">YOUR RULING:  </w:t>
      </w:r>
    </w:p>
    <w:p>
      <w:pPr>
        <w:pBdr>
          <w:left w:val="single" w:color="C9A227" w:sz="6"/>
          <w:right w:val="single" w:color="C9A227" w:sz="6"/>
        </w:pBdr>
        <w:shd w:fill="FFF4D6" w:color="auto" w:val="clear"/>
        <w:spacing w:after="40"/>
      </w:pPr>
      <w:r>
        <w:rPr>
          <w:sz w:val="22"/>
          <w:szCs w:val="22"/>
        </w:rPr>
        <w:t xml:space="preserve"> </w:t>
      </w:r>
    </w:p>
    <w:p>
      <w:pPr>
        <w:pBdr>
          <w:left w:val="single" w:color="C9A227" w:sz="6"/>
          <w:right w:val="single" w:color="C9A227" w:sz="6"/>
        </w:pBdr>
        <w:shd w:fill="FFF4D6" w:color="auto" w:val="clear"/>
        <w:spacing w:after="40"/>
      </w:pPr>
      <w:r>
        <w:rPr>
          <w:sz w:val="22"/>
          <w:szCs w:val="22"/>
        </w:rPr>
        <w:t xml:space="preserve"> </w:t>
      </w:r>
    </w:p>
    <w:p>
      <w:pPr>
        <w:pBdr>
          <w:bottom w:val="single" w:color="C9A227" w:sz="6"/>
          <w:left w:val="single" w:color="C9A227" w:sz="6"/>
          <w:right w:val="single" w:color="C9A227" w:sz="6"/>
        </w:pBdr>
        <w:shd w:fill="FFF4D6" w:color="auto" w:val="clear"/>
        <w:spacing w:after="60"/>
      </w:pPr>
      <w:r>
        <w:rPr>
          <w:sz w:val="22"/>
          <w:szCs w:val="22"/>
        </w:rPr>
        <w:t xml:space="preserve"> </w:t>
      </w:r>
    </w:p>
    <w:p>
      <w:pPr>
        <w:pStyle w:val="Heading1"/>
        <w:pageBreakBefore/>
        <w:spacing w:after="200" w:before="0"/>
      </w:pPr>
      <w:r>
        <w:rPr>
          <w:rFonts w:ascii="Georgia" w:cs="Georgia" w:eastAsia="Georgia" w:hAnsi="Georgia"/>
          <w:b/>
          <w:bCs/>
          <w:color w:val="1F3864"/>
          <w:sz w:val="32"/>
          <w:szCs w:val="32"/>
        </w:rPr>
        <w:t xml:space="preserve">Part Eight — The forecast and its scoring</w:t>
      </w:r>
    </w:p>
    <w:p>
      <w:pPr>
        <w:pStyle w:val="Heading2"/>
        <w:spacing w:after="120" w:before="260"/>
      </w:pPr>
      <w:r>
        <w:rPr>
          <w:rFonts w:ascii="Georgia" w:cs="Georgia" w:eastAsia="Georgia" w:hAnsi="Georgia"/>
          <w:b/>
          <w:bCs/>
          <w:color w:val="1F3864"/>
          <w:sz w:val="25"/>
          <w:szCs w:val="25"/>
        </w:rPr>
        <w:t xml:space="preserve">Decision 27 — Making the forecast harder to wriggle out of</w:t>
      </w:r>
    </w:p>
    <w:p>
      <w:pPr>
        <w:spacing w:after="140"/>
      </w:pPr>
      <w:r>
        <w:rPr>
          <w:rFonts w:ascii="Georgia" w:cs="Georgia" w:eastAsia="Georgia" w:hAnsi="Georgia"/>
          <w:i/>
          <w:iCs/>
          <w:color w:val="777777"/>
          <w:sz w:val="19"/>
          <w:szCs w:val="19"/>
        </w:rPr>
        <w:t xml:space="preserve">Covers rows: (jj), (oo), (ss), (uu), (ffff)</w:t>
      </w:r>
    </w:p>
    <w:p>
      <w:pPr>
        <w:spacing w:after="150" w:line="290"/>
      </w:pPr>
      <w:r>
        <w:rPr>
          <w:rFonts w:ascii="Georgia" w:cs="Georgia" w:eastAsia="Georgia" w:hAnsi="Georgia"/>
          <w:b/>
          <w:bCs/>
          <w:sz w:val="22"/>
          <w:szCs w:val="22"/>
        </w:rPr>
        <w:t xml:space="preserve">The background.</w:t>
      </w:r>
      <w:r>
        <w:rPr>
          <w:rFonts w:ascii="Georgia" w:cs="Georgia" w:eastAsia="Georgia" w:hAnsi="Georgia"/>
          <w:sz w:val="22"/>
          <w:szCs w:val="22"/>
        </w:rPr>
        <w:t xml:space="preserve"> Five rows, each of which tightens the book's predictions in a different place. The common thread is your ruling of 14 September (decision 8, row (cc)): the sentence "critics can only refine" is cut, the four blocs are scored separately, and a failed American prediction counts as a failure. Appendix C is the book's instrument for this, a list of ten to fifteen dated, measurable indicators, each with a baseline and a stated direction.</w:t>
      </w:r>
    </w:p>
    <w:p>
      <w:pPr>
        <w:spacing w:after="150" w:line="290"/>
      </w:pPr>
      <w:r>
        <w:rPr>
          <w:rFonts w:ascii="Georgia" w:cs="Georgia" w:eastAsia="Georgia" w:hAnsi="Georgia"/>
          <w:sz w:val="22"/>
          <w:szCs w:val="22"/>
        </w:rPr>
        <w:t xml:space="preserve">First, the Liège lag. McNeill records that the gunfounders of Liège, in a weak and neutral principality, could "set their own prices. Even the mightiest rulers had to pay what was asked, or do without" (page 113), and that this held "As long as no single political command structure could reach out to every corner of Latin Christendom … the sovereignty of the market over even the greatest ruler of the age remained an ultimate reality" (page 114). Philip II "knew how to tax and how to confiscate just as effectively as Chinese and Islamic officials did… But alas for the command principle!": his own cannon factories "always failed to flourish" (page 113). The timetable point is the sharpest internal objection the book has: the barons were subordinated first and the gunmakers held out for two centuries after, so if the mechanism runs true, the compute-foundry layer keeps its pricing power long after the private-force layer has been commissioned. Chapter 12's per-bloc verdicts do not state the lag; the Coda's limits paragraph (section V) is the other candidate home, and row (ffff) notes that the Coda and Appendix C are not equivalent, because a limit confessed is something the reader weighs and an indicator scored is something that can move.</w:t>
      </w:r>
    </w:p>
    <w:p>
      <w:pPr>
        <w:spacing w:after="150" w:line="290"/>
      </w:pPr>
      <w:r>
        <w:rPr>
          <w:rFonts w:ascii="Georgia" w:cs="Georgia" w:eastAsia="Georgia" w:hAnsi="Georgia"/>
          <w:sz w:val="22"/>
          <w:szCs w:val="22"/>
        </w:rPr>
        <w:t xml:space="preserve">Second, the AT&amp;T pattern. Chapter 12 section IV says "Twelve times between 1887 and 2002 … in no verified case did it confiscate", and summarises that the republic "takes the same thing into public keeping, and keeps it". Tim Wu, the American legal scholar of </w:t>
      </w:r>
      <w:r>
        <w:rPr>
          <w:rFonts w:ascii="Georgia" w:cs="Georgia" w:eastAsia="Georgia" w:hAnsi="Georgia"/>
          <w:i/>
          <w:iCs/>
          <w:sz w:val="22"/>
          <w:szCs w:val="22"/>
        </w:rPr>
        <w:t xml:space="preserve">The Master Switch</w:t>
      </w:r>
      <w:r>
        <w:rPr>
          <w:rFonts w:ascii="Georgia" w:cs="Georgia" w:eastAsia="Georgia" w:hAnsi="Georgia"/>
          <w:sz w:val="22"/>
          <w:szCs w:val="22"/>
        </w:rPr>
        <w:t xml:space="preserve">, records a case inside the date range that the series skips: the Kingsbury Commitment of 1913, whose "trick … was to make relatively painless concessions that preempted more severe actions", and whose "greatest achievement was to free Bell to consolidate the industry unmolested" (chapter 3). It included a structural act, since "Bell made one big concession: it agreed to sell Western Union", but its net effect was consolidation, the reverse of the pattern. Wu also records the sequel: after 1996 the Bell companies reconsolidated with federal approval and were rewarded with retroactive immunity for surveillance, so that the giants are "closer to possessing a master switch than Vail himself could have dreamed" (chapter 18). The row dates the reconstitution to 2008, and the primaries it names, the Mann-Elkins Act, the Kingsbury letter and the FISA Amendments Act of 2008, are not yet in the corpus.</w:t>
      </w:r>
    </w:p>
    <w:p>
      <w:pPr>
        <w:spacing w:after="150" w:line="290"/>
      </w:pPr>
      <w:r>
        <w:rPr>
          <w:rFonts w:ascii="Georgia" w:cs="Georgia" w:eastAsia="Georgia" w:hAnsi="Georgia"/>
          <w:sz w:val="22"/>
          <w:szCs w:val="22"/>
        </w:rPr>
        <w:t xml:space="preserve">Third, the European sentence. Chapter 12 section IV decides Europe's casting on one conditional: "either the assertion-to-enforcement lag closes … or the Union completes its century as the American bloc's canonical province". Four witnesses now bear on it. John Ruggie, the international-relations theorist whose 1993 article supplied the neomedieval literature's vocabulary, states the null: the Community "may constitute the first 'multiperspectival polity' to emerge since the advent of the modern era", but "There is no indication, however, that this reimagining will result in a federal state of Europe" (page 172). Schmitt gives the rehearsal: American co-determination of League policy meant that "In 1930, when this shadow fell on Europe, it was sufficient to transform all plans for a European Union into empty discourse" (page 258). Ertman excludes confederal entities by rule, as bodies "in which sovereignty rested with the constituent territories … rather than with the center" (page 5 note 13). And Glete offers a third reading the conditional cannot presently express: the Dutch route to a fiscal-military state ran "from below (induced by demand)" (page 149), and after 1652 the Republic kept two navies, "the battle fleet, paid for by taxes… and the cruiser fleet, paid for by customs duties and serving the interests of trade" (page 171), that is, consolidation by member demand with the strategic layer financed apart from the commercial one.</w:t>
      </w:r>
    </w:p>
    <w:p>
      <w:pPr>
        <w:spacing w:after="150" w:line="290"/>
      </w:pPr>
      <w:r>
        <w:rPr>
          <w:rFonts w:ascii="Georgia" w:cs="Georgia" w:eastAsia="Georgia" w:hAnsi="Georgia"/>
          <w:sz w:val="22"/>
          <w:szCs w:val="22"/>
        </w:rPr>
        <w:t xml:space="preserve">Fourth, the cut and the specimen. Chapter 12 section VI, lines 549 to 552, carries the "critics can only refine" formulation that ruling (cc) removes. The ruling also called for a specimen from Chastellain of prophecy done badly. The assessment corrects the attribution: the failed prediction of Charles VII's death in the winter of 1457 to 1458 was the astrologers' and the princes', not the chronicler's. "Couroit la voix par diverses terres que dedens terme préfix et par jugement d'astronomie il devoit mourir et ne passeroit point le mois de mars" (tome III, page 444); the dauphin and the duke of Burgundy "furent trompés tous deux, car vesqui le roy encore longs jours depuis en haut règne" (page 446). The better specimen is Chastellain's own forecasting. Of the comet of 1456 he writes that one judges from it "guerre, tribulation et mort de hauts princes, lesquelles choses, posé que elles ne soient approuvées, ne tenues à nécessaires, sont toutevoies apparues droit-cy assez depuis" (page 117), and he later cashes the forecast on whichever princes had died (page 387). The same writer who mocks a fixed term that failed keeps his own forecast alive by hedging its necessity and changing its referent. Three homes are on offer: the Introduction's wager, chapter 12 section VII beside the four-bloc frame, or the Coda section IV.</w:t>
      </w:r>
    </w:p>
    <w:p>
      <w:pPr>
        <w:spacing w:after="150" w:line="290"/>
      </w:pPr>
      <w:r>
        <w:rPr>
          <w:rFonts w:ascii="Georgia" w:cs="Georgia" w:eastAsia="Georgia" w:hAnsi="Georgia"/>
          <w:b/>
          <w:bCs/>
          <w:sz w:val="22"/>
          <w:szCs w:val="22"/>
        </w:rPr>
        <w:t xml:space="preserve">Why it matters.</w:t>
      </w:r>
      <w:r>
        <w:rPr>
          <w:rFonts w:ascii="Georgia" w:cs="Georgia" w:eastAsia="Georgia" w:hAnsi="Georgia"/>
          <w:sz w:val="22"/>
          <w:szCs w:val="22"/>
        </w:rPr>
        <w:t xml:space="preserve"> Large. The book's claim to be falsifiable is what separates it from the resemblance-mongering it positions against, and every one of these five is a place where a reviewer can say the prediction was written so that it could not lose. "And keeps it" is false on the AT&amp;T record within twenty-one years. A European conditional with two branches cannot score the outcome its own T2 authority describes. A lag confessed in the Coda but not scored is a limit the author can always invoke after the fact. And the Chastellain specimen cuts both ways: a chronicler who keeps his comet alive by hedging is the charge a reviewer will make against Appendix C the moment one indicator is re-dated, so the sentence citing him must say that the indicators are dated and directional and are not re-dated after the fact.</w:t>
      </w:r>
    </w:p>
    <w:p>
      <w:pPr>
        <w:spacing w:after="150" w:line="290"/>
      </w:pPr>
      <w:r>
        <w:rPr>
          <w:rFonts w:ascii="Georgia" w:cs="Georgia" w:eastAsia="Georgia" w:hAnsi="Georgia"/>
          <w:b/>
          <w:bCs/>
          <w:sz w:val="22"/>
          <w:szCs w:val="22"/>
        </w:rPr>
        <w:t xml:space="preserve">Your choices.</w:t>
      </w:r>
      <w:r>
        <w:rPr>
          <w:rFonts w:ascii="Georgia" w:cs="Georgia" w:eastAsia="Georgia" w:hAnsi="Georgia"/>
          <w:sz w:val="22"/>
          <w:szCs w:val="22"/>
        </w:rPr>
        <w:t xml:space="preserve"> Choice A tightens everything. The Liège lag is stated as a risk in chapter 12's per-bloc verdicts, named in one clause in the Coda's limits paragraph, and scored separately in Appendix C, so that contractor subordination and foundry pricing power become two indicators that may move in opposite directions; your own answer, that the bloc settlement is precisely the closure of the refuge Liège depended on, stands beside the risk and not instead of it. "Twelve times" is kept, with Kingsbury in the note as the acknowledged counter-directional case, and "and keeps it" is cut or qualified against the reconstitution, with a scoring rule for Appendix C that reconsolidation with the state as client registers as failure. Glete's from-below reading enters the European sentence as a named third branch, with Ruggie, Ertman and Schmitt in the endnote. The "critics can only refine" cut is made, and the prophecy specimen goes to the Introduction's wager with the corrected attribution, so that the discipline is declared before any prediction is made; the Coda does not carry it. The cost is several qualified sentences in the book's most rhetorically loaded chapter, one Appendix C indicator added, and the loss of "and keeps it", which is a good line. What it buys is a forecast a hostile reviewer cannot say was written to survive.</w:t>
      </w:r>
    </w:p>
    <w:p>
      <w:pPr>
        <w:spacing w:after="150" w:line="290"/>
      </w:pPr>
      <w:r>
        <w:rPr>
          <w:rFonts w:ascii="Georgia" w:cs="Georgia" w:eastAsia="Georgia" w:hAnsi="Georgia"/>
          <w:sz w:val="22"/>
          <w:szCs w:val="22"/>
        </w:rPr>
        <w:t xml:space="preserve">Choice B takes the corrections that are strictly factual, Kingsbury, the reconstitution and the cut, and carries the rest in the critiques files: the lag confessed in the Coda but not scored, the European sentence left binary with Glete in a note, the specimen placed at chapter 12 section VII where the predictions are. This costs less on the page and keeps the ending's momentum. It leaves the wager softer at exactly the points the book claims to be hard, and a reviewer with Glete and McNeill in hand would notice.</w:t>
      </w:r>
    </w:p>
    <w:p>
      <w:pPr>
        <w:spacing w:after="150" w:line="290"/>
      </w:pPr>
      <w:r>
        <w:rPr>
          <w:rFonts w:ascii="Georgia" w:cs="Georgia" w:eastAsia="Georgia" w:hAnsi="Georgia"/>
          <w:sz w:val="22"/>
          <w:szCs w:val="22"/>
        </w:rPr>
        <w:t xml:space="preserve">There is one place the rows pull against each other. Row (ffff) would let the Coda confess the lag; row (jj) would score it. Doing both in full risks the same concession twice in a book that ends quietly; the clause-in-the-Coda, score-in-the-Appendix split above is the compromise.</w:t>
      </w:r>
    </w:p>
    <w:p>
      <w:pPr>
        <w:spacing w:after="150" w:line="290"/>
      </w:pPr>
      <w:r>
        <w:rPr>
          <w:rFonts w:ascii="Georgia" w:cs="Georgia" w:eastAsia="Georgia" w:hAnsi="Georgia"/>
          <w:b/>
          <w:bCs/>
          <w:sz w:val="22"/>
          <w:szCs w:val="22"/>
        </w:rPr>
        <w:t xml:space="preserve">My view.</w:t>
      </w:r>
      <w:r>
        <w:rPr>
          <w:rFonts w:ascii="Georgia" w:cs="Georgia" w:eastAsia="Georgia" w:hAnsi="Georgia"/>
          <w:sz w:val="22"/>
          <w:szCs w:val="22"/>
        </w:rPr>
        <w:t xml:space="preserve"> Choice A, and of its parts the separate Appendix C score for the foundry is the one that matters most, because it is the only version of the concession that can be proved wrong. This is a view.</w:t>
      </w:r>
    </w:p>
    <w:p>
      <w:pPr>
        <w:pBdr>
          <w:top w:val="single" w:color="C9A227" w:sz="6"/>
          <w:left w:val="single" w:color="C9A227" w:sz="6"/>
          <w:right w:val="single" w:color="C9A227" w:sz="6"/>
        </w:pBdr>
        <w:shd w:fill="FFF4D6" w:color="auto" w:val="clear"/>
        <w:spacing w:after="60" w:before="200"/>
      </w:pPr>
      <w:r>
        <w:rPr>
          <w:rFonts w:ascii="Georgia" w:cs="Georgia" w:eastAsia="Georgia" w:hAnsi="Georgia"/>
          <w:b/>
          <w:bCs/>
          <w:color w:val="8A6D00"/>
          <w:sz w:val="23"/>
          <w:szCs w:val="23"/>
        </w:rPr>
        <w:t xml:space="preserve">YOUR RULING:  </w:t>
      </w:r>
    </w:p>
    <w:p>
      <w:pPr>
        <w:pBdr>
          <w:left w:val="single" w:color="C9A227" w:sz="6"/>
          <w:right w:val="single" w:color="C9A227" w:sz="6"/>
        </w:pBdr>
        <w:shd w:fill="FFF4D6" w:color="auto" w:val="clear"/>
        <w:spacing w:after="40"/>
      </w:pPr>
      <w:r>
        <w:rPr>
          <w:sz w:val="22"/>
          <w:szCs w:val="22"/>
        </w:rPr>
        <w:t xml:space="preserve"> </w:t>
      </w:r>
    </w:p>
    <w:p>
      <w:pPr>
        <w:pBdr>
          <w:left w:val="single" w:color="C9A227" w:sz="6"/>
          <w:right w:val="single" w:color="C9A227" w:sz="6"/>
        </w:pBdr>
        <w:shd w:fill="FFF4D6" w:color="auto" w:val="clear"/>
        <w:spacing w:after="40"/>
      </w:pPr>
      <w:r>
        <w:rPr>
          <w:sz w:val="22"/>
          <w:szCs w:val="22"/>
        </w:rPr>
        <w:t xml:space="preserve"> </w:t>
      </w:r>
    </w:p>
    <w:p>
      <w:pPr>
        <w:pBdr>
          <w:bottom w:val="single" w:color="C9A227" w:sz="6"/>
          <w:left w:val="single" w:color="C9A227" w:sz="6"/>
          <w:right w:val="single" w:color="C9A227" w:sz="6"/>
        </w:pBdr>
        <w:shd w:fill="FFF4D6" w:color="auto" w:val="clear"/>
        <w:spacing w:after="60"/>
      </w:pPr>
      <w:r>
        <w:rPr>
          <w:sz w:val="22"/>
          <w:szCs w:val="22"/>
        </w:rPr>
        <w:t xml:space="preserve"> </w:t>
      </w:r>
    </w:p>
    <w:p>
      <w:pPr>
        <w:pStyle w:val="Heading2"/>
        <w:spacing w:after="120" w:before="260"/>
      </w:pPr>
      <w:r>
        <w:rPr>
          <w:rFonts w:ascii="Georgia" w:cs="Georgia" w:eastAsia="Georgia" w:hAnsi="Georgia"/>
          <w:b/>
          <w:bCs/>
          <w:color w:val="1F3864"/>
          <w:sz w:val="25"/>
          <w:szCs w:val="25"/>
        </w:rPr>
        <w:t xml:space="preserve">Decision 28 — Appendix C: what Lepore adds to the democratic-control scoring</w:t>
      </w:r>
    </w:p>
    <w:p>
      <w:pPr>
        <w:spacing w:after="140"/>
      </w:pPr>
      <w:r>
        <w:rPr>
          <w:rFonts w:ascii="Georgia" w:cs="Georgia" w:eastAsia="Georgia" w:hAnsi="Georgia"/>
          <w:i/>
          <w:iCs/>
          <w:color w:val="777777"/>
          <w:sz w:val="19"/>
          <w:szCs w:val="19"/>
        </w:rPr>
        <w:t xml:space="preserve">Covers rows: (rrrr), (ssss)</w:t>
      </w:r>
    </w:p>
    <w:p>
      <w:pPr>
        <w:spacing w:after="150" w:line="290"/>
      </w:pPr>
      <w:r>
        <w:rPr>
          <w:rFonts w:ascii="Georgia" w:cs="Georgia" w:eastAsia="Georgia" w:hAnsi="Georgia"/>
          <w:b/>
          <w:bCs/>
          <w:sz w:val="22"/>
          <w:szCs w:val="22"/>
        </w:rPr>
        <w:t xml:space="preserve">The background.</w:t>
      </w:r>
      <w:r>
        <w:rPr>
          <w:rFonts w:ascii="Georgia" w:cs="Georgia" w:eastAsia="Georgia" w:hAnsi="Georgia"/>
          <w:sz w:val="22"/>
          <w:szCs w:val="22"/>
        </w:rPr>
        <w:t xml:space="preserve"> Appendix C carries a set of indicators, numbered DC-1 to DC-6, for the democratic-control sub-wager: the open question ruled at spine §8(g) whether the consolidated state remains under the effective control of its legitimating institutions or only under their appearance. Four falsifiers were defined, the things that, if observed operating on one of the state's strategic commitments, would count against the ornamental reading: elections (DC-1), legislation (DC-2), judicial enforcement (DC-3), and a public institution capable of replacing an essential supplier (DC-4).</w:t>
      </w:r>
    </w:p>
    <w:p>
      <w:pPr>
        <w:spacing w:after="150" w:line="290"/>
      </w:pPr>
      <w:r>
        <w:rPr>
          <w:rFonts w:ascii="Georgia" w:cs="Georgia" w:eastAsia="Georgia" w:hAnsi="Georgia"/>
          <w:sz w:val="22"/>
          <w:szCs w:val="22"/>
        </w:rPr>
        <w:t xml:space="preserve">Jill Lepore's </w:t>
      </w:r>
      <w:r>
        <w:rPr>
          <w:rFonts w:ascii="Georgia" w:cs="Georgia" w:eastAsia="Georgia" w:hAnsi="Georgia"/>
          <w:i/>
          <w:iCs/>
          <w:sz w:val="22"/>
          <w:szCs w:val="22"/>
        </w:rPr>
        <w:t xml:space="preserve">Rise and Fall of the Artificial State</w:t>
      </w:r>
      <w:r>
        <w:rPr>
          <w:rFonts w:ascii="Georgia" w:cs="Georgia" w:eastAsia="Georgia" w:hAnsi="Georgia"/>
          <w:sz w:val="22"/>
          <w:szCs w:val="22"/>
        </w:rPr>
        <w:t xml:space="preserve"> was retrieved to test them. The capture has no title or copyright page, so no imprint, place or year may be cited, every page reference is provisional, and she is graded T3, serious trade synthesis whose contemporary chapters rest on journalism and public statements rather than archival work; she may supply colour and reporting, never sole support for a structural claim. Her epilogue is the whole of her answer to what citizens can do, and it is four pages. Its mechanisms are the first three falsifiers named as rights: "everything destructive that they have done can be undone by voters, elections, legislation, and judicial enforcement" (printed page 226 / PDF page 242); "That rock is the right of the people to elect a government by consent and not by automation"; technologies "can be held to publicly defined standards, answerable to voters and not to corporations" (printed page 227 / PDF page 243). She gives no worked instance of any of the three operating on a stack commitment; the live resistance she documents is local and individual, "Grow tomatoes, not data centers" and "Unplug" (printed pages 227 to 228). Of the fourth falsifier there is nothing: searches of all 306 pages return no nationalisation, no state capacity, no procurement, no licensing, no public ownership of anything but nineteenth-century land. The row proposes recording that zero as a design note.</w:t>
      </w:r>
    </w:p>
    <w:p>
      <w:pPr>
        <w:spacing w:after="150" w:line="290"/>
      </w:pPr>
      <w:r>
        <w:rPr>
          <w:rFonts w:ascii="Georgia" w:cs="Georgia" w:eastAsia="Georgia" w:hAnsi="Georgia"/>
          <w:sz w:val="22"/>
          <w:szCs w:val="22"/>
        </w:rPr>
        <w:t xml:space="preserve">Her one institutional proposal is restorative and dated by its own loss. The Office of Technology Assessment, "formed in 1972", whose "mandate included assessing the implications of any new technology supported by the federal government" (printed page 70, head illegible / PDF page 81), is offered as an anti-baseline for DC-2, the point from which legislative capacity has since declined. The intake audit found that her text dates its closure only by Newt Gingrich's arrival as Speaker; the year 1995, which the assessment gave, is asserted nowhere at the pin, so the row marks it NEEDS PRIMARY FOR THE DATE and enters it as a candidate, not scored. Her assessment questions at printed page 227 (six, not seven, on the audit's count) would enter DC-2 as a coding rubric only.</w:t>
      </w:r>
    </w:p>
    <w:p>
      <w:pPr>
        <w:spacing w:after="150" w:line="290"/>
      </w:pPr>
      <w:r>
        <w:rPr>
          <w:rFonts w:ascii="Georgia" w:cs="Georgia" w:eastAsia="Georgia" w:hAnsi="Georgia"/>
          <w:sz w:val="22"/>
          <w:szCs w:val="22"/>
        </w:rPr>
        <w:t xml:space="preserve">Two dated figures she gives are proposed for exclusion. Her 2025 opinion series, "a mere 9 percent of Americans and only 11 percent of 'AI experts'" expecting a positive effect on elections and "61 percent of Americans wanted more control over AI" (printed page 227), measure consent, not control, and are baselines for a different series. Her 2026 survey, "80 percent of them reported gaining nothing from using AI" (printed page 223 / PDF page 239), names no survey in text; a probable carrier was found in the notes but the association is an inference in damaged OCR, so it stays unscored and marked NEEDS VERIFICATION.</w:t>
      </w:r>
    </w:p>
    <w:p>
      <w:pPr>
        <w:spacing w:after="150" w:line="290"/>
      </w:pPr>
      <w:r>
        <w:rPr>
          <w:rFonts w:ascii="Georgia" w:cs="Georgia" w:eastAsia="Georgia" w:hAnsi="Georgia"/>
          <w:b/>
          <w:bCs/>
          <w:sz w:val="22"/>
          <w:szCs w:val="22"/>
        </w:rPr>
        <w:t xml:space="preserve">Why it matters.</w:t>
      </w:r>
      <w:r>
        <w:rPr>
          <w:rFonts w:ascii="Georgia" w:cs="Georgia" w:eastAsia="Georgia" w:hAnsi="Georgia"/>
          <w:sz w:val="22"/>
          <w:szCs w:val="22"/>
        </w:rPr>
        <w:t xml:space="preserve"> Medium, and mostly a matter of keeping the appendix honest. The value of what she gives is negative and precise: the strongest recent statement of the optimistic case, by a serious historian who read the same 2025 to 2026 record, names the remedies as rights and shows none of them working, and proposes no public substitute for any supplier at all. That is the answer DC-4 needed, and it should be on the record before a reviewer says the falsifier was set where nobody would look. The risk in the other direction is small but real: if her opinion series or her unverified survey were scored, Appendix C would be carrying a T3 number as a baseline, which the doctrine forbids and a reviewer would find.</w:t>
      </w:r>
    </w:p>
    <w:p>
      <w:pPr>
        <w:spacing w:after="150" w:line="290"/>
      </w:pPr>
      <w:r>
        <w:rPr>
          <w:rFonts w:ascii="Georgia" w:cs="Georgia" w:eastAsia="Georgia" w:hAnsi="Georgia"/>
          <w:b/>
          <w:bCs/>
          <w:sz w:val="22"/>
          <w:szCs w:val="22"/>
        </w:rPr>
        <w:t xml:space="preserve">Your choices.</w:t>
      </w:r>
      <w:r>
        <w:rPr>
          <w:rFonts w:ascii="Georgia" w:cs="Georgia" w:eastAsia="Georgia" w:hAnsi="Georgia"/>
          <w:sz w:val="22"/>
          <w:szCs w:val="22"/>
        </w:rPr>
        <w:t xml:space="preserve"> Choice A records the DC-4 zero as a design note; adds one line to each of DC-1, DC-2 and DC-3 saying that the strongest recent statement of the optimistic case names the remedy as a right and produces no worked instance of it operating on a stack commitment; enters the Office of Technology Assessment in DC-2 as a candidate anti-baseline, unscored, with the abolition date to come from a primary and the six questions as a coding rubric; and leaves both surveys unscored. No indicator is added or re-coded. The cost is a few lines of apparatus and one retrieval errand. What it buys is that the appendix's own design shows it looked for the falsifiers where the optimists say they are.</w:t>
      </w:r>
    </w:p>
    <w:p>
      <w:pPr>
        <w:spacing w:after="150" w:line="290"/>
      </w:pPr>
      <w:r>
        <w:rPr>
          <w:rFonts w:ascii="Georgia" w:cs="Georgia" w:eastAsia="Georgia" w:hAnsi="Georgia"/>
          <w:sz w:val="22"/>
          <w:szCs w:val="22"/>
        </w:rPr>
        <w:t xml:space="preserve">Choice B takes only the DC-4 zero and the three design lines, and leaves the Office of Technology Assessment out until the primary arrives. This is cleaner and loses only a candidate; the candidate is worth having, because it is the one institutional instrument on her side of the argument, and a baseline recorded as pending is more honest than one omitted.</w:t>
      </w:r>
    </w:p>
    <w:p>
      <w:pPr>
        <w:spacing w:after="150" w:line="290"/>
      </w:pPr>
      <w:r>
        <w:rPr>
          <w:rFonts w:ascii="Georgia" w:cs="Georgia" w:eastAsia="Georgia" w:hAnsi="Georgia"/>
          <w:b/>
          <w:bCs/>
          <w:sz w:val="22"/>
          <w:szCs w:val="22"/>
        </w:rPr>
        <w:t xml:space="preserve">My view.</w:t>
      </w:r>
      <w:r>
        <w:rPr>
          <w:rFonts w:ascii="Georgia" w:cs="Georgia" w:eastAsia="Georgia" w:hAnsi="Georgia"/>
          <w:sz w:val="22"/>
          <w:szCs w:val="22"/>
        </w:rPr>
        <w:t xml:space="preserve"> Choice A, with the date retrieved before the row carries anything. This is a view.</w:t>
      </w:r>
    </w:p>
    <w:p>
      <w:pPr>
        <w:pBdr>
          <w:top w:val="single" w:color="C9A227" w:sz="6"/>
          <w:left w:val="single" w:color="C9A227" w:sz="6"/>
          <w:right w:val="single" w:color="C9A227" w:sz="6"/>
        </w:pBdr>
        <w:shd w:fill="FFF4D6" w:color="auto" w:val="clear"/>
        <w:spacing w:after="60" w:before="200"/>
      </w:pPr>
      <w:r>
        <w:rPr>
          <w:rFonts w:ascii="Georgia" w:cs="Georgia" w:eastAsia="Georgia" w:hAnsi="Georgia"/>
          <w:b/>
          <w:bCs/>
          <w:color w:val="8A6D00"/>
          <w:sz w:val="23"/>
          <w:szCs w:val="23"/>
        </w:rPr>
        <w:t xml:space="preserve">YOUR RULING:  </w:t>
      </w:r>
    </w:p>
    <w:p>
      <w:pPr>
        <w:pBdr>
          <w:left w:val="single" w:color="C9A227" w:sz="6"/>
          <w:right w:val="single" w:color="C9A227" w:sz="6"/>
        </w:pBdr>
        <w:shd w:fill="FFF4D6" w:color="auto" w:val="clear"/>
        <w:spacing w:after="40"/>
      </w:pPr>
      <w:r>
        <w:rPr>
          <w:sz w:val="22"/>
          <w:szCs w:val="22"/>
        </w:rPr>
        <w:t xml:space="preserve"> </w:t>
      </w:r>
    </w:p>
    <w:p>
      <w:pPr>
        <w:pBdr>
          <w:left w:val="single" w:color="C9A227" w:sz="6"/>
          <w:right w:val="single" w:color="C9A227" w:sz="6"/>
        </w:pBdr>
        <w:shd w:fill="FFF4D6" w:color="auto" w:val="clear"/>
        <w:spacing w:after="40"/>
      </w:pPr>
      <w:r>
        <w:rPr>
          <w:sz w:val="22"/>
          <w:szCs w:val="22"/>
        </w:rPr>
        <w:t xml:space="preserve"> </w:t>
      </w:r>
    </w:p>
    <w:p>
      <w:pPr>
        <w:pBdr>
          <w:bottom w:val="single" w:color="C9A227" w:sz="6"/>
          <w:left w:val="single" w:color="C9A227" w:sz="6"/>
          <w:right w:val="single" w:color="C9A227" w:sz="6"/>
        </w:pBdr>
        <w:shd w:fill="FFF4D6" w:color="auto" w:val="clear"/>
        <w:spacing w:after="60"/>
      </w:pPr>
      <w:r>
        <w:rPr>
          <w:sz w:val="22"/>
          <w:szCs w:val="22"/>
        </w:rPr>
        <w:t xml:space="preserve"> </w:t>
      </w:r>
    </w:p>
    <w:p>
      <w:pPr>
        <w:pStyle w:val="Heading1"/>
        <w:spacing w:after="180" w:before="300"/>
      </w:pPr>
      <w:r>
        <w:rPr>
          <w:rFonts w:ascii="Georgia" w:cs="Georgia" w:eastAsia="Georgia" w:hAnsi="Georgia"/>
          <w:b/>
          <w:bCs/>
          <w:color w:val="1F3864"/>
          <w:sz w:val="30"/>
          <w:szCs w:val="30"/>
        </w:rPr>
        <w:t xml:space="preserve">Record corrections — no decision needed</w:t>
      </w:r>
    </w:p>
    <w:p>
      <w:pPr>
        <w:spacing w:after="140"/>
      </w:pPr>
      <w:r>
        <w:rPr>
          <w:rFonts w:ascii="Georgia" w:cs="Georgia" w:eastAsia="Georgia" w:hAnsi="Georgia"/>
          <w:i/>
          <w:iCs/>
          <w:color w:val="777777"/>
          <w:sz w:val="19"/>
          <w:szCs w:val="19"/>
        </w:rPr>
        <w:t xml:space="preserve">Covers rows: (tttt)</w:t>
      </w:r>
    </w:p>
    <w:p>
      <w:pPr>
        <w:spacing w:after="150" w:line="290"/>
      </w:pPr>
      <w:r>
        <w:rPr>
          <w:rFonts w:ascii="Georgia" w:cs="Georgia" w:eastAsia="Georgia" w:hAnsi="Georgia"/>
          <w:sz w:val="22"/>
          <w:szCs w:val="22"/>
        </w:rPr>
        <w:t xml:space="preserve">Five corrections are owed to the master retrieval ledger, retrieval-master.md, which the Lepore intake unit was not permitted to edit. The Part Two opener is "What Robots Want" at printed pages 117 to 130. The Epilogue runs printed pages 225 to 228, and the main text ends at printed page 228 (PDF page 246), not "about printed page 237" as the ledger has it. The Acknowledgments are at PDF page 247 and the Notes title page at PDF page 249 (printed page 231), with printed page 232 confirmed at PDF page 250. Finally, the search claim for CHIPS, chip and export control is "zero in the main text" only; the words occur in an endnote quotation at printed page 256 (PDF pages 274 to 275).</w:t>
      </w:r>
    </w:p>
    <w:p>
      <w:pPr>
        <w:pStyle w:val="Heading1"/>
        <w:pageBreakBefore/>
        <w:spacing w:after="200" w:before="0"/>
      </w:pPr>
      <w:r>
        <w:rPr>
          <w:rFonts w:ascii="Georgia" w:cs="Georgia" w:eastAsia="Georgia" w:hAnsi="Georgia"/>
          <w:b/>
          <w:bCs/>
          <w:color w:val="1F3864"/>
          <w:sz w:val="32"/>
          <w:szCs w:val="32"/>
        </w:rPr>
        <w:t xml:space="preserve">Your answers at a glance</w:t>
      </w:r>
    </w:p>
    <w:p>
      <w:pPr>
        <w:spacing w:after="150" w:line="290"/>
      </w:pPr>
      <w:r>
        <w:rPr>
          <w:rFonts w:ascii="Georgia" w:cs="Georgia" w:eastAsia="Georgia" w:hAnsi="Georgia"/>
          <w:sz w:val="22"/>
          <w:szCs w:val="22"/>
        </w:rPr>
        <w:t xml:space="preserve">If you would rather answer in one place, write each ruling here. The letter of the choice is enough; add words where you want to.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00"/>
        <w:gridCol w:w="5300"/>
        <w:gridCol w:w="3000"/>
      </w:tblGrid>
      <w:tr>
        <w:trPr>
          <w:tblHeader/>
        </w:trPr>
        <w:tc>
          <w:tcPr>
            <w:tcW w:type="dxa" w:w="900"/>
            <w:shd w:fill="E8EDF5" w:color="auto" w:val="clear"/>
            <w:tcMar>
              <w:top w:type="dxa" w:w="80"/>
              <w:left w:type="dxa" w:w="100"/>
              <w:bottom w:type="dxa" w:w="80"/>
              <w:right w:type="dxa" w:w="100"/>
            </w:tcMar>
          </w:tcPr>
          <w:p>
            <w:r>
              <w:rPr>
                <w:rFonts w:ascii="Georgia" w:cs="Georgia" w:eastAsia="Georgia" w:hAnsi="Georgia"/>
                <w:b/>
                <w:bCs/>
                <w:sz w:val="19"/>
                <w:szCs w:val="19"/>
              </w:rPr>
              <w:t xml:space="preserve">No.</w:t>
            </w:r>
          </w:p>
        </w:tc>
        <w:tc>
          <w:tcPr>
            <w:tcW w:type="dxa" w:w="5300"/>
            <w:shd w:fill="E8EDF5" w:color="auto" w:val="clear"/>
            <w:tcMar>
              <w:top w:type="dxa" w:w="80"/>
              <w:left w:type="dxa" w:w="100"/>
              <w:bottom w:type="dxa" w:w="80"/>
              <w:right w:type="dxa" w:w="100"/>
            </w:tcMar>
          </w:tcPr>
          <w:p>
            <w:r>
              <w:rPr>
                <w:rFonts w:ascii="Georgia" w:cs="Georgia" w:eastAsia="Georgia" w:hAnsi="Georgia"/>
                <w:b/>
                <w:bCs/>
                <w:sz w:val="19"/>
                <w:szCs w:val="19"/>
              </w:rPr>
              <w:t xml:space="preserve">Decision</w:t>
            </w:r>
          </w:p>
        </w:tc>
        <w:tc>
          <w:tcPr>
            <w:tcW w:type="dxa" w:w="3000"/>
            <w:shd w:fill="E8EDF5" w:color="auto" w:val="clear"/>
            <w:tcMar>
              <w:top w:type="dxa" w:w="80"/>
              <w:left w:type="dxa" w:w="100"/>
              <w:bottom w:type="dxa" w:w="80"/>
              <w:right w:type="dxa" w:w="100"/>
            </w:tcMar>
          </w:tcPr>
          <w:p>
            <w:r>
              <w:rPr>
                <w:rFonts w:ascii="Georgia" w:cs="Georgia" w:eastAsia="Georgia" w:hAnsi="Georgia"/>
                <w:b/>
                <w:bCs/>
                <w:sz w:val="19"/>
                <w:szCs w:val="19"/>
              </w:rPr>
              <w:t xml:space="preserve">Your ruling</w:t>
            </w:r>
          </w:p>
        </w:tc>
      </w:tr>
      <w:tr>
        <w:tc>
          <w:tcPr>
            <w:tcW w:type="dxa" w:w="900"/>
            <w:tcMar>
              <w:top w:type="dxa" w:w="80"/>
              <w:left w:type="dxa" w:w="100"/>
              <w:bottom w:type="dxa" w:w="80"/>
              <w:right w:type="dxa" w:w="100"/>
            </w:tcMar>
          </w:tcPr>
          <w:p>
            <w:r>
              <w:rPr>
                <w:rFonts w:ascii="Georgia" w:cs="Georgia" w:eastAsia="Georgia" w:hAnsi="Georgia"/>
                <w:sz w:val="19"/>
                <w:szCs w:val="19"/>
              </w:rPr>
              <w:t xml:space="preserve">1</w:t>
            </w:r>
          </w:p>
        </w:tc>
        <w:tc>
          <w:tcPr>
            <w:tcW w:type="dxa" w:w="5300"/>
            <w:tcMar>
              <w:top w:type="dxa" w:w="80"/>
              <w:left w:type="dxa" w:w="100"/>
              <w:bottom w:type="dxa" w:w="80"/>
              <w:right w:type="dxa" w:w="100"/>
            </w:tcMar>
          </w:tcPr>
          <w:p>
            <w:r>
              <w:rPr>
                <w:rFonts w:ascii="Georgia" w:cs="Georgia" w:eastAsia="Georgia" w:hAnsi="Georgia"/>
                <w:sz w:val="19"/>
                <w:szCs w:val="19"/>
              </w:rPr>
              <w:t xml:space="preserve">The name "ornamental democracy": whose idea it is, and how to introduce it</w:t>
            </w:r>
          </w:p>
        </w:tc>
        <w:tc>
          <w:tcPr>
            <w:tcW w:type="dxa" w:w="3000"/>
            <w:shd w:fill="FFF4D6" w:color="auto" w:val="clear"/>
            <w:tcMar>
              <w:top w:type="dxa" w:w="80"/>
              <w:left w:type="dxa" w:w="100"/>
              <w:bottom w:type="dxa" w:w="80"/>
              <w:right w:type="dxa" w:w="100"/>
            </w:tcMar>
          </w:tcPr>
          <w:p>
            <w:r>
              <w:rPr>
                <w:rFonts w:ascii="Georgia" w:cs="Georgia" w:eastAsia="Georgia" w:hAnsi="Georgia"/>
                <w:sz w:val="19"/>
                <w:szCs w:val="19"/>
              </w:rPr>
              <w:t xml:space="preserve"/>
            </w:r>
          </w:p>
        </w:tc>
      </w:tr>
      <w:tr>
        <w:tc>
          <w:tcPr>
            <w:tcW w:type="dxa" w:w="900"/>
            <w:tcMar>
              <w:top w:type="dxa" w:w="80"/>
              <w:left w:type="dxa" w:w="100"/>
              <w:bottom w:type="dxa" w:w="80"/>
              <w:right w:type="dxa" w:w="100"/>
            </w:tcMar>
          </w:tcPr>
          <w:p>
            <w:r>
              <w:rPr>
                <w:rFonts w:ascii="Georgia" w:cs="Georgia" w:eastAsia="Georgia" w:hAnsi="Georgia"/>
                <w:sz w:val="19"/>
                <w:szCs w:val="19"/>
              </w:rPr>
              <w:t xml:space="preserve">2</w:t>
            </w:r>
          </w:p>
        </w:tc>
        <w:tc>
          <w:tcPr>
            <w:tcW w:type="dxa" w:w="5300"/>
            <w:tcMar>
              <w:top w:type="dxa" w:w="80"/>
              <w:left w:type="dxa" w:w="100"/>
              <w:bottom w:type="dxa" w:w="80"/>
              <w:right w:type="dxa" w:w="100"/>
            </w:tcMar>
          </w:tcPr>
          <w:p>
            <w:r>
              <w:rPr>
                <w:rFonts w:ascii="Georgia" w:cs="Georgia" w:eastAsia="Georgia" w:hAnsi="Georgia"/>
                <w:sz w:val="19"/>
                <w:szCs w:val="19"/>
              </w:rPr>
              <w:t xml:space="preserve">Where the book's real ending lives in chapter 12</w:t>
            </w:r>
          </w:p>
        </w:tc>
        <w:tc>
          <w:tcPr>
            <w:tcW w:type="dxa" w:w="3000"/>
            <w:shd w:fill="FFF4D6" w:color="auto" w:val="clear"/>
            <w:tcMar>
              <w:top w:type="dxa" w:w="80"/>
              <w:left w:type="dxa" w:w="100"/>
              <w:bottom w:type="dxa" w:w="80"/>
              <w:right w:type="dxa" w:w="100"/>
            </w:tcMar>
          </w:tcPr>
          <w:p>
            <w:r>
              <w:rPr>
                <w:rFonts w:ascii="Georgia" w:cs="Georgia" w:eastAsia="Georgia" w:hAnsi="Georgia"/>
                <w:sz w:val="19"/>
                <w:szCs w:val="19"/>
              </w:rPr>
              <w:t xml:space="preserve"/>
            </w:r>
          </w:p>
        </w:tc>
      </w:tr>
      <w:tr>
        <w:tc>
          <w:tcPr>
            <w:tcW w:type="dxa" w:w="900"/>
            <w:tcMar>
              <w:top w:type="dxa" w:w="80"/>
              <w:left w:type="dxa" w:w="100"/>
              <w:bottom w:type="dxa" w:w="80"/>
              <w:right w:type="dxa" w:w="100"/>
            </w:tcMar>
          </w:tcPr>
          <w:p>
            <w:r>
              <w:rPr>
                <w:rFonts w:ascii="Georgia" w:cs="Georgia" w:eastAsia="Georgia" w:hAnsi="Georgia"/>
                <w:sz w:val="19"/>
                <w:szCs w:val="19"/>
              </w:rPr>
              <w:t xml:space="preserve">3</w:t>
            </w:r>
          </w:p>
        </w:tc>
        <w:tc>
          <w:tcPr>
            <w:tcW w:type="dxa" w:w="5300"/>
            <w:tcMar>
              <w:top w:type="dxa" w:w="80"/>
              <w:left w:type="dxa" w:w="100"/>
              <w:bottom w:type="dxa" w:w="80"/>
              <w:right w:type="dxa" w:w="100"/>
            </w:tcMar>
          </w:tcPr>
          <w:p>
            <w:r>
              <w:rPr>
                <w:rFonts w:ascii="Georgia" w:cs="Georgia" w:eastAsia="Georgia" w:hAnsi="Georgia"/>
                <w:sz w:val="19"/>
                <w:szCs w:val="19"/>
              </w:rPr>
              <w:t xml:space="preserve">The Coda's fifth disclaimer</w:t>
            </w:r>
          </w:p>
        </w:tc>
        <w:tc>
          <w:tcPr>
            <w:tcW w:type="dxa" w:w="3000"/>
            <w:shd w:fill="FFF4D6" w:color="auto" w:val="clear"/>
            <w:tcMar>
              <w:top w:type="dxa" w:w="80"/>
              <w:left w:type="dxa" w:w="100"/>
              <w:bottom w:type="dxa" w:w="80"/>
              <w:right w:type="dxa" w:w="100"/>
            </w:tcMar>
          </w:tcPr>
          <w:p>
            <w:r>
              <w:rPr>
                <w:rFonts w:ascii="Georgia" w:cs="Georgia" w:eastAsia="Georgia" w:hAnsi="Georgia"/>
                <w:sz w:val="19"/>
                <w:szCs w:val="19"/>
              </w:rPr>
              <w:t xml:space="preserve"/>
            </w:r>
          </w:p>
        </w:tc>
      </w:tr>
      <w:tr>
        <w:tc>
          <w:tcPr>
            <w:tcW w:type="dxa" w:w="900"/>
            <w:tcMar>
              <w:top w:type="dxa" w:w="80"/>
              <w:left w:type="dxa" w:w="100"/>
              <w:bottom w:type="dxa" w:w="80"/>
              <w:right w:type="dxa" w:w="100"/>
            </w:tcMar>
          </w:tcPr>
          <w:p>
            <w:r>
              <w:rPr>
                <w:rFonts w:ascii="Georgia" w:cs="Georgia" w:eastAsia="Georgia" w:hAnsi="Georgia"/>
                <w:sz w:val="19"/>
                <w:szCs w:val="19"/>
              </w:rPr>
              <w:t xml:space="preserve">4</w:t>
            </w:r>
          </w:p>
        </w:tc>
        <w:tc>
          <w:tcPr>
            <w:tcW w:type="dxa" w:w="5300"/>
            <w:tcMar>
              <w:top w:type="dxa" w:w="80"/>
              <w:left w:type="dxa" w:w="100"/>
              <w:bottom w:type="dxa" w:w="80"/>
              <w:right w:type="dxa" w:w="100"/>
            </w:tcMar>
          </w:tcPr>
          <w:p>
            <w:r>
              <w:rPr>
                <w:rFonts w:ascii="Georgia" w:cs="Georgia" w:eastAsia="Georgia" w:hAnsi="Georgia"/>
                <w:sz w:val="19"/>
                <w:szCs w:val="19"/>
              </w:rPr>
              <w:t xml:space="preserve">Conceding when the state does NOT acquire the stack: "decisive AND inescapable"</w:t>
            </w:r>
          </w:p>
        </w:tc>
        <w:tc>
          <w:tcPr>
            <w:tcW w:type="dxa" w:w="3000"/>
            <w:shd w:fill="FFF4D6" w:color="auto" w:val="clear"/>
            <w:tcMar>
              <w:top w:type="dxa" w:w="80"/>
              <w:left w:type="dxa" w:w="100"/>
              <w:bottom w:type="dxa" w:w="80"/>
              <w:right w:type="dxa" w:w="100"/>
            </w:tcMar>
          </w:tcPr>
          <w:p>
            <w:r>
              <w:rPr>
                <w:rFonts w:ascii="Georgia" w:cs="Georgia" w:eastAsia="Georgia" w:hAnsi="Georgia"/>
                <w:sz w:val="19"/>
                <w:szCs w:val="19"/>
              </w:rPr>
              <w:t xml:space="preserve"/>
            </w:r>
          </w:p>
        </w:tc>
      </w:tr>
      <w:tr>
        <w:tc>
          <w:tcPr>
            <w:tcW w:type="dxa" w:w="900"/>
            <w:tcMar>
              <w:top w:type="dxa" w:w="80"/>
              <w:left w:type="dxa" w:w="100"/>
              <w:bottom w:type="dxa" w:w="80"/>
              <w:right w:type="dxa" w:w="100"/>
            </w:tcMar>
          </w:tcPr>
          <w:p>
            <w:r>
              <w:rPr>
                <w:rFonts w:ascii="Georgia" w:cs="Georgia" w:eastAsia="Georgia" w:hAnsi="Georgia"/>
                <w:sz w:val="19"/>
                <w:szCs w:val="19"/>
              </w:rPr>
              <w:t xml:space="preserve">5</w:t>
            </w:r>
          </w:p>
        </w:tc>
        <w:tc>
          <w:tcPr>
            <w:tcW w:type="dxa" w:w="5300"/>
            <w:tcMar>
              <w:top w:type="dxa" w:w="80"/>
              <w:left w:type="dxa" w:w="100"/>
              <w:bottom w:type="dxa" w:w="80"/>
              <w:right w:type="dxa" w:w="100"/>
            </w:tcMar>
          </w:tcPr>
          <w:p>
            <w:r>
              <w:rPr>
                <w:rFonts w:ascii="Georgia" w:cs="Georgia" w:eastAsia="Georgia" w:hAnsi="Georgia"/>
                <w:sz w:val="19"/>
                <w:szCs w:val="19"/>
              </w:rPr>
              <w:t xml:space="preserve">Where the modern analogy stops: administration yes, representation no</w:t>
            </w:r>
          </w:p>
        </w:tc>
        <w:tc>
          <w:tcPr>
            <w:tcW w:type="dxa" w:w="3000"/>
            <w:shd w:fill="FFF4D6" w:color="auto" w:val="clear"/>
            <w:tcMar>
              <w:top w:type="dxa" w:w="80"/>
              <w:left w:type="dxa" w:w="100"/>
              <w:bottom w:type="dxa" w:w="80"/>
              <w:right w:type="dxa" w:w="100"/>
            </w:tcMar>
          </w:tcPr>
          <w:p>
            <w:r>
              <w:rPr>
                <w:rFonts w:ascii="Georgia" w:cs="Georgia" w:eastAsia="Georgia" w:hAnsi="Georgia"/>
                <w:sz w:val="19"/>
                <w:szCs w:val="19"/>
              </w:rPr>
              <w:t xml:space="preserve"/>
            </w:r>
          </w:p>
        </w:tc>
      </w:tr>
      <w:tr>
        <w:tc>
          <w:tcPr>
            <w:tcW w:type="dxa" w:w="900"/>
            <w:tcMar>
              <w:top w:type="dxa" w:w="80"/>
              <w:left w:type="dxa" w:w="100"/>
              <w:bottom w:type="dxa" w:w="80"/>
              <w:right w:type="dxa" w:w="100"/>
            </w:tcMar>
          </w:tcPr>
          <w:p>
            <w:r>
              <w:rPr>
                <w:rFonts w:ascii="Georgia" w:cs="Georgia" w:eastAsia="Georgia" w:hAnsi="Georgia"/>
                <w:sz w:val="19"/>
                <w:szCs w:val="19"/>
              </w:rPr>
              <w:t xml:space="preserve">6</w:t>
            </w:r>
          </w:p>
        </w:tc>
        <w:tc>
          <w:tcPr>
            <w:tcW w:type="dxa" w:w="5300"/>
            <w:tcMar>
              <w:top w:type="dxa" w:w="80"/>
              <w:left w:type="dxa" w:w="100"/>
              <w:bottom w:type="dxa" w:w="80"/>
              <w:right w:type="dxa" w:w="100"/>
            </w:tcMar>
          </w:tcPr>
          <w:p>
            <w:r>
              <w:rPr>
                <w:rFonts w:ascii="Georgia" w:cs="Georgia" w:eastAsia="Georgia" w:hAnsi="Georgia"/>
                <w:sz w:val="19"/>
                <w:szCs w:val="19"/>
              </w:rPr>
              <w:t xml:space="preserve">The trust-busting sentence and the deregulation record</w:t>
            </w:r>
          </w:p>
        </w:tc>
        <w:tc>
          <w:tcPr>
            <w:tcW w:type="dxa" w:w="3000"/>
            <w:shd w:fill="FFF4D6" w:color="auto" w:val="clear"/>
            <w:tcMar>
              <w:top w:type="dxa" w:w="80"/>
              <w:left w:type="dxa" w:w="100"/>
              <w:bottom w:type="dxa" w:w="80"/>
              <w:right w:type="dxa" w:w="100"/>
            </w:tcMar>
          </w:tcPr>
          <w:p>
            <w:r>
              <w:rPr>
                <w:rFonts w:ascii="Georgia" w:cs="Georgia" w:eastAsia="Georgia" w:hAnsi="Georgia"/>
                <w:sz w:val="19"/>
                <w:szCs w:val="19"/>
              </w:rPr>
              <w:t xml:space="preserve"/>
            </w:r>
          </w:p>
        </w:tc>
      </w:tr>
      <w:tr>
        <w:tc>
          <w:tcPr>
            <w:tcW w:type="dxa" w:w="900"/>
            <w:tcMar>
              <w:top w:type="dxa" w:w="80"/>
              <w:left w:type="dxa" w:w="100"/>
              <w:bottom w:type="dxa" w:w="80"/>
              <w:right w:type="dxa" w:w="100"/>
            </w:tcMar>
          </w:tcPr>
          <w:p>
            <w:r>
              <w:rPr>
                <w:rFonts w:ascii="Georgia" w:cs="Georgia" w:eastAsia="Georgia" w:hAnsi="Georgia"/>
                <w:sz w:val="19"/>
                <w:szCs w:val="19"/>
              </w:rPr>
              <w:t xml:space="preserve">7</w:t>
            </w:r>
          </w:p>
        </w:tc>
        <w:tc>
          <w:tcPr>
            <w:tcW w:type="dxa" w:w="5300"/>
            <w:tcMar>
              <w:top w:type="dxa" w:w="80"/>
              <w:left w:type="dxa" w:w="100"/>
              <w:bottom w:type="dxa" w:w="80"/>
              <w:right w:type="dxa" w:w="100"/>
            </w:tcMar>
          </w:tcPr>
          <w:p>
            <w:r>
              <w:rPr>
                <w:rFonts w:ascii="Georgia" w:cs="Georgia" w:eastAsia="Georgia" w:hAnsi="Georgia"/>
                <w:sz w:val="19"/>
                <w:szCs w:val="19"/>
              </w:rPr>
              <w:t xml:space="preserve">Which half of the reassertion has already happened: the "layered tense"</w:t>
            </w:r>
          </w:p>
        </w:tc>
        <w:tc>
          <w:tcPr>
            <w:tcW w:type="dxa" w:w="3000"/>
            <w:shd w:fill="FFF4D6" w:color="auto" w:val="clear"/>
            <w:tcMar>
              <w:top w:type="dxa" w:w="80"/>
              <w:left w:type="dxa" w:w="100"/>
              <w:bottom w:type="dxa" w:w="80"/>
              <w:right w:type="dxa" w:w="100"/>
            </w:tcMar>
          </w:tcPr>
          <w:p>
            <w:r>
              <w:rPr>
                <w:rFonts w:ascii="Georgia" w:cs="Georgia" w:eastAsia="Georgia" w:hAnsi="Georgia"/>
                <w:sz w:val="19"/>
                <w:szCs w:val="19"/>
              </w:rPr>
              <w:t xml:space="preserve"/>
            </w:r>
          </w:p>
        </w:tc>
      </w:tr>
      <w:tr>
        <w:tc>
          <w:tcPr>
            <w:tcW w:type="dxa" w:w="900"/>
            <w:tcMar>
              <w:top w:type="dxa" w:w="80"/>
              <w:left w:type="dxa" w:w="100"/>
              <w:bottom w:type="dxa" w:w="80"/>
              <w:right w:type="dxa" w:w="100"/>
            </w:tcMar>
          </w:tcPr>
          <w:p>
            <w:r>
              <w:rPr>
                <w:rFonts w:ascii="Georgia" w:cs="Georgia" w:eastAsia="Georgia" w:hAnsi="Georgia"/>
                <w:sz w:val="19"/>
                <w:szCs w:val="19"/>
              </w:rPr>
              <w:t xml:space="preserve">8</w:t>
            </w:r>
          </w:p>
        </w:tc>
        <w:tc>
          <w:tcPr>
            <w:tcW w:type="dxa" w:w="5300"/>
            <w:tcMar>
              <w:top w:type="dxa" w:w="80"/>
              <w:left w:type="dxa" w:w="100"/>
              <w:bottom w:type="dxa" w:w="80"/>
              <w:right w:type="dxa" w:w="100"/>
            </w:tcMar>
          </w:tcPr>
          <w:p>
            <w:r>
              <w:rPr>
                <w:rFonts w:ascii="Georgia" w:cs="Georgia" w:eastAsia="Georgia" w:hAnsi="Georgia"/>
                <w:sz w:val="19"/>
                <w:szCs w:val="19"/>
              </w:rPr>
              <w:t xml:space="preserve">England: the 1530s or the 1690s</w:t>
            </w:r>
          </w:p>
        </w:tc>
        <w:tc>
          <w:tcPr>
            <w:tcW w:type="dxa" w:w="3000"/>
            <w:shd w:fill="FFF4D6" w:color="auto" w:val="clear"/>
            <w:tcMar>
              <w:top w:type="dxa" w:w="80"/>
              <w:left w:type="dxa" w:w="100"/>
              <w:bottom w:type="dxa" w:w="80"/>
              <w:right w:type="dxa" w:w="100"/>
            </w:tcMar>
          </w:tcPr>
          <w:p>
            <w:r>
              <w:rPr>
                <w:rFonts w:ascii="Georgia" w:cs="Georgia" w:eastAsia="Georgia" w:hAnsi="Georgia"/>
                <w:sz w:val="19"/>
                <w:szCs w:val="19"/>
              </w:rPr>
              <w:t xml:space="preserve"/>
            </w:r>
          </w:p>
        </w:tc>
      </w:tr>
      <w:tr>
        <w:tc>
          <w:tcPr>
            <w:tcW w:type="dxa" w:w="900"/>
            <w:tcMar>
              <w:top w:type="dxa" w:w="80"/>
              <w:left w:type="dxa" w:w="100"/>
              <w:bottom w:type="dxa" w:w="80"/>
              <w:right w:type="dxa" w:w="100"/>
            </w:tcMar>
          </w:tcPr>
          <w:p>
            <w:r>
              <w:rPr>
                <w:rFonts w:ascii="Georgia" w:cs="Georgia" w:eastAsia="Georgia" w:hAnsi="Georgia"/>
                <w:sz w:val="19"/>
                <w:szCs w:val="19"/>
              </w:rPr>
              <w:t xml:space="preserve">9</w:t>
            </w:r>
          </w:p>
        </w:tc>
        <w:tc>
          <w:tcPr>
            <w:tcW w:type="dxa" w:w="5300"/>
            <w:tcMar>
              <w:top w:type="dxa" w:w="80"/>
              <w:left w:type="dxa" w:w="100"/>
              <w:bottom w:type="dxa" w:w="80"/>
              <w:right w:type="dxa" w:w="100"/>
            </w:tcMar>
          </w:tcPr>
          <w:p>
            <w:r>
              <w:rPr>
                <w:rFonts w:ascii="Georgia" w:cs="Georgia" w:eastAsia="Georgia" w:hAnsi="Georgia"/>
                <w:sz w:val="19"/>
                <w:szCs w:val="19"/>
              </w:rPr>
              <w:t xml:space="preserve">Three smaller England points</w:t>
            </w:r>
          </w:p>
        </w:tc>
        <w:tc>
          <w:tcPr>
            <w:tcW w:type="dxa" w:w="3000"/>
            <w:shd w:fill="FFF4D6" w:color="auto" w:val="clear"/>
            <w:tcMar>
              <w:top w:type="dxa" w:w="80"/>
              <w:left w:type="dxa" w:w="100"/>
              <w:bottom w:type="dxa" w:w="80"/>
              <w:right w:type="dxa" w:w="100"/>
            </w:tcMar>
          </w:tcPr>
          <w:p>
            <w:r>
              <w:rPr>
                <w:rFonts w:ascii="Georgia" w:cs="Georgia" w:eastAsia="Georgia" w:hAnsi="Georgia"/>
                <w:sz w:val="19"/>
                <w:szCs w:val="19"/>
              </w:rPr>
              <w:t xml:space="preserve"/>
            </w:r>
          </w:p>
        </w:tc>
      </w:tr>
      <w:tr>
        <w:tc>
          <w:tcPr>
            <w:tcW w:type="dxa" w:w="900"/>
            <w:tcMar>
              <w:top w:type="dxa" w:w="80"/>
              <w:left w:type="dxa" w:w="100"/>
              <w:bottom w:type="dxa" w:w="80"/>
              <w:right w:type="dxa" w:w="100"/>
            </w:tcMar>
          </w:tcPr>
          <w:p>
            <w:r>
              <w:rPr>
                <w:rFonts w:ascii="Georgia" w:cs="Georgia" w:eastAsia="Georgia" w:hAnsi="Georgia"/>
                <w:sz w:val="19"/>
                <w:szCs w:val="19"/>
              </w:rPr>
              <w:t xml:space="preserve">10</w:t>
            </w:r>
          </w:p>
        </w:tc>
        <w:tc>
          <w:tcPr>
            <w:tcW w:type="dxa" w:w="5300"/>
            <w:tcMar>
              <w:top w:type="dxa" w:w="80"/>
              <w:left w:type="dxa" w:w="100"/>
              <w:bottom w:type="dxa" w:w="80"/>
              <w:right w:type="dxa" w:w="100"/>
            </w:tcMar>
          </w:tcPr>
          <w:p>
            <w:r>
              <w:rPr>
                <w:rFonts w:ascii="Georgia" w:cs="Georgia" w:eastAsia="Georgia" w:hAnsi="Georgia"/>
                <w:sz w:val="19"/>
                <w:szCs w:val="19"/>
              </w:rPr>
              <w:t xml:space="preserve">What "the ratchet" is: artillery only, or capital-intensity in general</w:t>
            </w:r>
          </w:p>
        </w:tc>
        <w:tc>
          <w:tcPr>
            <w:tcW w:type="dxa" w:w="3000"/>
            <w:shd w:fill="FFF4D6" w:color="auto" w:val="clear"/>
            <w:tcMar>
              <w:top w:type="dxa" w:w="80"/>
              <w:left w:type="dxa" w:w="100"/>
              <w:bottom w:type="dxa" w:w="80"/>
              <w:right w:type="dxa" w:w="100"/>
            </w:tcMar>
          </w:tcPr>
          <w:p>
            <w:r>
              <w:rPr>
                <w:rFonts w:ascii="Georgia" w:cs="Georgia" w:eastAsia="Georgia" w:hAnsi="Georgia"/>
                <w:sz w:val="19"/>
                <w:szCs w:val="19"/>
              </w:rPr>
              <w:t xml:space="preserve"/>
            </w:r>
          </w:p>
        </w:tc>
      </w:tr>
      <w:tr>
        <w:tc>
          <w:tcPr>
            <w:tcW w:type="dxa" w:w="900"/>
            <w:tcMar>
              <w:top w:type="dxa" w:w="80"/>
              <w:left w:type="dxa" w:w="100"/>
              <w:bottom w:type="dxa" w:w="80"/>
              <w:right w:type="dxa" w:w="100"/>
            </w:tcMar>
          </w:tcPr>
          <w:p>
            <w:r>
              <w:rPr>
                <w:rFonts w:ascii="Georgia" w:cs="Georgia" w:eastAsia="Georgia" w:hAnsi="Georgia"/>
                <w:sz w:val="19"/>
                <w:szCs w:val="19"/>
              </w:rPr>
              <w:t xml:space="preserve">11</w:t>
            </w:r>
          </w:p>
        </w:tc>
        <w:tc>
          <w:tcPr>
            <w:tcW w:type="dxa" w:w="5300"/>
            <w:tcMar>
              <w:top w:type="dxa" w:w="80"/>
              <w:left w:type="dxa" w:w="100"/>
              <w:bottom w:type="dxa" w:w="80"/>
              <w:right w:type="dxa" w:w="100"/>
            </w:tcMar>
          </w:tcPr>
          <w:p>
            <w:r>
              <w:rPr>
                <w:rFonts w:ascii="Georgia" w:cs="Georgia" w:eastAsia="Georgia" w:hAnsi="Georgia"/>
                <w:sz w:val="19"/>
                <w:szCs w:val="19"/>
              </w:rPr>
              <w:t xml:space="preserve">Tilly did not ignore the artillery thesis; he rejected it</w:t>
            </w:r>
          </w:p>
        </w:tc>
        <w:tc>
          <w:tcPr>
            <w:tcW w:type="dxa" w:w="3000"/>
            <w:shd w:fill="FFF4D6" w:color="auto" w:val="clear"/>
            <w:tcMar>
              <w:top w:type="dxa" w:w="80"/>
              <w:left w:type="dxa" w:w="100"/>
              <w:bottom w:type="dxa" w:w="80"/>
              <w:right w:type="dxa" w:w="100"/>
            </w:tcMar>
          </w:tcPr>
          <w:p>
            <w:r>
              <w:rPr>
                <w:rFonts w:ascii="Georgia" w:cs="Georgia" w:eastAsia="Georgia" w:hAnsi="Georgia"/>
                <w:sz w:val="19"/>
                <w:szCs w:val="19"/>
              </w:rPr>
              <w:t xml:space="preserve"/>
            </w:r>
          </w:p>
        </w:tc>
      </w:tr>
      <w:tr>
        <w:tc>
          <w:tcPr>
            <w:tcW w:type="dxa" w:w="900"/>
            <w:tcMar>
              <w:top w:type="dxa" w:w="80"/>
              <w:left w:type="dxa" w:w="100"/>
              <w:bottom w:type="dxa" w:w="80"/>
              <w:right w:type="dxa" w:w="100"/>
            </w:tcMar>
          </w:tcPr>
          <w:p>
            <w:r>
              <w:rPr>
                <w:rFonts w:ascii="Georgia" w:cs="Georgia" w:eastAsia="Georgia" w:hAnsi="Georgia"/>
                <w:sz w:val="19"/>
                <w:szCs w:val="19"/>
              </w:rPr>
              <w:t xml:space="preserve">12</w:t>
            </w:r>
          </w:p>
        </w:tc>
        <w:tc>
          <w:tcPr>
            <w:tcW w:type="dxa" w:w="5300"/>
            <w:tcMar>
              <w:top w:type="dxa" w:w="80"/>
              <w:left w:type="dxa" w:w="100"/>
              <w:bottom w:type="dxa" w:w="80"/>
              <w:right w:type="dxa" w:w="100"/>
            </w:tcMar>
          </w:tcPr>
          <w:p>
            <w:r>
              <w:rPr>
                <w:rFonts w:ascii="Georgia" w:cs="Georgia" w:eastAsia="Georgia" w:hAnsi="Georgia"/>
                <w:sz w:val="19"/>
                <w:szCs w:val="19"/>
              </w:rPr>
              <w:t xml:space="preserve">Taxes, not credit: what kind of settlement 1439–46 was</w:t>
            </w:r>
          </w:p>
        </w:tc>
        <w:tc>
          <w:tcPr>
            <w:tcW w:type="dxa" w:w="3000"/>
            <w:shd w:fill="FFF4D6" w:color="auto" w:val="clear"/>
            <w:tcMar>
              <w:top w:type="dxa" w:w="80"/>
              <w:left w:type="dxa" w:w="100"/>
              <w:bottom w:type="dxa" w:w="80"/>
              <w:right w:type="dxa" w:w="100"/>
            </w:tcMar>
          </w:tcPr>
          <w:p>
            <w:r>
              <w:rPr>
                <w:rFonts w:ascii="Georgia" w:cs="Georgia" w:eastAsia="Georgia" w:hAnsi="Georgia"/>
                <w:sz w:val="19"/>
                <w:szCs w:val="19"/>
              </w:rPr>
              <w:t xml:space="preserve"/>
            </w:r>
          </w:p>
        </w:tc>
      </w:tr>
      <w:tr>
        <w:tc>
          <w:tcPr>
            <w:tcW w:type="dxa" w:w="900"/>
            <w:tcMar>
              <w:top w:type="dxa" w:w="80"/>
              <w:left w:type="dxa" w:w="100"/>
              <w:bottom w:type="dxa" w:w="80"/>
              <w:right w:type="dxa" w:w="100"/>
            </w:tcMar>
          </w:tcPr>
          <w:p>
            <w:r>
              <w:rPr>
                <w:rFonts w:ascii="Georgia" w:cs="Georgia" w:eastAsia="Georgia" w:hAnsi="Georgia"/>
                <w:sz w:val="19"/>
                <w:szCs w:val="19"/>
              </w:rPr>
              <w:t xml:space="preserve">13</w:t>
            </w:r>
          </w:p>
        </w:tc>
        <w:tc>
          <w:tcPr>
            <w:tcW w:type="dxa" w:w="5300"/>
            <w:tcMar>
              <w:top w:type="dxa" w:w="80"/>
              <w:left w:type="dxa" w:w="100"/>
              <w:bottom w:type="dxa" w:w="80"/>
              <w:right w:type="dxa" w:w="100"/>
            </w:tcMar>
          </w:tcPr>
          <w:p>
            <w:r>
              <w:rPr>
                <w:rFonts w:ascii="Georgia" w:cs="Georgia" w:eastAsia="Georgia" w:hAnsi="Georgia"/>
                <w:sz w:val="19"/>
                <w:szCs w:val="19"/>
              </w:rPr>
              <w:t xml:space="preserve">Venice and the funded debt: three corrections</w:t>
            </w:r>
          </w:p>
        </w:tc>
        <w:tc>
          <w:tcPr>
            <w:tcW w:type="dxa" w:w="3000"/>
            <w:shd w:fill="FFF4D6" w:color="auto" w:val="clear"/>
            <w:tcMar>
              <w:top w:type="dxa" w:w="80"/>
              <w:left w:type="dxa" w:w="100"/>
              <w:bottom w:type="dxa" w:w="80"/>
              <w:right w:type="dxa" w:w="100"/>
            </w:tcMar>
          </w:tcPr>
          <w:p>
            <w:r>
              <w:rPr>
                <w:rFonts w:ascii="Georgia" w:cs="Georgia" w:eastAsia="Georgia" w:hAnsi="Georgia"/>
                <w:sz w:val="19"/>
                <w:szCs w:val="19"/>
              </w:rPr>
              <w:t xml:space="preserve"/>
            </w:r>
          </w:p>
        </w:tc>
      </w:tr>
      <w:tr>
        <w:tc>
          <w:tcPr>
            <w:tcW w:type="dxa" w:w="900"/>
            <w:tcMar>
              <w:top w:type="dxa" w:w="80"/>
              <w:left w:type="dxa" w:w="100"/>
              <w:bottom w:type="dxa" w:w="80"/>
              <w:right w:type="dxa" w:w="100"/>
            </w:tcMar>
          </w:tcPr>
          <w:p>
            <w:r>
              <w:rPr>
                <w:rFonts w:ascii="Georgia" w:cs="Georgia" w:eastAsia="Georgia" w:hAnsi="Georgia"/>
                <w:sz w:val="19"/>
                <w:szCs w:val="19"/>
              </w:rPr>
              <w:t xml:space="preserve">14</w:t>
            </w:r>
          </w:p>
        </w:tc>
        <w:tc>
          <w:tcPr>
            <w:tcW w:type="dxa" w:w="5300"/>
            <w:tcMar>
              <w:top w:type="dxa" w:w="80"/>
              <w:left w:type="dxa" w:w="100"/>
              <w:bottom w:type="dxa" w:w="80"/>
              <w:right w:type="dxa" w:w="100"/>
            </w:tcMar>
          </w:tcPr>
          <w:p>
            <w:r>
              <w:rPr>
                <w:rFonts w:ascii="Georgia" w:cs="Georgia" w:eastAsia="Georgia" w:hAnsi="Georgia"/>
                <w:sz w:val="19"/>
                <w:szCs w:val="19"/>
              </w:rPr>
              <w:t xml:space="preserve">What "administrative capacity" means, and admitting the settlement bred venality</w:t>
            </w:r>
          </w:p>
        </w:tc>
        <w:tc>
          <w:tcPr>
            <w:tcW w:type="dxa" w:w="3000"/>
            <w:shd w:fill="FFF4D6" w:color="auto" w:val="clear"/>
            <w:tcMar>
              <w:top w:type="dxa" w:w="80"/>
              <w:left w:type="dxa" w:w="100"/>
              <w:bottom w:type="dxa" w:w="80"/>
              <w:right w:type="dxa" w:w="100"/>
            </w:tcMar>
          </w:tcPr>
          <w:p>
            <w:r>
              <w:rPr>
                <w:rFonts w:ascii="Georgia" w:cs="Georgia" w:eastAsia="Georgia" w:hAnsi="Georgia"/>
                <w:sz w:val="19"/>
                <w:szCs w:val="19"/>
              </w:rPr>
              <w:t xml:space="preserve"/>
            </w:r>
          </w:p>
        </w:tc>
      </w:tr>
      <w:tr>
        <w:tc>
          <w:tcPr>
            <w:tcW w:type="dxa" w:w="900"/>
            <w:tcMar>
              <w:top w:type="dxa" w:w="80"/>
              <w:left w:type="dxa" w:w="100"/>
              <w:bottom w:type="dxa" w:w="80"/>
              <w:right w:type="dxa" w:w="100"/>
            </w:tcMar>
          </w:tcPr>
          <w:p>
            <w:r>
              <w:rPr>
                <w:rFonts w:ascii="Georgia" w:cs="Georgia" w:eastAsia="Georgia" w:hAnsi="Georgia"/>
                <w:sz w:val="19"/>
                <w:szCs w:val="19"/>
              </w:rPr>
              <w:t xml:space="preserve">15</w:t>
            </w:r>
          </w:p>
        </w:tc>
        <w:tc>
          <w:tcPr>
            <w:tcW w:type="dxa" w:w="5300"/>
            <w:tcMar>
              <w:top w:type="dxa" w:w="80"/>
              <w:left w:type="dxa" w:w="100"/>
              <w:bottom w:type="dxa" w:w="80"/>
              <w:right w:type="dxa" w:w="100"/>
            </w:tcMar>
          </w:tcPr>
          <w:p>
            <w:r>
              <w:rPr>
                <w:rFonts w:ascii="Georgia" w:cs="Georgia" w:eastAsia="Georgia" w:hAnsi="Georgia"/>
                <w:sz w:val="19"/>
                <w:szCs w:val="19"/>
              </w:rPr>
              <w:t xml:space="preserve">Spain: which intermediaries Castile actually subordinated</w:t>
            </w:r>
          </w:p>
        </w:tc>
        <w:tc>
          <w:tcPr>
            <w:tcW w:type="dxa" w:w="3000"/>
            <w:shd w:fill="FFF4D6" w:color="auto" w:val="clear"/>
            <w:tcMar>
              <w:top w:type="dxa" w:w="80"/>
              <w:left w:type="dxa" w:w="100"/>
              <w:bottom w:type="dxa" w:w="80"/>
              <w:right w:type="dxa" w:w="100"/>
            </w:tcMar>
          </w:tcPr>
          <w:p>
            <w:r>
              <w:rPr>
                <w:rFonts w:ascii="Georgia" w:cs="Georgia" w:eastAsia="Georgia" w:hAnsi="Georgia"/>
                <w:sz w:val="19"/>
                <w:szCs w:val="19"/>
              </w:rPr>
              <w:t xml:space="preserve"/>
            </w:r>
          </w:p>
        </w:tc>
      </w:tr>
      <w:tr>
        <w:tc>
          <w:tcPr>
            <w:tcW w:type="dxa" w:w="900"/>
            <w:tcMar>
              <w:top w:type="dxa" w:w="80"/>
              <w:left w:type="dxa" w:w="100"/>
              <w:bottom w:type="dxa" w:w="80"/>
              <w:right w:type="dxa" w:w="100"/>
            </w:tcMar>
          </w:tcPr>
          <w:p>
            <w:r>
              <w:rPr>
                <w:rFonts w:ascii="Georgia" w:cs="Georgia" w:eastAsia="Georgia" w:hAnsi="Georgia"/>
                <w:sz w:val="19"/>
                <w:szCs w:val="19"/>
              </w:rPr>
              <w:t xml:space="preserve">16</w:t>
            </w:r>
          </w:p>
        </w:tc>
        <w:tc>
          <w:tcPr>
            <w:tcW w:type="dxa" w:w="5300"/>
            <w:tcMar>
              <w:top w:type="dxa" w:w="80"/>
              <w:left w:type="dxa" w:w="100"/>
              <w:bottom w:type="dxa" w:w="80"/>
              <w:right w:type="dxa" w:w="100"/>
            </w:tcMar>
          </w:tcPr>
          <w:p>
            <w:r>
              <w:rPr>
                <w:rFonts w:ascii="Georgia" w:cs="Georgia" w:eastAsia="Georgia" w:hAnsi="Georgia"/>
                <w:sz w:val="19"/>
                <w:szCs w:val="19"/>
              </w:rPr>
              <w:t xml:space="preserve">China: the verdict layer by layer, and the word "fusion"</w:t>
            </w:r>
          </w:p>
        </w:tc>
        <w:tc>
          <w:tcPr>
            <w:tcW w:type="dxa" w:w="3000"/>
            <w:shd w:fill="FFF4D6" w:color="auto" w:val="clear"/>
            <w:tcMar>
              <w:top w:type="dxa" w:w="80"/>
              <w:left w:type="dxa" w:w="100"/>
              <w:bottom w:type="dxa" w:w="80"/>
              <w:right w:type="dxa" w:w="100"/>
            </w:tcMar>
          </w:tcPr>
          <w:p>
            <w:r>
              <w:rPr>
                <w:rFonts w:ascii="Georgia" w:cs="Georgia" w:eastAsia="Georgia" w:hAnsi="Georgia"/>
                <w:sz w:val="19"/>
                <w:szCs w:val="19"/>
              </w:rPr>
              <w:t xml:space="preserve"/>
            </w:r>
          </w:p>
        </w:tc>
      </w:tr>
      <w:tr>
        <w:tc>
          <w:tcPr>
            <w:tcW w:type="dxa" w:w="900"/>
            <w:tcMar>
              <w:top w:type="dxa" w:w="80"/>
              <w:left w:type="dxa" w:w="100"/>
              <w:bottom w:type="dxa" w:w="80"/>
              <w:right w:type="dxa" w:w="100"/>
            </w:tcMar>
          </w:tcPr>
          <w:p>
            <w:r>
              <w:rPr>
                <w:rFonts w:ascii="Georgia" w:cs="Georgia" w:eastAsia="Georgia" w:hAnsi="Georgia"/>
                <w:sz w:val="19"/>
                <w:szCs w:val="19"/>
              </w:rPr>
              <w:t xml:space="preserve">17</w:t>
            </w:r>
          </w:p>
        </w:tc>
        <w:tc>
          <w:tcPr>
            <w:tcW w:type="dxa" w:w="5300"/>
            <w:tcMar>
              <w:top w:type="dxa" w:w="80"/>
              <w:left w:type="dxa" w:w="100"/>
              <w:bottom w:type="dxa" w:w="80"/>
              <w:right w:type="dxa" w:w="100"/>
            </w:tcMar>
          </w:tcPr>
          <w:p>
            <w:r>
              <w:rPr>
                <w:rFonts w:ascii="Georgia" w:cs="Georgia" w:eastAsia="Georgia" w:hAnsi="Georgia"/>
                <w:sz w:val="19"/>
                <w:szCs w:val="19"/>
              </w:rPr>
              <w:t xml:space="preserve">The word "exclusive"</w:t>
            </w:r>
          </w:p>
        </w:tc>
        <w:tc>
          <w:tcPr>
            <w:tcW w:type="dxa" w:w="3000"/>
            <w:shd w:fill="FFF4D6" w:color="auto" w:val="clear"/>
            <w:tcMar>
              <w:top w:type="dxa" w:w="80"/>
              <w:left w:type="dxa" w:w="100"/>
              <w:bottom w:type="dxa" w:w="80"/>
              <w:right w:type="dxa" w:w="100"/>
            </w:tcMar>
          </w:tcPr>
          <w:p>
            <w:r>
              <w:rPr>
                <w:rFonts w:ascii="Georgia" w:cs="Georgia" w:eastAsia="Georgia" w:hAnsi="Georgia"/>
                <w:sz w:val="19"/>
                <w:szCs w:val="19"/>
              </w:rPr>
              <w:t xml:space="preserve"/>
            </w:r>
          </w:p>
        </w:tc>
      </w:tr>
      <w:tr>
        <w:tc>
          <w:tcPr>
            <w:tcW w:type="dxa" w:w="900"/>
            <w:tcMar>
              <w:top w:type="dxa" w:w="80"/>
              <w:left w:type="dxa" w:w="100"/>
              <w:bottom w:type="dxa" w:w="80"/>
              <w:right w:type="dxa" w:w="100"/>
            </w:tcMar>
          </w:tcPr>
          <w:p>
            <w:r>
              <w:rPr>
                <w:rFonts w:ascii="Georgia" w:cs="Georgia" w:eastAsia="Georgia" w:hAnsi="Georgia"/>
                <w:sz w:val="19"/>
                <w:szCs w:val="19"/>
              </w:rPr>
              <w:t xml:space="preserve">18</w:t>
            </w:r>
          </w:p>
        </w:tc>
        <w:tc>
          <w:tcPr>
            <w:tcW w:type="dxa" w:w="5300"/>
            <w:tcMar>
              <w:top w:type="dxa" w:w="80"/>
              <w:left w:type="dxa" w:w="100"/>
              <w:bottom w:type="dxa" w:w="80"/>
              <w:right w:type="dxa" w:w="100"/>
            </w:tcMar>
          </w:tcPr>
          <w:p>
            <w:r>
              <w:rPr>
                <w:rFonts w:ascii="Georgia" w:cs="Georgia" w:eastAsia="Georgia" w:hAnsi="Georgia"/>
                <w:sz w:val="19"/>
                <w:szCs w:val="19"/>
              </w:rPr>
              <w:t xml:space="preserve">The word "legibility", and James C. Scott</w:t>
            </w:r>
          </w:p>
        </w:tc>
        <w:tc>
          <w:tcPr>
            <w:tcW w:type="dxa" w:w="3000"/>
            <w:shd w:fill="FFF4D6" w:color="auto" w:val="clear"/>
            <w:tcMar>
              <w:top w:type="dxa" w:w="80"/>
              <w:left w:type="dxa" w:w="100"/>
              <w:bottom w:type="dxa" w:w="80"/>
              <w:right w:type="dxa" w:w="100"/>
            </w:tcMar>
          </w:tcPr>
          <w:p>
            <w:r>
              <w:rPr>
                <w:rFonts w:ascii="Georgia" w:cs="Georgia" w:eastAsia="Georgia" w:hAnsi="Georgia"/>
                <w:sz w:val="19"/>
                <w:szCs w:val="19"/>
              </w:rPr>
              <w:t xml:space="preserve"/>
            </w:r>
          </w:p>
        </w:tc>
      </w:tr>
      <w:tr>
        <w:tc>
          <w:tcPr>
            <w:tcW w:type="dxa" w:w="900"/>
            <w:tcMar>
              <w:top w:type="dxa" w:w="80"/>
              <w:left w:type="dxa" w:w="100"/>
              <w:bottom w:type="dxa" w:w="80"/>
              <w:right w:type="dxa" w:w="100"/>
            </w:tcMar>
          </w:tcPr>
          <w:p>
            <w:r>
              <w:rPr>
                <w:rFonts w:ascii="Georgia" w:cs="Georgia" w:eastAsia="Georgia" w:hAnsi="Georgia"/>
                <w:sz w:val="19"/>
                <w:szCs w:val="19"/>
              </w:rPr>
              <w:t xml:space="preserve">19</w:t>
            </w:r>
          </w:p>
        </w:tc>
        <w:tc>
          <w:tcPr>
            <w:tcW w:type="dxa" w:w="5300"/>
            <w:tcMar>
              <w:top w:type="dxa" w:w="80"/>
              <w:left w:type="dxa" w:w="100"/>
              <w:bottom w:type="dxa" w:w="80"/>
              <w:right w:type="dxa" w:w="100"/>
            </w:tcMar>
          </w:tcPr>
          <w:p>
            <w:r>
              <w:rPr>
                <w:rFonts w:ascii="Georgia" w:cs="Georgia" w:eastAsia="Georgia" w:hAnsi="Georgia"/>
                <w:sz w:val="19"/>
                <w:szCs w:val="19"/>
              </w:rPr>
              <w:t xml:space="preserve">Answering Ruggie, and who had the neomedieval idea first</w:t>
            </w:r>
          </w:p>
        </w:tc>
        <w:tc>
          <w:tcPr>
            <w:tcW w:type="dxa" w:w="3000"/>
            <w:shd w:fill="FFF4D6" w:color="auto" w:val="clear"/>
            <w:tcMar>
              <w:top w:type="dxa" w:w="80"/>
              <w:left w:type="dxa" w:w="100"/>
              <w:bottom w:type="dxa" w:w="80"/>
              <w:right w:type="dxa" w:w="100"/>
            </w:tcMar>
          </w:tcPr>
          <w:p>
            <w:r>
              <w:rPr>
                <w:rFonts w:ascii="Georgia" w:cs="Georgia" w:eastAsia="Georgia" w:hAnsi="Georgia"/>
                <w:sz w:val="19"/>
                <w:szCs w:val="19"/>
              </w:rPr>
              <w:t xml:space="preserve"/>
            </w:r>
          </w:p>
        </w:tc>
      </w:tr>
      <w:tr>
        <w:tc>
          <w:tcPr>
            <w:tcW w:type="dxa" w:w="900"/>
            <w:tcMar>
              <w:top w:type="dxa" w:w="80"/>
              <w:left w:type="dxa" w:w="100"/>
              <w:bottom w:type="dxa" w:w="80"/>
              <w:right w:type="dxa" w:w="100"/>
            </w:tcMar>
          </w:tcPr>
          <w:p>
            <w:r>
              <w:rPr>
                <w:rFonts w:ascii="Georgia" w:cs="Georgia" w:eastAsia="Georgia" w:hAnsi="Georgia"/>
                <w:sz w:val="19"/>
                <w:szCs w:val="19"/>
              </w:rPr>
              <w:t xml:space="preserve">20</w:t>
            </w:r>
          </w:p>
        </w:tc>
        <w:tc>
          <w:tcPr>
            <w:tcW w:type="dxa" w:w="5300"/>
            <w:tcMar>
              <w:top w:type="dxa" w:w="80"/>
              <w:left w:type="dxa" w:w="100"/>
              <w:bottom w:type="dxa" w:w="80"/>
              <w:right w:type="dxa" w:w="100"/>
            </w:tcMar>
          </w:tcPr>
          <w:p>
            <w:r>
              <w:rPr>
                <w:rFonts w:ascii="Georgia" w:cs="Georgia" w:eastAsia="Georgia" w:hAnsi="Georgia"/>
                <w:sz w:val="19"/>
                <w:szCs w:val="19"/>
              </w:rPr>
              <w:t xml:space="preserve">Borrowed terms, each paid for</w:t>
            </w:r>
          </w:p>
        </w:tc>
        <w:tc>
          <w:tcPr>
            <w:tcW w:type="dxa" w:w="3000"/>
            <w:shd w:fill="FFF4D6" w:color="auto" w:val="clear"/>
            <w:tcMar>
              <w:top w:type="dxa" w:w="80"/>
              <w:left w:type="dxa" w:w="100"/>
              <w:bottom w:type="dxa" w:w="80"/>
              <w:right w:type="dxa" w:w="100"/>
            </w:tcMar>
          </w:tcPr>
          <w:p>
            <w:r>
              <w:rPr>
                <w:rFonts w:ascii="Georgia" w:cs="Georgia" w:eastAsia="Georgia" w:hAnsi="Georgia"/>
                <w:sz w:val="19"/>
                <w:szCs w:val="19"/>
              </w:rPr>
              <w:t xml:space="preserve"/>
            </w:r>
          </w:p>
        </w:tc>
      </w:tr>
      <w:tr>
        <w:tc>
          <w:tcPr>
            <w:tcW w:type="dxa" w:w="900"/>
            <w:tcMar>
              <w:top w:type="dxa" w:w="80"/>
              <w:left w:type="dxa" w:w="100"/>
              <w:bottom w:type="dxa" w:w="80"/>
              <w:right w:type="dxa" w:w="100"/>
            </w:tcMar>
          </w:tcPr>
          <w:p>
            <w:r>
              <w:rPr>
                <w:rFonts w:ascii="Georgia" w:cs="Georgia" w:eastAsia="Georgia" w:hAnsi="Georgia"/>
                <w:sz w:val="19"/>
                <w:szCs w:val="19"/>
              </w:rPr>
              <w:t xml:space="preserve">21</w:t>
            </w:r>
          </w:p>
        </w:tc>
        <w:tc>
          <w:tcPr>
            <w:tcW w:type="dxa" w:w="5300"/>
            <w:tcMar>
              <w:top w:type="dxa" w:w="80"/>
              <w:left w:type="dxa" w:w="100"/>
              <w:bottom w:type="dxa" w:w="80"/>
              <w:right w:type="dxa" w:w="100"/>
            </w:tcMar>
          </w:tcPr>
          <w:p>
            <w:r>
              <w:rPr>
                <w:rFonts w:ascii="Georgia" w:cs="Georgia" w:eastAsia="Georgia" w:hAnsi="Georgia"/>
                <w:sz w:val="19"/>
                <w:szCs w:val="19"/>
              </w:rPr>
              <w:t xml:space="preserve">The Alençon scene: what the crown took and what it left</w:t>
            </w:r>
          </w:p>
        </w:tc>
        <w:tc>
          <w:tcPr>
            <w:tcW w:type="dxa" w:w="3000"/>
            <w:shd w:fill="FFF4D6" w:color="auto" w:val="clear"/>
            <w:tcMar>
              <w:top w:type="dxa" w:w="80"/>
              <w:left w:type="dxa" w:w="100"/>
              <w:bottom w:type="dxa" w:w="80"/>
              <w:right w:type="dxa" w:w="100"/>
            </w:tcMar>
          </w:tcPr>
          <w:p>
            <w:r>
              <w:rPr>
                <w:rFonts w:ascii="Georgia" w:cs="Georgia" w:eastAsia="Georgia" w:hAnsi="Georgia"/>
                <w:sz w:val="19"/>
                <w:szCs w:val="19"/>
              </w:rPr>
              <w:t xml:space="preserve"/>
            </w:r>
          </w:p>
        </w:tc>
      </w:tr>
      <w:tr>
        <w:tc>
          <w:tcPr>
            <w:tcW w:type="dxa" w:w="900"/>
            <w:tcMar>
              <w:top w:type="dxa" w:w="80"/>
              <w:left w:type="dxa" w:w="100"/>
              <w:bottom w:type="dxa" w:w="80"/>
              <w:right w:type="dxa" w:w="100"/>
            </w:tcMar>
          </w:tcPr>
          <w:p>
            <w:r>
              <w:rPr>
                <w:rFonts w:ascii="Georgia" w:cs="Georgia" w:eastAsia="Georgia" w:hAnsi="Georgia"/>
                <w:sz w:val="19"/>
                <w:szCs w:val="19"/>
              </w:rPr>
              <w:t xml:space="preserve">22</w:t>
            </w:r>
          </w:p>
        </w:tc>
        <w:tc>
          <w:tcPr>
            <w:tcW w:type="dxa" w:w="5300"/>
            <w:tcMar>
              <w:top w:type="dxa" w:w="80"/>
              <w:left w:type="dxa" w:w="100"/>
              <w:bottom w:type="dxa" w:w="80"/>
              <w:right w:type="dxa" w:w="100"/>
            </w:tcMar>
          </w:tcPr>
          <w:p>
            <w:r>
              <w:rPr>
                <w:rFonts w:ascii="Georgia" w:cs="Georgia" w:eastAsia="Georgia" w:hAnsi="Georgia"/>
                <w:sz w:val="19"/>
                <w:szCs w:val="19"/>
              </w:rPr>
              <w:t xml:space="preserve">The Lombards of Bruges, and the book's three words: command, dependence, capture</w:t>
            </w:r>
          </w:p>
        </w:tc>
        <w:tc>
          <w:tcPr>
            <w:tcW w:type="dxa" w:w="3000"/>
            <w:shd w:fill="FFF4D6" w:color="auto" w:val="clear"/>
            <w:tcMar>
              <w:top w:type="dxa" w:w="80"/>
              <w:left w:type="dxa" w:w="100"/>
              <w:bottom w:type="dxa" w:w="80"/>
              <w:right w:type="dxa" w:w="100"/>
            </w:tcMar>
          </w:tcPr>
          <w:p>
            <w:r>
              <w:rPr>
                <w:rFonts w:ascii="Georgia" w:cs="Georgia" w:eastAsia="Georgia" w:hAnsi="Georgia"/>
                <w:sz w:val="19"/>
                <w:szCs w:val="19"/>
              </w:rPr>
              <w:t xml:space="preserve"/>
            </w:r>
          </w:p>
        </w:tc>
      </w:tr>
      <w:tr>
        <w:tc>
          <w:tcPr>
            <w:tcW w:type="dxa" w:w="900"/>
            <w:tcMar>
              <w:top w:type="dxa" w:w="80"/>
              <w:left w:type="dxa" w:w="100"/>
              <w:bottom w:type="dxa" w:w="80"/>
              <w:right w:type="dxa" w:w="100"/>
            </w:tcMar>
          </w:tcPr>
          <w:p>
            <w:r>
              <w:rPr>
                <w:rFonts w:ascii="Georgia" w:cs="Georgia" w:eastAsia="Georgia" w:hAnsi="Georgia"/>
                <w:sz w:val="19"/>
                <w:szCs w:val="19"/>
              </w:rPr>
              <w:t xml:space="preserve">23</w:t>
            </w:r>
          </w:p>
        </w:tc>
        <w:tc>
          <w:tcPr>
            <w:tcW w:type="dxa" w:w="5300"/>
            <w:tcMar>
              <w:top w:type="dxa" w:w="80"/>
              <w:left w:type="dxa" w:w="100"/>
              <w:bottom w:type="dxa" w:w="80"/>
              <w:right w:type="dxa" w:w="100"/>
            </w:tcMar>
          </w:tcPr>
          <w:p>
            <w:r>
              <w:rPr>
                <w:rFonts w:ascii="Georgia" w:cs="Georgia" w:eastAsia="Georgia" w:hAnsi="Georgia"/>
                <w:sz w:val="19"/>
                <w:szCs w:val="19"/>
              </w:rPr>
              <w:t xml:space="preserve">Smaller medieval placements</w:t>
            </w:r>
          </w:p>
        </w:tc>
        <w:tc>
          <w:tcPr>
            <w:tcW w:type="dxa" w:w="3000"/>
            <w:shd w:fill="FFF4D6" w:color="auto" w:val="clear"/>
            <w:tcMar>
              <w:top w:type="dxa" w:w="80"/>
              <w:left w:type="dxa" w:w="100"/>
              <w:bottom w:type="dxa" w:w="80"/>
              <w:right w:type="dxa" w:w="100"/>
            </w:tcMar>
          </w:tcPr>
          <w:p>
            <w:r>
              <w:rPr>
                <w:rFonts w:ascii="Georgia" w:cs="Georgia" w:eastAsia="Georgia" w:hAnsi="Georgia"/>
                <w:sz w:val="19"/>
                <w:szCs w:val="19"/>
              </w:rPr>
              <w:t xml:space="preserve"/>
            </w:r>
          </w:p>
        </w:tc>
      </w:tr>
      <w:tr>
        <w:tc>
          <w:tcPr>
            <w:tcW w:type="dxa" w:w="900"/>
            <w:tcMar>
              <w:top w:type="dxa" w:w="80"/>
              <w:left w:type="dxa" w:w="100"/>
              <w:bottom w:type="dxa" w:w="80"/>
              <w:right w:type="dxa" w:w="100"/>
            </w:tcMar>
          </w:tcPr>
          <w:p>
            <w:r>
              <w:rPr>
                <w:rFonts w:ascii="Georgia" w:cs="Georgia" w:eastAsia="Georgia" w:hAnsi="Georgia"/>
                <w:sz w:val="19"/>
                <w:szCs w:val="19"/>
              </w:rPr>
              <w:t xml:space="preserve">24</w:t>
            </w:r>
          </w:p>
        </w:tc>
        <w:tc>
          <w:tcPr>
            <w:tcW w:type="dxa" w:w="5300"/>
            <w:tcMar>
              <w:top w:type="dxa" w:w="80"/>
              <w:left w:type="dxa" w:w="100"/>
              <w:bottom w:type="dxa" w:w="80"/>
              <w:right w:type="dxa" w:w="100"/>
            </w:tcMar>
          </w:tcPr>
          <w:p>
            <w:r>
              <w:rPr>
                <w:rFonts w:ascii="Georgia" w:cs="Georgia" w:eastAsia="Georgia" w:hAnsi="Georgia"/>
                <w:sz w:val="19"/>
                <w:szCs w:val="19"/>
              </w:rPr>
              <w:t xml:space="preserve">Fornovo and the housekeeping corrections</w:t>
            </w:r>
          </w:p>
        </w:tc>
        <w:tc>
          <w:tcPr>
            <w:tcW w:type="dxa" w:w="3000"/>
            <w:shd w:fill="FFF4D6" w:color="auto" w:val="clear"/>
            <w:tcMar>
              <w:top w:type="dxa" w:w="80"/>
              <w:left w:type="dxa" w:w="100"/>
              <w:bottom w:type="dxa" w:w="80"/>
              <w:right w:type="dxa" w:w="100"/>
            </w:tcMar>
          </w:tcPr>
          <w:p>
            <w:r>
              <w:rPr>
                <w:rFonts w:ascii="Georgia" w:cs="Georgia" w:eastAsia="Georgia" w:hAnsi="Georgia"/>
                <w:sz w:val="19"/>
                <w:szCs w:val="19"/>
              </w:rPr>
              <w:t xml:space="preserve"/>
            </w:r>
          </w:p>
        </w:tc>
      </w:tr>
      <w:tr>
        <w:tc>
          <w:tcPr>
            <w:tcW w:type="dxa" w:w="900"/>
            <w:tcMar>
              <w:top w:type="dxa" w:w="80"/>
              <w:left w:type="dxa" w:w="100"/>
              <w:bottom w:type="dxa" w:w="80"/>
              <w:right w:type="dxa" w:w="100"/>
            </w:tcMar>
          </w:tcPr>
          <w:p>
            <w:r>
              <w:rPr>
                <w:rFonts w:ascii="Georgia" w:cs="Georgia" w:eastAsia="Georgia" w:hAnsi="Georgia"/>
                <w:sz w:val="19"/>
                <w:szCs w:val="19"/>
              </w:rPr>
              <w:t xml:space="preserve">25</w:t>
            </w:r>
          </w:p>
        </w:tc>
        <w:tc>
          <w:tcPr>
            <w:tcW w:type="dxa" w:w="5300"/>
            <w:tcMar>
              <w:top w:type="dxa" w:w="80"/>
              <w:left w:type="dxa" w:w="100"/>
              <w:bottom w:type="dxa" w:w="80"/>
              <w:right w:type="dxa" w:w="100"/>
            </w:tcMar>
          </w:tcPr>
          <w:p>
            <w:r>
              <w:rPr>
                <w:rFonts w:ascii="Georgia" w:cs="Georgia" w:eastAsia="Georgia" w:hAnsi="Georgia"/>
                <w:sz w:val="19"/>
                <w:szCs w:val="19"/>
              </w:rPr>
              <w:t xml:space="preserve">Chapter 9's subject, and the outline</w:t>
            </w:r>
          </w:p>
        </w:tc>
        <w:tc>
          <w:tcPr>
            <w:tcW w:type="dxa" w:w="3000"/>
            <w:shd w:fill="FFF4D6" w:color="auto" w:val="clear"/>
            <w:tcMar>
              <w:top w:type="dxa" w:w="80"/>
              <w:left w:type="dxa" w:w="100"/>
              <w:bottom w:type="dxa" w:w="80"/>
              <w:right w:type="dxa" w:w="100"/>
            </w:tcMar>
          </w:tcPr>
          <w:p>
            <w:r>
              <w:rPr>
                <w:rFonts w:ascii="Georgia" w:cs="Georgia" w:eastAsia="Georgia" w:hAnsi="Georgia"/>
                <w:sz w:val="19"/>
                <w:szCs w:val="19"/>
              </w:rPr>
              <w:t xml:space="preserve"/>
            </w:r>
          </w:p>
        </w:tc>
      </w:tr>
      <w:tr>
        <w:tc>
          <w:tcPr>
            <w:tcW w:type="dxa" w:w="900"/>
            <w:tcMar>
              <w:top w:type="dxa" w:w="80"/>
              <w:left w:type="dxa" w:w="100"/>
              <w:bottom w:type="dxa" w:w="80"/>
              <w:right w:type="dxa" w:w="100"/>
            </w:tcMar>
          </w:tcPr>
          <w:p>
            <w:r>
              <w:rPr>
                <w:rFonts w:ascii="Georgia" w:cs="Georgia" w:eastAsia="Georgia" w:hAnsi="Georgia"/>
                <w:sz w:val="19"/>
                <w:szCs w:val="19"/>
              </w:rPr>
              <w:t xml:space="preserve">26</w:t>
            </w:r>
          </w:p>
        </w:tc>
        <w:tc>
          <w:tcPr>
            <w:tcW w:type="dxa" w:w="5300"/>
            <w:tcMar>
              <w:top w:type="dxa" w:w="80"/>
              <w:left w:type="dxa" w:w="100"/>
              <w:bottom w:type="dxa" w:w="80"/>
              <w:right w:type="dxa" w:w="100"/>
            </w:tcMar>
          </w:tcPr>
          <w:p>
            <w:r>
              <w:rPr>
                <w:rFonts w:ascii="Georgia" w:cs="Georgia" w:eastAsia="Georgia" w:hAnsi="Georgia"/>
                <w:sz w:val="19"/>
                <w:szCs w:val="19"/>
              </w:rPr>
              <w:t xml:space="preserve">Bagehot in chapter 9: where the bridge sits, and the "ceremony" sentence</w:t>
            </w:r>
          </w:p>
        </w:tc>
        <w:tc>
          <w:tcPr>
            <w:tcW w:type="dxa" w:w="3000"/>
            <w:shd w:fill="FFF4D6" w:color="auto" w:val="clear"/>
            <w:tcMar>
              <w:top w:type="dxa" w:w="80"/>
              <w:left w:type="dxa" w:w="100"/>
              <w:bottom w:type="dxa" w:w="80"/>
              <w:right w:type="dxa" w:w="100"/>
            </w:tcMar>
          </w:tcPr>
          <w:p>
            <w:r>
              <w:rPr>
                <w:rFonts w:ascii="Georgia" w:cs="Georgia" w:eastAsia="Georgia" w:hAnsi="Georgia"/>
                <w:sz w:val="19"/>
                <w:szCs w:val="19"/>
              </w:rPr>
              <w:t xml:space="preserve"/>
            </w:r>
          </w:p>
        </w:tc>
      </w:tr>
      <w:tr>
        <w:tc>
          <w:tcPr>
            <w:tcW w:type="dxa" w:w="900"/>
            <w:tcMar>
              <w:top w:type="dxa" w:w="80"/>
              <w:left w:type="dxa" w:w="100"/>
              <w:bottom w:type="dxa" w:w="80"/>
              <w:right w:type="dxa" w:w="100"/>
            </w:tcMar>
          </w:tcPr>
          <w:p>
            <w:r>
              <w:rPr>
                <w:rFonts w:ascii="Georgia" w:cs="Georgia" w:eastAsia="Georgia" w:hAnsi="Georgia"/>
                <w:sz w:val="19"/>
                <w:szCs w:val="19"/>
              </w:rPr>
              <w:t xml:space="preserve">27</w:t>
            </w:r>
          </w:p>
        </w:tc>
        <w:tc>
          <w:tcPr>
            <w:tcW w:type="dxa" w:w="5300"/>
            <w:tcMar>
              <w:top w:type="dxa" w:w="80"/>
              <w:left w:type="dxa" w:w="100"/>
              <w:bottom w:type="dxa" w:w="80"/>
              <w:right w:type="dxa" w:w="100"/>
            </w:tcMar>
          </w:tcPr>
          <w:p>
            <w:r>
              <w:rPr>
                <w:rFonts w:ascii="Georgia" w:cs="Georgia" w:eastAsia="Georgia" w:hAnsi="Georgia"/>
                <w:sz w:val="19"/>
                <w:szCs w:val="19"/>
              </w:rPr>
              <w:t xml:space="preserve">Making the forecast harder to wriggle out of</w:t>
            </w:r>
          </w:p>
        </w:tc>
        <w:tc>
          <w:tcPr>
            <w:tcW w:type="dxa" w:w="3000"/>
            <w:shd w:fill="FFF4D6" w:color="auto" w:val="clear"/>
            <w:tcMar>
              <w:top w:type="dxa" w:w="80"/>
              <w:left w:type="dxa" w:w="100"/>
              <w:bottom w:type="dxa" w:w="80"/>
              <w:right w:type="dxa" w:w="100"/>
            </w:tcMar>
          </w:tcPr>
          <w:p>
            <w:r>
              <w:rPr>
                <w:rFonts w:ascii="Georgia" w:cs="Georgia" w:eastAsia="Georgia" w:hAnsi="Georgia"/>
                <w:sz w:val="19"/>
                <w:szCs w:val="19"/>
              </w:rPr>
              <w:t xml:space="preserve"/>
            </w:r>
          </w:p>
        </w:tc>
      </w:tr>
      <w:tr>
        <w:tc>
          <w:tcPr>
            <w:tcW w:type="dxa" w:w="900"/>
            <w:tcMar>
              <w:top w:type="dxa" w:w="80"/>
              <w:left w:type="dxa" w:w="100"/>
              <w:bottom w:type="dxa" w:w="80"/>
              <w:right w:type="dxa" w:w="100"/>
            </w:tcMar>
          </w:tcPr>
          <w:p>
            <w:r>
              <w:rPr>
                <w:rFonts w:ascii="Georgia" w:cs="Georgia" w:eastAsia="Georgia" w:hAnsi="Georgia"/>
                <w:sz w:val="19"/>
                <w:szCs w:val="19"/>
              </w:rPr>
              <w:t xml:space="preserve">28</w:t>
            </w:r>
          </w:p>
        </w:tc>
        <w:tc>
          <w:tcPr>
            <w:tcW w:type="dxa" w:w="5300"/>
            <w:tcMar>
              <w:top w:type="dxa" w:w="80"/>
              <w:left w:type="dxa" w:w="100"/>
              <w:bottom w:type="dxa" w:w="80"/>
              <w:right w:type="dxa" w:w="100"/>
            </w:tcMar>
          </w:tcPr>
          <w:p>
            <w:r>
              <w:rPr>
                <w:rFonts w:ascii="Georgia" w:cs="Georgia" w:eastAsia="Georgia" w:hAnsi="Georgia"/>
                <w:sz w:val="19"/>
                <w:szCs w:val="19"/>
              </w:rPr>
              <w:t xml:space="preserve">Appendix C: what Lepore adds to the democratic-control scoring</w:t>
            </w:r>
          </w:p>
        </w:tc>
        <w:tc>
          <w:tcPr>
            <w:tcW w:type="dxa" w:w="3000"/>
            <w:shd w:fill="FFF4D6" w:color="auto" w:val="clear"/>
            <w:tcMar>
              <w:top w:type="dxa" w:w="80"/>
              <w:left w:type="dxa" w:w="100"/>
              <w:bottom w:type="dxa" w:w="80"/>
              <w:right w:type="dxa" w:w="100"/>
            </w:tcMar>
          </w:tcPr>
          <w:p>
            <w:r>
              <w:rPr>
                <w:rFonts w:ascii="Georgia" w:cs="Georgia" w:eastAsia="Georgia" w:hAnsi="Georgia"/>
                <w:sz w:val="19"/>
                <w:szCs w:val="19"/>
              </w:rPr>
              <w:t xml:space="preserve"/>
            </w:r>
          </w:p>
        </w:tc>
      </w:tr>
    </w:tbl>
    <w:p>
      <w:pPr>
        <w:spacing w:before="300"/>
      </w:pPr>
    </w:p>
    <w:p>
      <w:pPr>
        <w:pStyle w:val="Heading1"/>
        <w:spacing w:after="180" w:before="300"/>
      </w:pPr>
      <w:r>
        <w:rPr>
          <w:rFonts w:ascii="Georgia" w:cs="Georgia" w:eastAsia="Georgia" w:hAnsi="Georgia"/>
          <w:b/>
          <w:bCs/>
          <w:color w:val="1F3864"/>
          <w:sz w:val="30"/>
          <w:szCs w:val="30"/>
        </w:rPr>
        <w:t xml:space="preserve">When you have finished</w:t>
      </w:r>
    </w:p>
    <w:p>
      <w:pPr>
        <w:spacing w:after="150" w:line="290"/>
      </w:pPr>
      <w:r>
        <w:rPr>
          <w:rFonts w:ascii="Georgia" w:cs="Georgia" w:eastAsia="Georgia" w:hAnsi="Georgia"/>
          <w:sz w:val="22"/>
          <w:szCs w:val="22"/>
        </w:rPr>
        <w:t xml:space="preserve">Send the document back. Each ruling is entered into the repository under your name and the date; anything that touches the spine or the doctrine is entered there in your own words. Claude Code then applies the rulings in a third renovation pass, working on the text as it now stands. After that pass the manuscript is ready for the expansion to full length, which is a separate decision and is not on this sheet.</w:t>
      </w:r>
    </w:p>
    <w:sectPr>
      <w:pgSz w:w="11906" w:h="16838" w:orient="portrait"/>
      <w:pgMar w:top="1350" w:right="1500" w:bottom="1350" w:left="15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2026-09-29T02:29:05.920Z</dcterms:created>
  <dcterms:modified xsi:type="dcterms:W3CDTF">2026-09-29T02:29:05.931Z</dcterms:modified>
</cp:coreProperties>
</file>

<file path=docProps/custom.xml><?xml version="1.0" encoding="utf-8"?>
<Properties xmlns="http://schemas.openxmlformats.org/officeDocument/2006/custom-properties" xmlns:vt="http://schemas.openxmlformats.org/officeDocument/2006/docPropsVTypes"/>
</file>