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b/>
          <w:bCs/>
          <w:color w:val="1F3864"/>
          <w:sz w:val="48"/>
          <w:szCs w:val="48"/>
        </w:rPr>
        <w:t xml:space="preserve">The Artillery State</w:t>
      </w:r>
    </w:p>
    <w:p>
      <w:pPr>
        <w:spacing w:after="80"/>
      </w:pPr>
      <w:r>
        <w:rPr>
          <w:rFonts w:ascii="Georgia" w:cs="Georgia" w:eastAsia="Georgia" w:hAnsi="Georgia"/>
          <w:color w:val="333333"/>
          <w:sz w:val="34"/>
          <w:szCs w:val="34"/>
        </w:rPr>
        <w:t xml:space="preserve">Rulings Sheet III</w:t>
      </w:r>
    </w:p>
    <w:p>
      <w:pPr>
        <w:spacing w:after="320"/>
      </w:pPr>
      <w:r>
        <w:rPr>
          <w:rFonts w:ascii="Georgia" w:cs="Georgia" w:eastAsia="Georgia" w:hAnsi="Georgia"/>
          <w:i/>
          <w:iCs/>
          <w:color w:val="555555"/>
          <w:sz w:val="24"/>
          <w:szCs w:val="24"/>
        </w:rPr>
        <w:t xml:space="preserve">The decisions now open, in plain English — with the background, why each matters, and what follows from each choice</w:t>
      </w:r>
    </w:p>
    <w:p>
      <w:pPr>
        <w:spacing w:after="300"/>
      </w:pPr>
      <w:r>
        <w:rPr>
          <w:rFonts w:ascii="Georgia" w:cs="Georgia" w:eastAsia="Georgia" w:hAnsi="Georgia"/>
          <w:color w:val="444444"/>
          <w:sz w:val="21"/>
          <w:szCs w:val="21"/>
        </w:rPr>
        <w:t xml:space="preserve">Prepared for Roderick Jones, 29 September 2026. Thirty-two decisions, consolidated from more than a hundred items raised by the reading of 13–29 September — including the 16 September intake (Wolin, Bean, Major, Youings, Holman, Leseur, Perroy, Tilly 1975) and Jill Lepore, The Rise and Fall of the Artificial State.</w:t>
      </w:r>
    </w:p>
    <w:p>
      <w:pPr>
        <w:pStyle w:val="Heading1"/>
        <w:spacing w:after="180" w:before="300"/>
      </w:pPr>
      <w:r>
        <w:rPr>
          <w:rFonts w:ascii="Georgia" w:cs="Georgia" w:eastAsia="Georgia" w:hAnsi="Georgia"/>
          <w:b/>
          <w:bCs/>
          <w:color w:val="1F3864"/>
          <w:sz w:val="30"/>
          <w:szCs w:val="30"/>
        </w:rPr>
        <w:t xml:space="preserve">Where the project stands</w:t>
      </w:r>
    </w:p>
    <w:p>
      <w:pPr>
        <w:spacing w:after="150" w:line="290"/>
      </w:pPr>
      <w:r>
        <w:rPr>
          <w:rFonts w:ascii="Georgia" w:cs="Georgia" w:eastAsia="Georgia" w:hAnsi="Georgia"/>
          <w:sz w:val="22"/>
          <w:szCs w:val="22"/>
        </w:rPr>
        <w:t xml:space="preserve">The book exists in full draft. All fourteen units — the Introduction, twelve chapters and the Coda — are written, every research memo has been reviewed by you, and the assembled manuscript stands at 97,443 words against a target of about 145,000. Two rounds of renovation have been applied since the start of September: the first carried your rulings of 2 September into the drafts, the second carried your rulings of 14 and 16 September, including the decision that consolidation is likely but its constitutional form is open. That second round is what took the manuscript from 67,000 words to 97,000. The chapters that grew most were chapter 6 on Normandy, chapter 9 on incapacity, chapter 10 on the fiscal machine, chapter 11 on the four consolidators and chapter 12 on the present.</w:t>
      </w:r>
    </w:p>
    <w:p>
      <w:pPr>
        <w:spacing w:after="150" w:line="290"/>
      </w:pPr>
      <w:r>
        <w:rPr>
          <w:rFonts w:ascii="Georgia" w:cs="Georgia" w:eastAsia="Georgia" w:hAnsi="Georgia"/>
          <w:sz w:val="22"/>
          <w:szCs w:val="22"/>
        </w:rPr>
        <w:t xml:space="preserve">Since 13 September, more than eighty new works have been read against the drafts: the September monographs; the contemporary rivals and primaries; a 16 September intake that brought in the load-bearing retrievals the earlier reading had asked for — Wolin, Crouch's 2004 book, Bean, Major, Youings, Holman, Leseur, Perroy and the full Tilly 1975 volume; the Burgundian and French chronicles; and most recently Jill Lepore's book on the artificial state. Every one has been assessed, entered in the relevant chapter's sources and memo, and its objections logged in the chapter's critique file. None of that reading has been allowed to touch a draft, because the rule is that nothing changes in the text until you have ruled. That is why this document exists.</w:t>
      </w:r>
    </w:p>
    <w:p>
      <w:pPr>
        <w:spacing w:after="150" w:line="290"/>
      </w:pPr>
      <w:r>
        <w:rPr>
          <w:rFonts w:ascii="Georgia" w:cs="Georgia" w:eastAsia="Georgia" w:hAnsi="Georgia"/>
          <w:sz w:val="22"/>
          <w:szCs w:val="22"/>
        </w:rPr>
        <w:t xml:space="preserve">The decisions that follow are the residue of that reading. In their raw form there were well over a hundred of them — seventy-four on the spreadsheet in specialist shorthand, and some forty more lettered at the foot of chapter memos by the 16 September intake and never brought onto the sheet at all. Here they have been consolidated into thirty-two, grouped by subject, and written out in ordinary language with the background, the stakes and the consequences of each direction. Some of the thirty-two are large — three would change what the book argues; several would change how it argues. Many are small. Each says which it is.</w:t>
      </w:r>
    </w:p>
    <w:p>
      <w:pPr>
        <w:spacing w:after="150" w:line="290"/>
      </w:pPr>
      <w:r>
        <w:rPr>
          <w:rFonts w:ascii="Georgia" w:cs="Georgia" w:eastAsia="Georgia" w:hAnsi="Georgia"/>
          <w:sz w:val="22"/>
          <w:szCs w:val="22"/>
        </w:rPr>
        <w:t xml:space="preserve">Once you have ruled, Claude Code applies the rulings in a third renovation pass, and the manuscript will then be ready for the expansion pass that takes it from 97,000 words to target. That expansion is a separate decision and is not on this sheet.</w:t>
      </w:r>
    </w:p>
    <w:p>
      <w:pPr>
        <w:pStyle w:val="Heading1"/>
        <w:spacing w:after="180" w:before="300"/>
      </w:pPr>
      <w:r>
        <w:rPr>
          <w:rFonts w:ascii="Georgia" w:cs="Georgia" w:eastAsia="Georgia" w:hAnsi="Georgia"/>
          <w:b/>
          <w:bCs/>
          <w:color w:val="1F3864"/>
          <w:sz w:val="30"/>
          <w:szCs w:val="30"/>
        </w:rPr>
        <w:t xml:space="preserve">How to read this document</w:t>
      </w:r>
    </w:p>
    <w:p>
      <w:pPr>
        <w:spacing w:after="150" w:line="290"/>
      </w:pPr>
      <w:r>
        <w:rPr>
          <w:rFonts w:ascii="Georgia" w:cs="Georgia" w:eastAsia="Georgia" w:hAnsi="Georgia"/>
          <w:sz w:val="22"/>
          <w:szCs w:val="22"/>
        </w:rPr>
        <w:t xml:space="preserve">Each decision has the same shape. The background sets out what the book says now, quoting the actual sentence, and what was found, naming the author and the page. Why it matters says which part of the argument is touched and what an expert reviewer would do with it. Your choices are lettered, and under each letter is what happens if you take it — what changes on the page, what it costs, what it buys. My view is a single sentence at the end, and it is a view, not a decision.</w:t>
      </w:r>
    </w:p>
    <w:p>
      <w:pPr>
        <w:spacing w:after="150" w:line="290"/>
      </w:pPr>
      <w:r>
        <w:rPr>
          <w:rFonts w:ascii="Georgia" w:cs="Georgia" w:eastAsia="Georgia" w:hAnsi="Georgia"/>
          <w:sz w:val="22"/>
          <w:szCs w:val="22"/>
        </w:rPr>
        <w:t xml:space="preserve">Write your answer in the yellow box under each decision — a letter, a word, or your own wording. The row numbers in italics under each heading are for bookkeeping only; they let the ruling be mapped back to the files. You do not need to understand them.</w:t>
      </w:r>
    </w:p>
    <w:p>
      <w:pPr>
        <w:spacing w:after="150" w:line="290"/>
      </w:pPr>
      <w:r>
        <w:rPr>
          <w:rFonts w:ascii="Georgia" w:cs="Georgia" w:eastAsia="Georgia" w:hAnsi="Georgia"/>
          <w:sz w:val="22"/>
          <w:szCs w:val="22"/>
        </w:rPr>
        <w:t xml:space="preserve">There is a summary table at the very end where you can write all the answers in one place if you prefer.</w:t>
      </w:r>
    </w:p>
    <w:p>
      <w:pPr>
        <w:pStyle w:val="Heading1"/>
        <w:spacing w:after="180" w:before="300"/>
      </w:pPr>
      <w:r>
        <w:rPr>
          <w:rFonts w:ascii="Georgia" w:cs="Georgia" w:eastAsia="Georgia" w:hAnsi="Georgia"/>
          <w:b/>
          <w:bCs/>
          <w:color w:val="1F3864"/>
          <w:sz w:val="30"/>
          <w:szCs w:val="30"/>
        </w:rPr>
        <w:t xml:space="preserve">The decisions, at a glance</w:t>
      </w:r>
    </w:p>
    <w:p>
      <w:pPr>
        <w:spacing w:after="150" w:line="290"/>
      </w:pPr>
      <w:r>
        <w:rPr>
          <w:rFonts w:ascii="Georgia" w:cs="Georgia" w:eastAsia="Georgia" w:hAnsi="Georgia"/>
          <w:sz w:val="22"/>
          <w:szCs w:val="22"/>
        </w:rPr>
        <w:t xml:space="preserve">The first six concern the ending of the book and the claim you added a fortnight ago — what the settlement looks like if it is ornamentally democratic, whose idea that is, where in chapter 12 it is allowed to live, and two concessions the Lepore reading forces. The seventh is the largest single change on the sheet: whether the book must say that half of the reassertion it predicts has already happened. Decisions 8 and 9 are England. Decisions 10 to 14 are the mechanism itself — what the ratchet is and how much of it Finer and Bean already had, whether the French settlement was a tax settlement or a credit one and whether its founding date is 1439 or 1451, and what "administrative capacity" means. Decisions 15 and 16 are Spain and China. Decisions 17 to 20 are words the book has borrowed without paying for them — "exclusive", "legibility", the answer to Ruggie, and a set of smaller terms. Decisions 21 to 24 are the new medieval scenes from Chastellain and Commynes, and the housekeeping that came with them. Decisions 25 and 26 are chapter 9 and Bagehot. Decisions 27 and 28 are the forecast and how it is scored. Decisions 29 to 32 carry out two rulings you have already made — resolve Cadillac, and cite Belloc for the syndrome — now that the sources for them have been read, plus two sets of account-book corrections.</w:t>
      </w:r>
    </w:p>
    <w:p>
      <w:pPr>
        <w:spacing w:after="150" w:line="290"/>
      </w:pPr>
      <w:r>
        <w:rPr>
          <w:rFonts w:ascii="Georgia" w:cs="Georgia" w:eastAsia="Georgia" w:hAnsi="Georgia"/>
          <w:sz w:val="22"/>
          <w:szCs w:val="22"/>
        </w:rPr>
        <w:t xml:space="preserve">If you have an hour, do 1, 2, 7, 8, 10, 12, 16 and 25 — 12 in particular, because a sentence in the spine does not survive it. If you have an afternoon, do them all.</w:t>
      </w:r>
    </w:p>
    <w:p>
      <w:pPr>
        <w:pStyle w:val="Heading1"/>
        <w:pageBreakBefore/>
        <w:spacing w:after="200" w:before="0"/>
      </w:pPr>
      <w:r>
        <w:rPr>
          <w:rFonts w:ascii="Georgia" w:cs="Georgia" w:eastAsia="Georgia" w:hAnsi="Georgia"/>
          <w:b/>
          <w:bCs/>
          <w:color w:val="1F3864"/>
          <w:sz w:val="32"/>
          <w:szCs w:val="32"/>
        </w:rPr>
        <w:t xml:space="preserve">Part One — The ending of the book, and the claim you added</w:t>
      </w:r>
    </w:p>
    <w:p>
      <w:pPr>
        <w:pStyle w:val="Heading2"/>
        <w:spacing w:after="120" w:before="260"/>
      </w:pPr>
      <w:r>
        <w:rPr>
          <w:rFonts w:ascii="Georgia" w:cs="Georgia" w:eastAsia="Georgia" w:hAnsi="Georgia"/>
          <w:b/>
          <w:bCs/>
          <w:color w:val="1F3864"/>
          <w:sz w:val="25"/>
          <w:szCs w:val="25"/>
        </w:rPr>
        <w:t xml:space="preserve">Decision 1 — The name "ornamental democracy": whose idea it is, and how to introduce it</w:t>
      </w:r>
    </w:p>
    <w:p>
      <w:pPr>
        <w:spacing w:after="140"/>
      </w:pPr>
      <w:r>
        <w:rPr>
          <w:rFonts w:ascii="Georgia" w:cs="Georgia" w:eastAsia="Georgia" w:hAnsi="Georgia"/>
          <w:i/>
          <w:iCs/>
          <w:color w:val="777777"/>
          <w:sz w:val="19"/>
          <w:szCs w:val="19"/>
        </w:rPr>
        <w:t xml:space="preserve">Covers rows: (mm), (oooo), (llll), Check 6, and ch12 memo Revisions 29–30 (the Wolin and Crouch 2004 intake of 16 September)</w:t>
      </w:r>
    </w:p>
    <w:p>
      <w:pPr>
        <w:spacing w:after="150" w:line="290"/>
      </w:pPr>
      <w:r>
        <w:rPr>
          <w:rFonts w:ascii="Georgia" w:cs="Georgia" w:eastAsia="Georgia" w:hAnsi="Georgia"/>
          <w:b/>
          <w:bCs/>
          <w:sz w:val="22"/>
          <w:szCs w:val="22"/>
        </w:rPr>
        <w:t xml:space="preserve">The background.</w:t>
      </w:r>
      <w:r>
        <w:rPr>
          <w:rFonts w:ascii="Georgia" w:cs="Georgia" w:eastAsia="Georgia" w:hAnsi="Georgia"/>
          <w:sz w:val="22"/>
          <w:szCs w:val="22"/>
        </w:rPr>
        <w:t xml:space="preserve"> Two weeks ago you ruled that the democratic bloc may end up "ornamentally democratic", and the phrase "ornamental democracy" is proposed as chapter 12's one coined term, with the Coda using it again. Your own voice rule, added on 1 August, says that before the chapter's footer (the short ledger at the end of each draft recording what the chapter coined) claims a term as a coinage, someone must check whether an existing scholar already owns it. That check has now been run against four books, and it is complete. The earlier version of this decision said that Sheldon Wolin's </w:t>
      </w:r>
      <w:r>
        <w:rPr>
          <w:rFonts w:ascii="Georgia" w:cs="Georgia" w:eastAsia="Georgia" w:hAnsi="Georgia"/>
          <w:i/>
          <w:iCs/>
          <w:sz w:val="22"/>
          <w:szCs w:val="22"/>
        </w:rPr>
        <w:t xml:space="preserve">Democracy Incorporated</w:t>
      </w:r>
      <w:r>
        <w:rPr>
          <w:rFonts w:ascii="Georgia" w:cs="Georgia" w:eastAsia="Georgia" w:hAnsi="Georgia"/>
          <w:sz w:val="22"/>
          <w:szCs w:val="22"/>
        </w:rPr>
        <w:t xml:space="preserve"> had not been read and that the check against him was still open. That was wrong: he was read in full on 16 September, and the check was made at the page. What follows corrects the record.</w:t>
      </w:r>
    </w:p>
    <w:p>
      <w:pPr>
        <w:spacing w:after="150" w:line="290"/>
      </w:pPr>
      <w:r>
        <w:rPr>
          <w:rFonts w:ascii="Georgia" w:cs="Georgia" w:eastAsia="Georgia" w:hAnsi="Georgia"/>
          <w:sz w:val="22"/>
          <w:szCs w:val="22"/>
        </w:rPr>
        <w:t xml:space="preserve">The first predecessor is Colin Crouch, a British political sociologist. The corpus now holds two statements of his argument: the Fabian Society pamphlet </w:t>
      </w:r>
      <w:r>
        <w:rPr>
          <w:rFonts w:ascii="Georgia" w:cs="Georgia" w:eastAsia="Georgia" w:hAnsi="Georgia"/>
          <w:i/>
          <w:iCs/>
          <w:sz w:val="22"/>
          <w:szCs w:val="22"/>
        </w:rPr>
        <w:t xml:space="preserve">Coping with Post-Democracy</w:t>
      </w:r>
      <w:r>
        <w:rPr>
          <w:rFonts w:ascii="Georgia" w:cs="Georgia" w:eastAsia="Georgia" w:hAnsi="Georgia"/>
          <w:sz w:val="22"/>
          <w:szCs w:val="22"/>
        </w:rPr>
        <w:t xml:space="preserve"> (2000), read in full, and the book </w:t>
      </w:r>
      <w:r>
        <w:rPr>
          <w:rFonts w:ascii="Georgia" w:cs="Georgia" w:eastAsia="Georgia" w:hAnsi="Georgia"/>
          <w:i/>
          <w:iCs/>
          <w:sz w:val="22"/>
          <w:szCs w:val="22"/>
        </w:rPr>
        <w:t xml:space="preserve">Post-Democracy</w:t>
      </w:r>
      <w:r>
        <w:rPr>
          <w:rFonts w:ascii="Georgia" w:cs="Georgia" w:eastAsia="Georgia" w:hAnsi="Georgia"/>
          <w:sz w:val="22"/>
          <w:szCs w:val="22"/>
        </w:rPr>
        <w:t xml:space="preserve"> (Polity, 2004), which arrived on 16 September as a partial photocopy of about fifty-five of its hundred and twenty-seven pages (chapter 1 complete; most of chapter 2, "The Global Firm", and all of chapters 5 and 6 missing). His condition is yours in outline, twenty-five years early: "while the forms of democracy remain fully in place — and today in some respects are actually strengthened — politics and government are increasingly slipping back into the control of privileged elites" (Crouch 2004, p. 6), "Virtually all the formal components of democracy survive within post-democracy" (p. 22), and yet "it is difficult to dignify it as democracy itself" (p. 21). Every quotation chapter 12 took from the pamphlet is confirmed at a printed page of the book except two, which survive only in the pamphlet and must be labelled as such. His word sweep is clean in both texts: no "ornament", "ornamental", "façade", "hollow", "husk", "veneer", "shell" or "decorative"; his words are "spectacle", "forms", "formal components", "entropy" and "parabola". The adjective itself comes from Walter Bagehot's </w:t>
      </w:r>
      <w:r>
        <w:rPr>
          <w:rFonts w:ascii="Georgia" w:cs="Georgia" w:eastAsia="Georgia" w:hAnsi="Georgia"/>
          <w:i/>
          <w:iCs/>
          <w:sz w:val="22"/>
          <w:szCs w:val="22"/>
        </w:rPr>
        <w:t xml:space="preserve">The English Constitution</w:t>
      </w:r>
      <w:r>
        <w:rPr>
          <w:rFonts w:ascii="Georgia" w:cs="Georgia" w:eastAsia="Georgia" w:hAnsi="Georgia"/>
          <w:sz w:val="22"/>
          <w:szCs w:val="22"/>
        </w:rPr>
        <w:t xml:space="preserve"> (1867), from which you already borrow the split between the "dignified" parts of a constitution (the ones people revere) and the "efficient" parts (the ones that govern). Bagehot uses "ornamental" exactly twice, in one passage, of "the additional and solely-ornamental wheels introduced into the clocks of the Middle Ages" (Bagehot, PDF p. 83), never of a constitution or of democracy, and he thought the separation of reverence from rule a good thing, which you do not.</w:t>
      </w:r>
    </w:p>
    <w:p>
      <w:pPr>
        <w:spacing w:after="150" w:line="290"/>
      </w:pPr>
      <w:r>
        <w:rPr>
          <w:rFonts w:ascii="Georgia" w:cs="Georgia" w:eastAsia="Georgia" w:hAnsi="Georgia"/>
          <w:sz w:val="22"/>
          <w:szCs w:val="22"/>
        </w:rPr>
        <w:t xml:space="preserve">The second predecessor is Wolin, the Princeton political theorist, in </w:t>
      </w:r>
      <w:r>
        <w:rPr>
          <w:rFonts w:ascii="Georgia" w:cs="Georgia" w:eastAsia="Georgia" w:hAnsi="Georgia"/>
          <w:i/>
          <w:iCs/>
          <w:sz w:val="22"/>
          <w:szCs w:val="22"/>
        </w:rPr>
        <w:t xml:space="preserve">Democracy Incorporated: Managed Democracy and the Specter of Inverted Totalitarianism</w:t>
      </w:r>
      <w:r>
        <w:rPr>
          <w:rFonts w:ascii="Georgia" w:cs="Georgia" w:eastAsia="Georgia" w:hAnsi="Georgia"/>
          <w:sz w:val="22"/>
          <w:szCs w:val="22"/>
        </w:rPr>
        <w:t xml:space="preserve"> (2008). A search of all 375 pages found "ornament", "ornamental", "façade", "veneer", "husk" and "decorative" nowhere. For honesty the near-misses are recorded: "charade" and "shell game" of one 2006 legislative episode (pp. 77–78); "hollowed out" of the English monarchy, not of democracy (p. 96); "ceremonial figurehead" of kingship (p. 97); and one genuine near-hit, "Democratic legitimation might be defined as the ceremonial and symbolic action whereby citizens invest power with authority" (p. 147). His own phrases are "managed democracy", "a political form in which governments are legitimated by elections that they have learned to control" (p. 47), "dissociated democracy", in which "the people reigned but did not rule" (pp. 228–29), "a rhetorical democracy" (p. 218) and "a bogus political democracy" (p. 273). More important than the words is the object. His is a regime type, "a new type of political system" (p. 44), covering the economy, culture, religion and the press, corporate and cultural in its mechanism, and offered by him as "tentative, hypothetical" (p. xvi) with no test by which it could be shown false. Yours is a measurable relation, confined to the state's strategic commitments and the decisive stack, with four published falsifiers in Appendix C, arising from a fiscal-military mechanism. A bloc could score ornamental on your test while his other indices improved, and democratic on yours while remaining, on his account, inverted-totalitarian. He is a rival diagnosis of the same symptoms, not the owner of the term. He also supplies, in his own vocabulary, two things the chapter can use: the restriction to strategic commitments, "the most substantial element of state power is removed from public debate" (p. 199), and a word for absorption by alliance, "predomination — that is, rule by diverse powers which have found it in their interests to combine while retaining their separate identities" (p. 185).</w:t>
      </w:r>
    </w:p>
    <w:p>
      <w:pPr>
        <w:spacing w:after="150" w:line="290"/>
      </w:pPr>
      <w:r>
        <w:rPr>
          <w:rFonts w:ascii="Georgia" w:cs="Georgia" w:eastAsia="Georgia" w:hAnsi="Georgia"/>
          <w:sz w:val="22"/>
          <w:szCs w:val="22"/>
        </w:rPr>
        <w:t xml:space="preserve">The third predecessor is Jill Lepore, the Harvard historian, in </w:t>
      </w:r>
      <w:r>
        <w:rPr>
          <w:rFonts w:ascii="Georgia" w:cs="Georgia" w:eastAsia="Georgia" w:hAnsi="Georgia"/>
          <w:i/>
          <w:iCs/>
          <w:sz w:val="22"/>
          <w:szCs w:val="22"/>
        </w:rPr>
        <w:t xml:space="preserve">The Rise and Fall of the Artificial State</w:t>
      </w:r>
      <w:r>
        <w:rPr>
          <w:rFonts w:ascii="Georgia" w:cs="Georgia" w:eastAsia="Georgia" w:hAnsi="Georgia"/>
          <w:sz w:val="22"/>
          <w:szCs w:val="22"/>
        </w:rPr>
        <w:t xml:space="preserve"> (a phone-scanned copy with no title or copyright page, so no publisher or year may be cited and every page number is provisional). A search of all 306 pages found "ornament", "ornamental", "façade", "hollow", "husk", "decorative", "charade" and "sham" nowhere; the nearest hits are "trappings" (of religion), "veneer" (of Nick Bostrom's prose) and one "figurehead", her summary of Douglas Adams's Zaphod Beeblebrox (printed p. 210 / PDF p. 224). Her concept is "government without consent" (printed p. 5 / PDF p. 15), which asks whether the governed chose; yours asks whether elected institutions control the state's strategic commitments, a different test and compatible with genuine elections. Her "artificial state" runs the opposite way to yours: "Democracy and the liberal nation-state had to be abolished to free corporations from the restraining force of any government" (printed p. 205 / PDF p. 219), corporations dissolving the state where your state absorbs the corporations. The Lepore check of 28 September was the third run of the ledger and it re-confirmed what the 16 September run found.</w:t>
      </w:r>
    </w:p>
    <w:p>
      <w:pPr>
        <w:spacing w:after="150" w:line="290"/>
      </w:pPr>
      <w:r>
        <w:rPr>
          <w:rFonts w:ascii="Georgia" w:cs="Georgia" w:eastAsia="Georgia" w:hAnsi="Georgia"/>
          <w:b/>
          <w:bCs/>
          <w:sz w:val="22"/>
          <w:szCs w:val="22"/>
        </w:rPr>
        <w:t xml:space="preserve">Why it matters.</w:t>
      </w:r>
      <w:r>
        <w:rPr>
          <w:rFonts w:ascii="Georgia" w:cs="Georgia" w:eastAsia="Georgia" w:hAnsi="Georgia"/>
          <w:sz w:val="22"/>
          <w:szCs w:val="22"/>
        </w:rPr>
        <w:t xml:space="preserve"> The question has changed. Two weeks ago it was whether the coinage could be claimed at all; with all three predecessors read, the verdict is that it can, and the question is now on what conditions. It remains a large point because it sits at the book's rhetorical climax. A hostile reviewer who knows the post-democracy literature will treat an unattributed "ornamental democracy" as Crouch rebranded, and a reviewer who has read Wolin will say that the American separation of strategic control from electoral control was diagnosed in 2008, under a different mechanism, and the book has renamed it. That second objection is the serious one, and it is not about the word. Wolin dates the condition from the Cold War: "A 'defense establishment,' comprising the economy, the military, and the state, came into being" (p. 28); "The Cold War consolidated the power of capital … What was abandoned was all talk of participatory democracy" (p. 26). If the separation was achieved by 1950 without a compute stack, the mechanism explains nothing new and the 2020s indicators measure a sixty-year-old condition. The book's best answer is that Wolin's state sheds capability, "Corporate expansion extends to military functions, a province once jealously guarded as a state prerogative" (p. 136), and that the mechanism predicts the reversal of that trajectory when a supplier can no longer be treated as a contractor. But the honest part of the answer is a concession: the ornamental route is not an emerging condition but a deepening one, and what the mechanism predicts is not its arrival but its irreversibility, the point at which the state's dependence on the decisive layer can no longer be escaped by re-tendering. Narrower than the draft now claims, and more defensible.</w:t>
      </w:r>
    </w:p>
    <w:p>
      <w:pPr>
        <w:spacing w:after="150" w:line="290"/>
      </w:pPr>
      <w:r>
        <w:rPr>
          <w:rFonts w:ascii="Georgia" w:cs="Georgia" w:eastAsia="Georgia" w:hAnsi="Georgia"/>
          <w:b/>
          <w:bCs/>
          <w:sz w:val="22"/>
          <w:szCs w:val="22"/>
        </w:rPr>
        <w:t xml:space="preserve">Your choices.</w:t>
      </w:r>
      <w:r>
        <w:rPr>
          <w:rFonts w:ascii="Georgia" w:cs="Georgia" w:eastAsia="Georgia" w:hAnsi="Georgia"/>
          <w:sz w:val="22"/>
          <w:szCs w:val="22"/>
        </w:rPr>
        <w:t xml:space="preserve"> Choice A keeps the coinage on conditions: at first use in chapter 12 you introduce the term in the same breath as its pedigree, and the footer ledger claims it, no longer provisionally, at a count of one. The conditions are the sub-choices below. This costs perhaps 300 to 400 words at the ending's most loaded point and a narrowing of the claim. It buys a reviewer who sees command of the field, and it turns Wolin from a threat into the book's own unfavourable prior, the hypothesis the falsifiers are built to beat.</w:t>
      </w:r>
    </w:p>
    <w:p>
      <w:pPr>
        <w:spacing w:after="150" w:line="290"/>
      </w:pPr>
      <w:r>
        <w:rPr>
          <w:rFonts w:ascii="Georgia" w:cs="Georgia" w:eastAsia="Georgia" w:hAnsi="Georgia"/>
          <w:sz w:val="22"/>
          <w:szCs w:val="22"/>
        </w:rPr>
        <w:t xml:space="preserve">Choice B is the bare coinage: you introduce "ornamental democracy" as your own term with no genealogy and no concession. It reads cleaner and costs nothing in words. It buys a reviewer who says, correctly, that you renamed post-democracy, and who then produces Wolin's page 28 and asks why a book about the state absorbing the stack did not notice that the separation it predicts was diagnosed a generation before the stack existed.</w:t>
      </w:r>
    </w:p>
    <w:p>
      <w:pPr>
        <w:spacing w:after="150" w:line="290"/>
      </w:pPr>
      <w:r>
        <w:rPr>
          <w:rFonts w:ascii="Georgia" w:cs="Georgia" w:eastAsia="Georgia" w:hAnsi="Georgia"/>
          <w:sz w:val="22"/>
          <w:szCs w:val="22"/>
        </w:rPr>
        <w:t xml:space="preserve">Choice C drops the term: the ending says "post-democracy, restricted to strategic commitments", the Wolin concession is still made once, and the chapter's one coinage is spent elsewhere. This costs the sharpest label in Part III and some of the close's force; it buys complete safety on originality. A reviewer would call the book honest and slightly flat.</w:t>
      </w:r>
    </w:p>
    <w:p>
      <w:pPr>
        <w:spacing w:after="150" w:line="290"/>
      </w:pPr>
      <w:r>
        <w:rPr>
          <w:rFonts w:ascii="Georgia" w:cs="Georgia" w:eastAsia="Georgia" w:hAnsi="Georgia"/>
          <w:sz w:val="22"/>
          <w:szCs w:val="22"/>
        </w:rPr>
        <w:t xml:space="preserve">Inside Choice A there are five conditions, each a sub-choice, recorded in ch12 memo Revisions 29–30. The first is that the term be introduced as a special case of post-democracy, not as Crouch's concept renamed, with the four Crouch quotations re-pinned to the 2004 book (pp. 5, 6, 21, 22) and the two pamphlet-only sentences kept at the pamphlet and labelled as the Fabian typescript; the alternative is to keep citing the pamphlet throughout, which is a lower tier of source when the book is to hand. The second is the adjective clause: one sentence saying the adjective occurs in neither Crouch nor Wolin, and in Bagehot only of clock-wheels, and refusing Bagehot's valuation; this is now checkable against three texts and costs a sentence. The third is that the draft's present sentence, which names Wolin "here and not cited, because it is not in the corpus", together with its [GAP] bracket, be replaced by a rival-diagnosis sentence carrying three things: that he is a rival and not a parent, that his object is the regime where yours is the commitment, and that his diagnosis is offered as hypothesis where yours publishes its falsifiers. The draft currently names Crouch and Wolin "in one breath" as a pair of allies; they are not a pair, and the text must say which is which. The fourth is the dating concession, in one clause and not a paragraph: that in the American case the separation of strategic commitments from electoral control predates the stack, and that what the mechanism predicts is irreversibility, not arrival. You can decline this and keep the stronger claim; if you do, Wolin's page 28 is the first thing a reviewer will quote. The fifth is whether to credit "predomination" (Wolin, p. 185) where the present indicator is stated, in §IV's fusion paragraph or in §VII, as his word and not adopted as the book's, and whether it should replace "fusion" as the name of spine §8(g)(3)'s indicator, since it describes exactly the American case the indicator watches: parties that combine and keep their identities. Crouch's 2004 book offers a competing figure for the same thing, the party leadership stretched into "an ellipse stretching way out beyond the party's ranks" (p. 73), and his own verdict on the fusion, "This is the central crisis of early twenty-first-century democracy" (p. 52). Either can stand beside the other; the choice is whether the indicator keeps the book's word or takes a predecessor's.</w:t>
      </w:r>
    </w:p>
    <w:p>
      <w:pPr>
        <w:spacing w:after="150" w:line="290"/>
      </w:pPr>
      <w:r>
        <w:rPr>
          <w:rFonts w:ascii="Georgia" w:cs="Georgia" w:eastAsia="Georgia" w:hAnsi="Georgia"/>
          <w:sz w:val="22"/>
          <w:szCs w:val="22"/>
        </w:rPr>
        <w:t xml:space="preserve">There is one further sub-choice, carried over. The Lepore intake wants the whole predecessor clause in chapter 12 §VII; Decision 2 may move the constitutional close to a different section. Wherever the close lands, the predecessor clause, the Wolin concession and the Lepore collision sentence go with it. And one caution for the record: the Crouch pins now rest on the pamphlet plus a partial book, and the sharpest Crouch passages the critiques file relies on ("institutional idiot"; "impossible to see any major reversal") lie in the missing chapters, so they stay cited to the pamphlet until the rest of the 2004 book is retrieved.</w:t>
      </w:r>
    </w:p>
    <w:p>
      <w:pPr>
        <w:spacing w:after="150" w:line="290"/>
      </w:pPr>
      <w:r>
        <w:rPr>
          <w:rFonts w:ascii="Georgia" w:cs="Georgia" w:eastAsia="Georgia" w:hAnsi="Georgia"/>
          <w:b/>
          <w:bCs/>
          <w:sz w:val="22"/>
          <w:szCs w:val="22"/>
        </w:rPr>
        <w:t xml:space="preserve">My view.</w:t>
      </w:r>
      <w:r>
        <w:rPr>
          <w:rFonts w:ascii="Georgia" w:cs="Georgia" w:eastAsia="Georgia" w:hAnsi="Georgia"/>
          <w:sz w:val="22"/>
          <w:szCs w:val="22"/>
        </w:rPr>
        <w:t xml:space="preserve"> A, with all five conditions, and this is a view: the ledger check is closed in the coinage's favour on three separate runs, so the word is yours, but the claim it names is only as strong as the dating concession makes it, and I would rather the book said "irreversibility, not arrival" than had a reviewer say it first.</w:t>
      </w:r>
    </w:p>
    <w:p>
      <w:pPr>
        <w:pBdr>
          <w:top w:val="single" w:color="C9A227" w:sz="6"/>
          <w:left w:val="single" w:color="C9A227" w:sz="6"/>
          <w:right w:val="single" w:color="C9A227" w:sz="6"/>
        </w:pBdr>
        <w:shd w:fill="FFF4D6" w:color="auto" w:val="clear"/>
        <w:spacing w:after="60" w:before="200"/>
      </w:pPr>
      <w:r>
        <w:rPr>
          <w:rFonts w:ascii="Georgia" w:cs="Georgia" w:eastAsia="Georgia" w:hAnsi="Georgia"/>
          <w:b/>
          <w:bCs/>
          <w:color w:val="8A6D00"/>
          <w:sz w:val="23"/>
          <w:szCs w:val="23"/>
        </w:rPr>
        <w:t xml:space="preserve">YOUR RULING:  </w:t>
      </w:r>
    </w:p>
    <w:p>
      <w:pPr>
        <w:pBdr>
          <w:left w:val="single" w:color="C9A227" w:sz="6"/>
          <w:right w:val="single" w:color="C9A227" w:sz="6"/>
        </w:pBdr>
        <w:shd w:fill="FFF4D6" w:color="auto" w:val="clear"/>
        <w:spacing w:after="40"/>
      </w:pPr>
      <w:r>
        <w:rPr>
          <w:sz w:val="22"/>
          <w:szCs w:val="22"/>
        </w:rPr>
        <w:t xml:space="preserve"> </w:t>
      </w:r>
    </w:p>
    <w:p>
      <w:pPr>
        <w:pBdr>
          <w:left w:val="single" w:color="C9A227" w:sz="6"/>
          <w:right w:val="single" w:color="C9A227" w:sz="6"/>
        </w:pBdr>
        <w:shd w:fill="FFF4D6" w:color="auto" w:val="clear"/>
        <w:spacing w:after="40"/>
      </w:pPr>
      <w:r>
        <w:rPr>
          <w:sz w:val="22"/>
          <w:szCs w:val="22"/>
        </w:rPr>
        <w:t xml:space="preserve"> </w:t>
      </w:r>
    </w:p>
    <w:p>
      <w:pPr>
        <w:pBdr>
          <w:bottom w:val="single" w:color="C9A227" w:sz="6"/>
          <w:left w:val="single" w:color="C9A227" w:sz="6"/>
          <w:right w:val="single" w:color="C9A227" w:sz="6"/>
        </w:pBdr>
        <w:shd w:fill="FFF4D6" w:color="auto" w:val="clear"/>
        <w:spacing w:after="60"/>
      </w:pPr>
      <w:r>
        <w:rPr>
          <w:sz w:val="22"/>
          <w:szCs w:val="22"/>
        </w:rPr>
        <w:t xml:space="preserve"> </w:t>
      </w:r>
    </w:p>
    <w:p>
      <w:pPr>
        <w:pStyle w:val="Heading2"/>
        <w:spacing w:after="120" w:before="260"/>
      </w:pPr>
      <w:r>
        <w:rPr>
          <w:rFonts w:ascii="Georgia" w:cs="Georgia" w:eastAsia="Georgia" w:hAnsi="Georgia"/>
          <w:b/>
          <w:bCs/>
          <w:color w:val="1F3864"/>
          <w:sz w:val="25"/>
          <w:szCs w:val="25"/>
        </w:rPr>
        <w:t xml:space="preserve">Decision 2 — Where the book's real ending lives in chapter 12</w:t>
      </w:r>
    </w:p>
    <w:p>
      <w:pPr>
        <w:spacing w:after="140"/>
      </w:pPr>
      <w:r>
        <w:rPr>
          <w:rFonts w:ascii="Georgia" w:cs="Georgia" w:eastAsia="Georgia" w:hAnsi="Georgia"/>
          <w:i/>
          <w:iCs/>
          <w:color w:val="777777"/>
          <w:sz w:val="19"/>
          <w:szCs w:val="19"/>
        </w:rPr>
        <w:t xml:space="preserve">Covers rows: (nn)</w:t>
      </w:r>
    </w:p>
    <w:p>
      <w:pPr>
        <w:spacing w:after="150" w:line="290"/>
      </w:pPr>
      <w:r>
        <w:rPr>
          <w:rFonts w:ascii="Georgia" w:cs="Georgia" w:eastAsia="Georgia" w:hAnsi="Georgia"/>
          <w:b/>
          <w:bCs/>
          <w:sz w:val="22"/>
          <w:szCs w:val="22"/>
        </w:rPr>
        <w:t xml:space="preserve">The background.</w:t>
      </w:r>
      <w:r>
        <w:rPr>
          <w:rFonts w:ascii="Georgia" w:cs="Georgia" w:eastAsia="Georgia" w:hAnsi="Georgia"/>
          <w:sz w:val="22"/>
          <w:szCs w:val="22"/>
        </w:rPr>
        <w:t xml:space="preserve"> Chapter 12 as drafted runs: §VI states the book's claims; §VII is the asset-class ledger; §VIII returns to the battle of Formigny and gives the book its last words. §VII opens with its own disclaimer, "</w:t>
      </w:r>
      <w:r>
        <w:rPr>
          <w:rFonts w:ascii="Georgia" w:cs="Georgia" w:eastAsia="Georgia" w:hAnsi="Georgia"/>
          <w:i/>
          <w:iCs/>
          <w:sz w:val="22"/>
          <w:szCs w:val="22"/>
        </w:rPr>
        <w:t xml:space="preserve">(The CLAUDE.md §9 boundary governs this section: comparative historical analysis and asset-class direction; no actionable guidance.)</w:t>
      </w:r>
      <w:r>
        <w:rPr>
          <w:rFonts w:ascii="Georgia" w:cs="Georgia" w:eastAsia="Georgia" w:hAnsi="Georgia"/>
          <w:sz w:val="22"/>
          <w:szCs w:val="22"/>
        </w:rPr>
        <w:t xml:space="preserve">", and continues, "What did the last Tudor settlement do to wealth? The ledger is stark and it is the only forecast instrument this book will hand its professional readers." It closes: "Nothing more specific is offered, because nothing more specific would be honest."</w:t>
      </w:r>
    </w:p>
    <w:p>
      <w:pPr>
        <w:spacing w:after="150" w:line="290"/>
      </w:pPr>
      <w:r>
        <w:rPr>
          <w:rFonts w:ascii="Georgia" w:cs="Georgia" w:eastAsia="Georgia" w:hAnsi="Georgia"/>
          <w:sz w:val="22"/>
          <w:szCs w:val="22"/>
        </w:rPr>
        <w:t xml:space="preserve">Your ruling two weeks ago split the book's third claim into two: a defended part (the barons will be subordinated) and an open, scored part (what constitutional form the consolidated state takes, which may be ornamental democracy). That split needs a home in chapter 12, and every recent assessment nominates §VII for it, because that is where the chapter's closing argument sits. But §VII cannot take it. The project's own rules confine that section to comparative history and asset-class direction, and a section fenced for a wealth ledger is the wrong register for an argument about legitimacy and control. The Bagehot assessment says so plainly: "§VII as drafted is the asset-class ledger and cannot carry it; a new section or a renumbering is Roderick's call." Decision 1's predecessor clause and title-collision sentence must go wherever the constitutional close goes.</w:t>
      </w:r>
    </w:p>
    <w:p>
      <w:pPr>
        <w:spacing w:after="150" w:line="290"/>
      </w:pPr>
      <w:r>
        <w:rPr>
          <w:rFonts w:ascii="Georgia" w:cs="Georgia" w:eastAsia="Georgia" w:hAnsi="Georgia"/>
          <w:b/>
          <w:bCs/>
          <w:sz w:val="22"/>
          <w:szCs w:val="22"/>
        </w:rPr>
        <w:t xml:space="preserve">Why it matters.</w:t>
      </w:r>
      <w:r>
        <w:rPr>
          <w:rFonts w:ascii="Georgia" w:cs="Georgia" w:eastAsia="Georgia" w:hAnsi="Georgia"/>
          <w:sz w:val="22"/>
          <w:szCs w:val="22"/>
        </w:rPr>
        <w:t xml:space="preserve"> This decides what readers remember the book as having argued. As things stand, the last substantive thing said before the Formigny return is a wealth ledger for professional readers. A book that ends on asset-class direction invites the reading that its historical apparatus was built to service a market view. Putting the constitutional claim last inverts that impression at no cost to the ledger's content. It is a structural point rather than an evidentiary one, but it is large.</w:t>
      </w:r>
    </w:p>
    <w:p>
      <w:pPr>
        <w:spacing w:after="150" w:line="290"/>
      </w:pPr>
      <w:r>
        <w:rPr>
          <w:rFonts w:ascii="Georgia" w:cs="Georgia" w:eastAsia="Georgia" w:hAnsi="Georgia"/>
          <w:b/>
          <w:bCs/>
          <w:sz w:val="22"/>
          <w:szCs w:val="22"/>
        </w:rPr>
        <w:t xml:space="preserve">Your choices.</w:t>
      </w:r>
      <w:r>
        <w:rPr>
          <w:rFonts w:ascii="Georgia" w:cs="Georgia" w:eastAsia="Georgia" w:hAnsi="Georgia"/>
          <w:sz w:val="22"/>
          <w:szCs w:val="22"/>
        </w:rPr>
        <w:t xml:space="preserve"> Choice A inserts a new section between §VI and §VII: the constitutional close becomes the new §VII, carrying Crouch, Bagehot, Wolin, Lepore, Stasavage's Cortes of Castile and the falsifiers; the ledger slides to §VIII and the Formigny return to §IX. This costs one renumbering across the chapter and every cross-reference to "ch12 §VII" elsewhere, including Appendix C, and it lengthens the run to the final image by 700 to 900 words. It buys a clean order: claims, then the form question, then the ledger as a consequence, then the return.</w:t>
      </w:r>
    </w:p>
    <w:p>
      <w:pPr>
        <w:spacing w:after="150" w:line="290"/>
      </w:pPr>
      <w:r>
        <w:rPr>
          <w:rFonts w:ascii="Georgia" w:cs="Georgia" w:eastAsia="Georgia" w:hAnsi="Georgia"/>
          <w:sz w:val="22"/>
          <w:szCs w:val="22"/>
        </w:rPr>
        <w:t xml:space="preserve">Choice B is the same insertion but with the ledger moved up to sit directly after §VI, so the constitutional close is the last analytical section before Formigny. The renumbering is the same. The cost is that the ledger, with its disclaimer, interrupts the line between the claims and the close. It buys the strongest possible final emphasis.</w:t>
      </w:r>
    </w:p>
    <w:p>
      <w:pPr>
        <w:spacing w:after="150" w:line="290"/>
      </w:pPr>
      <w:r>
        <w:rPr>
          <w:rFonts w:ascii="Georgia" w:cs="Georgia" w:eastAsia="Georgia" w:hAnsi="Georgia"/>
          <w:sz w:val="22"/>
          <w:szCs w:val="22"/>
        </w:rPr>
        <w:t xml:space="preserve">Choice C moves the ledger out of the chapter into a short Appendix E, or folds it into Appendix B, and the constitutional close takes the §VII slot outright. This costs the ledger its prominence, and it was written for a readership whose attention you presumably want; it risks reading as embarrassment about the book's commercial audience. It buys the tightest chapter and the least friction with the rules, since an appendix carrying asset-class direction is unambiguously outside the argumentative spine.</w:t>
      </w:r>
    </w:p>
    <w:p>
      <w:pPr>
        <w:spacing w:after="150" w:line="290"/>
      </w:pPr>
      <w:r>
        <w:rPr>
          <w:rFonts w:ascii="Georgia" w:cs="Georgia" w:eastAsia="Georgia" w:hAnsi="Georgia"/>
          <w:b/>
          <w:bCs/>
          <w:sz w:val="22"/>
          <w:szCs w:val="22"/>
        </w:rPr>
        <w:t xml:space="preserve">My view.</w:t>
      </w:r>
      <w:r>
        <w:rPr>
          <w:rFonts w:ascii="Georgia" w:cs="Georgia" w:eastAsia="Georgia" w:hAnsi="Georgia"/>
          <w:sz w:val="22"/>
          <w:szCs w:val="22"/>
        </w:rPr>
        <w:t xml:space="preserve"> B, as a view: the ledger was written honestly for a real audience and should not be hidden, but the constitutional close, not the wealth ledger, should be the last analytical thing the reader meets.</w:t>
      </w:r>
    </w:p>
    <w:p>
      <w:pPr>
        <w:pBdr>
          <w:top w:val="single" w:color="C9A227" w:sz="6"/>
          <w:left w:val="single" w:color="C9A227" w:sz="6"/>
          <w:right w:val="single" w:color="C9A227" w:sz="6"/>
        </w:pBdr>
        <w:shd w:fill="FFF4D6" w:color="auto" w:val="clear"/>
        <w:spacing w:after="60" w:before="200"/>
      </w:pPr>
      <w:r>
        <w:rPr>
          <w:rFonts w:ascii="Georgia" w:cs="Georgia" w:eastAsia="Georgia" w:hAnsi="Georgia"/>
          <w:b/>
          <w:bCs/>
          <w:color w:val="8A6D00"/>
          <w:sz w:val="23"/>
          <w:szCs w:val="23"/>
        </w:rPr>
        <w:t xml:space="preserve">YOUR RULING:  </w:t>
      </w:r>
    </w:p>
    <w:p>
      <w:pPr>
        <w:pBdr>
          <w:left w:val="single" w:color="C9A227" w:sz="6"/>
          <w:right w:val="single" w:color="C9A227" w:sz="6"/>
        </w:pBdr>
        <w:shd w:fill="FFF4D6" w:color="auto" w:val="clear"/>
        <w:spacing w:after="40"/>
      </w:pPr>
      <w:r>
        <w:rPr>
          <w:sz w:val="22"/>
          <w:szCs w:val="22"/>
        </w:rPr>
        <w:t xml:space="preserve"> </w:t>
      </w:r>
    </w:p>
    <w:p>
      <w:pPr>
        <w:pBdr>
          <w:left w:val="single" w:color="C9A227" w:sz="6"/>
          <w:right w:val="single" w:color="C9A227" w:sz="6"/>
        </w:pBdr>
        <w:shd w:fill="FFF4D6" w:color="auto" w:val="clear"/>
        <w:spacing w:after="40"/>
      </w:pPr>
      <w:r>
        <w:rPr>
          <w:sz w:val="22"/>
          <w:szCs w:val="22"/>
        </w:rPr>
        <w:t xml:space="preserve"> </w:t>
      </w:r>
    </w:p>
    <w:p>
      <w:pPr>
        <w:pBdr>
          <w:bottom w:val="single" w:color="C9A227" w:sz="6"/>
          <w:left w:val="single" w:color="C9A227" w:sz="6"/>
          <w:right w:val="single" w:color="C9A227" w:sz="6"/>
        </w:pBdr>
        <w:shd w:fill="FFF4D6" w:color="auto" w:val="clear"/>
        <w:spacing w:after="60"/>
      </w:pPr>
      <w:r>
        <w:rPr>
          <w:sz w:val="22"/>
          <w:szCs w:val="22"/>
        </w:rPr>
        <w:t xml:space="preserve"> </w:t>
      </w:r>
    </w:p>
    <w:p>
      <w:pPr>
        <w:pStyle w:val="Heading2"/>
        <w:spacing w:after="120" w:before="260"/>
      </w:pPr>
      <w:r>
        <w:rPr>
          <w:rFonts w:ascii="Georgia" w:cs="Georgia" w:eastAsia="Georgia" w:hAnsi="Georgia"/>
          <w:b/>
          <w:bCs/>
          <w:color w:val="1F3864"/>
          <w:sz w:val="25"/>
          <w:szCs w:val="25"/>
        </w:rPr>
        <w:t xml:space="preserve">Decision 3 — The Coda's fifth disclaimer</w:t>
      </w:r>
    </w:p>
    <w:p>
      <w:pPr>
        <w:spacing w:after="140"/>
      </w:pPr>
      <w:r>
        <w:rPr>
          <w:rFonts w:ascii="Georgia" w:cs="Georgia" w:eastAsia="Georgia" w:hAnsi="Georgia"/>
          <w:i/>
          <w:iCs/>
          <w:color w:val="777777"/>
          <w:sz w:val="19"/>
          <w:szCs w:val="19"/>
        </w:rPr>
        <w:t xml:space="preserve">Covers rows: (cccc)</w:t>
      </w:r>
    </w:p>
    <w:p>
      <w:pPr>
        <w:spacing w:after="150" w:line="290"/>
      </w:pPr>
      <w:r>
        <w:rPr>
          <w:rFonts w:ascii="Georgia" w:cs="Georgia" w:eastAsia="Georgia" w:hAnsi="Georgia"/>
          <w:b/>
          <w:bCs/>
          <w:sz w:val="22"/>
          <w:szCs w:val="22"/>
        </w:rPr>
        <w:t xml:space="preserve">The background.</w:t>
      </w:r>
      <w:r>
        <w:rPr>
          <w:rFonts w:ascii="Georgia" w:cs="Georgia" w:eastAsia="Georgia" w:hAnsi="Georgia"/>
          <w:sz w:val="22"/>
          <w:szCs w:val="22"/>
        </w:rPr>
        <w:t xml:space="preserve"> Coda §V reads: "Four disclaimers, stated flatly because each has been earned by a chapter." Your ruling that the consolidated state's constitutional form is open, and may be ornamental, has not yet reached the Coda. The row proposes a fifth disclaimer: the settlement is not claimed to be democratic. Crouch supplies the condition without the slur (the forms remain "fully in place" while control slips elsewhere, Crouch PDF p. 2); Bagehot supplies the instrument while refusing your valuation of it, since for him the dignified parts "raise the army, though they do not win the battle" (Bagehot PDF p. 21); David Stasavage, an American political scientist writing on representative assemblies, supplies the worked case, the Cortes of Castile keeping its forms while losing control and being abolished in 1665.</w:t>
      </w:r>
    </w:p>
    <w:p>
      <w:pPr>
        <w:spacing w:after="150" w:line="290"/>
      </w:pPr>
      <w:r>
        <w:rPr>
          <w:rFonts w:ascii="Georgia" w:cs="Georgia" w:eastAsia="Georgia" w:hAnsi="Georgia"/>
          <w:b/>
          <w:bCs/>
          <w:sz w:val="22"/>
          <w:szCs w:val="22"/>
        </w:rPr>
        <w:t xml:space="preserve">Why it matters.</w:t>
      </w:r>
      <w:r>
        <w:rPr>
          <w:rFonts w:ascii="Georgia" w:cs="Georgia" w:eastAsia="Georgia" w:hAnsi="Georgia"/>
          <w:sz w:val="22"/>
          <w:szCs w:val="22"/>
        </w:rPr>
        <w:t xml:space="preserve"> Small in words, large in effect. A book that predicts consolidation and declines to condemn it reads as commending it, and the Coda is the last place a reader looks for the distinction. Without the disclaimer, a reviewer can say the book's ending is complacent about democracy; with it, the two things you ruled apart are visibly kept apart at the end as well as the beginning.</w:t>
      </w:r>
    </w:p>
    <w:p>
      <w:pPr>
        <w:spacing w:after="150" w:line="290"/>
      </w:pPr>
      <w:r>
        <w:rPr>
          <w:rFonts w:ascii="Georgia" w:cs="Georgia" w:eastAsia="Georgia" w:hAnsi="Georgia"/>
          <w:b/>
          <w:bCs/>
          <w:sz w:val="22"/>
          <w:szCs w:val="22"/>
        </w:rPr>
        <w:t xml:space="preserve">Your choices.</w:t>
      </w:r>
      <w:r>
        <w:rPr>
          <w:rFonts w:ascii="Georgia" w:cs="Georgia" w:eastAsia="Georgia" w:hAnsi="Georgia"/>
          <w:sz w:val="22"/>
          <w:szCs w:val="22"/>
        </w:rPr>
        <w:t xml:space="preserve"> Choice A adds the fifth disclaimer, naming Crouch, Bagehot and Stasavage in one sentence each, with "ornamental democracy" appearing only as a back-reference to chapter 12, so that the coinage is introduced once and only once. This costs perhaps eighty words and depends on Decision 1 going A or C. Choice B leaves four disclaimers and lets chapter 12 carry the point alone. This costs nothing on the page and leaves the Coda's own summary of the wager silent on its most contestable implication.</w:t>
      </w:r>
    </w:p>
    <w:p>
      <w:pPr>
        <w:spacing w:after="150" w:line="290"/>
      </w:pPr>
      <w:r>
        <w:rPr>
          <w:rFonts w:ascii="Georgia" w:cs="Georgia" w:eastAsia="Georgia" w:hAnsi="Georgia"/>
          <w:b/>
          <w:bCs/>
          <w:sz w:val="22"/>
          <w:szCs w:val="22"/>
        </w:rPr>
        <w:t xml:space="preserve">My view.</w:t>
      </w:r>
      <w:r>
        <w:rPr>
          <w:rFonts w:ascii="Georgia" w:cs="Georgia" w:eastAsia="Georgia" w:hAnsi="Georgia"/>
          <w:sz w:val="22"/>
          <w:szCs w:val="22"/>
        </w:rPr>
        <w:t xml:space="preserve"> A, as a view: it is cheap, and the Coda is precisely where the sceptic checks what the author does and does not claim.</w:t>
      </w:r>
    </w:p>
    <w:p>
      <w:pPr>
        <w:pBdr>
          <w:top w:val="single" w:color="C9A227" w:sz="6"/>
          <w:left w:val="single" w:color="C9A227" w:sz="6"/>
          <w:right w:val="single" w:color="C9A227" w:sz="6"/>
        </w:pBdr>
        <w:shd w:fill="FFF4D6" w:color="auto" w:val="clear"/>
        <w:spacing w:after="60" w:before="200"/>
      </w:pPr>
      <w:r>
        <w:rPr>
          <w:rFonts w:ascii="Georgia" w:cs="Georgia" w:eastAsia="Georgia" w:hAnsi="Georgia"/>
          <w:b/>
          <w:bCs/>
          <w:color w:val="8A6D00"/>
          <w:sz w:val="23"/>
          <w:szCs w:val="23"/>
        </w:rPr>
        <w:t xml:space="preserve">YOUR RULING:  </w:t>
      </w:r>
    </w:p>
    <w:p>
      <w:pPr>
        <w:pBdr>
          <w:left w:val="single" w:color="C9A227" w:sz="6"/>
          <w:right w:val="single" w:color="C9A227" w:sz="6"/>
        </w:pBdr>
        <w:shd w:fill="FFF4D6" w:color="auto" w:val="clear"/>
        <w:spacing w:after="40"/>
      </w:pPr>
      <w:r>
        <w:rPr>
          <w:sz w:val="22"/>
          <w:szCs w:val="22"/>
        </w:rPr>
        <w:t xml:space="preserve"> </w:t>
      </w:r>
    </w:p>
    <w:p>
      <w:pPr>
        <w:pBdr>
          <w:left w:val="single" w:color="C9A227" w:sz="6"/>
          <w:right w:val="single" w:color="C9A227" w:sz="6"/>
        </w:pBdr>
        <w:shd w:fill="FFF4D6" w:color="auto" w:val="clear"/>
        <w:spacing w:after="40"/>
      </w:pPr>
      <w:r>
        <w:rPr>
          <w:sz w:val="22"/>
          <w:szCs w:val="22"/>
        </w:rPr>
        <w:t xml:space="preserve"> </w:t>
      </w:r>
    </w:p>
    <w:p>
      <w:pPr>
        <w:pBdr>
          <w:bottom w:val="single" w:color="C9A227" w:sz="6"/>
          <w:left w:val="single" w:color="C9A227" w:sz="6"/>
          <w:right w:val="single" w:color="C9A227" w:sz="6"/>
        </w:pBdr>
        <w:shd w:fill="FFF4D6" w:color="auto" w:val="clear"/>
        <w:spacing w:after="60"/>
      </w:pPr>
      <w:r>
        <w:rPr>
          <w:sz w:val="22"/>
          <w:szCs w:val="22"/>
        </w:rPr>
        <w:t xml:space="preserve"> </w:t>
      </w:r>
    </w:p>
    <w:p>
      <w:pPr>
        <w:pStyle w:val="Heading2"/>
        <w:spacing w:after="120" w:before="260"/>
      </w:pPr>
      <w:r>
        <w:rPr>
          <w:rFonts w:ascii="Georgia" w:cs="Georgia" w:eastAsia="Georgia" w:hAnsi="Georgia"/>
          <w:b/>
          <w:bCs/>
          <w:color w:val="1F3864"/>
          <w:sz w:val="25"/>
          <w:szCs w:val="25"/>
        </w:rPr>
        <w:t xml:space="preserve">Decision 4 — Conceding when the state does NOT acquire the stack: "decisive AND inescapable"</w:t>
      </w:r>
    </w:p>
    <w:p>
      <w:pPr>
        <w:spacing w:after="140"/>
      </w:pPr>
      <w:r>
        <w:rPr>
          <w:rFonts w:ascii="Georgia" w:cs="Georgia" w:eastAsia="Georgia" w:hAnsi="Georgia"/>
          <w:i/>
          <w:iCs/>
          <w:color w:val="777777"/>
          <w:sz w:val="19"/>
          <w:szCs w:val="19"/>
        </w:rPr>
        <w:t xml:space="preserve">Covers rows: (pppp)</w:t>
      </w:r>
    </w:p>
    <w:p>
      <w:pPr>
        <w:spacing w:after="150" w:line="290"/>
      </w:pPr>
      <w:r>
        <w:rPr>
          <w:rFonts w:ascii="Georgia" w:cs="Georgia" w:eastAsia="Georgia" w:hAnsi="Georgia"/>
          <w:b/>
          <w:bCs/>
          <w:sz w:val="22"/>
          <w:szCs w:val="22"/>
        </w:rPr>
        <w:t xml:space="preserve">The background.</w:t>
      </w:r>
      <w:r>
        <w:rPr>
          <w:rFonts w:ascii="Georgia" w:cs="Georgia" w:eastAsia="Georgia" w:hAnsi="Georgia"/>
          <w:sz w:val="22"/>
          <w:szCs w:val="22"/>
        </w:rPr>
        <w:t xml:space="preserve"> The book's fiscal limb says that once a capability becomes decisive and costs more than any subject can pay, the state with a permanent fisc acquires it. Chapter 12 §IV applies that to the present and rules, for the United States, that "the state will absorb the stack". Your spine §8(g) already lists this as item 4, a limb that may need narrowing.</w:t>
      </w:r>
    </w:p>
    <w:p>
      <w:pPr>
        <w:spacing w:after="150" w:line="290"/>
      </w:pPr>
      <w:r>
        <w:rPr>
          <w:rFonts w:ascii="Georgia" w:cs="Georgia" w:eastAsia="Georgia" w:hAnsi="Georgia"/>
          <w:sz w:val="22"/>
          <w:szCs w:val="22"/>
        </w:rPr>
        <w:t xml:space="preserve">Lepore's historical chapters, which rest on her own archival work and carry more weight than her contemporary ones, hold three dated cases in which a state wanted a data-processing stack, had the money, and did not get it. The American National Data Center, proposed in the 1960s, was "abandoned due to privacy concerns" and dubbed "the Snooping Machine". The Soviet OGAS, a planned nationwide computer network for running the economy, failed because "the process of developing the network was left to unregulated, independent contractors" (both at printed p. 59 / PDF p. 70). Chile's Cybersyn, Salvador Allende's real-time economic control room, was "abandoned after Pinochet took power in a coup in 1973" (printed p. 62 / PDF p. 73). In each case the state had the fiscal capacity; in each case private firms went on to build what the state could not. The assessment grades the book's present answer "good on the sequence, weak on the three failures", and recommends a concession in one clause: the mechanism predicts acquisition only where the capability is decisive AND the state's dependence on it inescapable. In 1960s data-processing neither held; the state could govern without it, and nothing decisive turned on it.</w:t>
      </w:r>
    </w:p>
    <w:p>
      <w:pPr>
        <w:spacing w:after="150" w:line="290"/>
      </w:pPr>
      <w:r>
        <w:rPr>
          <w:rFonts w:ascii="Georgia" w:cs="Georgia" w:eastAsia="Georgia" w:hAnsi="Georgia"/>
          <w:b/>
          <w:bCs/>
          <w:sz w:val="22"/>
          <w:szCs w:val="22"/>
        </w:rPr>
        <w:t xml:space="preserve">Why it matters.</w:t>
      </w:r>
      <w:r>
        <w:rPr>
          <w:rFonts w:ascii="Georgia" w:cs="Georgia" w:eastAsia="Georgia" w:hAnsi="Georgia"/>
          <w:sz w:val="22"/>
          <w:szCs w:val="22"/>
        </w:rPr>
        <w:t xml:space="preserve"> This touches the predictive claim directly, so it is large. Left alone, a reviewer with Lepore's chapter 3 in hand has three counter-examples to a limb the book states as a rule, and can argue the American state has a documented habit of abandoning exactly this kind of stack. Conceded, the same cases become the boundary of the claim, and the book's own falsifier sheet inherits a new obligation: Appendix C's indicator DC-4, which asks whether a public institution exists that could replace an essential supplier, must now show that present dependence is inescapable, not merely assert it. Lepore also names no such public substitute anywhere in her book, and that zero is worth recording in the DC-4 design note.</w:t>
      </w:r>
    </w:p>
    <w:p>
      <w:pPr>
        <w:spacing w:after="150" w:line="290"/>
      </w:pPr>
      <w:r>
        <w:rPr>
          <w:rFonts w:ascii="Georgia" w:cs="Georgia" w:eastAsia="Georgia" w:hAnsi="Georgia"/>
          <w:b/>
          <w:bCs/>
          <w:sz w:val="22"/>
          <w:szCs w:val="22"/>
        </w:rPr>
        <w:t xml:space="preserve">Your choices.</w:t>
      </w:r>
      <w:r>
        <w:rPr>
          <w:rFonts w:ascii="Georgia" w:cs="Georgia" w:eastAsia="Georgia" w:hAnsi="Georgia"/>
          <w:sz w:val="22"/>
          <w:szCs w:val="22"/>
        </w:rPr>
        <w:t xml:space="preserve"> Choice A adopts the concession: §IV gains one clause at the point where the fiscal half is stated ("decisive and inescapable"), the three failures are named in a note rather than the text, and DC-4's design note records that the indicator must demonstrate inescapability and that Lepore supplies no public substitute. This costs a clause, a note and a paragraph in the appendix. It buys a narrower claim that survives its own counter-examples, and it turns Lepore's three failures into the book's own evidence for why the present case is different. A reviewer would then have to argue that the present dependence is escapable, which is an argument on your ground.</w:t>
      </w:r>
    </w:p>
    <w:p>
      <w:pPr>
        <w:spacing w:after="150" w:line="290"/>
      </w:pPr>
      <w:r>
        <w:rPr>
          <w:rFonts w:ascii="Georgia" w:cs="Georgia" w:eastAsia="Georgia" w:hAnsi="Georgia"/>
          <w:sz w:val="22"/>
          <w:szCs w:val="22"/>
        </w:rPr>
        <w:t xml:space="preserve">Choice B keeps the fiscal limb as stated and treats the three failures as answered by sequence alone, the point your spine §8(c)(i) already makes, that abdication and absorption are consecutive rather than alternative. This costs nothing on the page. It buys a cleaner rule and leaves three named historical cases contradicting it, discoverable by anyone who reads a Pulitzer-winning historian's latest book.</w:t>
      </w:r>
    </w:p>
    <w:p>
      <w:pPr>
        <w:spacing w:after="150" w:line="290"/>
      </w:pPr>
      <w:r>
        <w:rPr>
          <w:rFonts w:ascii="Georgia" w:cs="Georgia" w:eastAsia="Georgia" w:hAnsi="Georgia"/>
          <w:b/>
          <w:bCs/>
          <w:sz w:val="22"/>
          <w:szCs w:val="22"/>
        </w:rPr>
        <w:t xml:space="preserve">My view.</w:t>
      </w:r>
      <w:r>
        <w:rPr>
          <w:rFonts w:ascii="Georgia" w:cs="Georgia" w:eastAsia="Georgia" w:hAnsi="Georgia"/>
          <w:sz w:val="22"/>
          <w:szCs w:val="22"/>
        </w:rPr>
        <w:t xml:space="preserve"> A, as a view: the concession is already true on the book's own account, it costs one clause, and the obligation it places on DC-4 is one the indicator should have carried anyway.</w:t>
      </w:r>
    </w:p>
    <w:p>
      <w:pPr>
        <w:pBdr>
          <w:top w:val="single" w:color="C9A227" w:sz="6"/>
          <w:left w:val="single" w:color="C9A227" w:sz="6"/>
          <w:right w:val="single" w:color="C9A227" w:sz="6"/>
        </w:pBdr>
        <w:shd w:fill="FFF4D6" w:color="auto" w:val="clear"/>
        <w:spacing w:after="60" w:before="200"/>
      </w:pPr>
      <w:r>
        <w:rPr>
          <w:rFonts w:ascii="Georgia" w:cs="Georgia" w:eastAsia="Georgia" w:hAnsi="Georgia"/>
          <w:b/>
          <w:bCs/>
          <w:color w:val="8A6D00"/>
          <w:sz w:val="23"/>
          <w:szCs w:val="23"/>
        </w:rPr>
        <w:t xml:space="preserve">YOUR RULING:  </w:t>
      </w:r>
    </w:p>
    <w:p>
      <w:pPr>
        <w:pBdr>
          <w:left w:val="single" w:color="C9A227" w:sz="6"/>
          <w:right w:val="single" w:color="C9A227" w:sz="6"/>
        </w:pBdr>
        <w:shd w:fill="FFF4D6" w:color="auto" w:val="clear"/>
        <w:spacing w:after="40"/>
      </w:pPr>
      <w:r>
        <w:rPr>
          <w:sz w:val="22"/>
          <w:szCs w:val="22"/>
        </w:rPr>
        <w:t xml:space="preserve"> </w:t>
      </w:r>
    </w:p>
    <w:p>
      <w:pPr>
        <w:pBdr>
          <w:left w:val="single" w:color="C9A227" w:sz="6"/>
          <w:right w:val="single" w:color="C9A227" w:sz="6"/>
        </w:pBdr>
        <w:shd w:fill="FFF4D6" w:color="auto" w:val="clear"/>
        <w:spacing w:after="40"/>
      </w:pPr>
      <w:r>
        <w:rPr>
          <w:sz w:val="22"/>
          <w:szCs w:val="22"/>
        </w:rPr>
        <w:t xml:space="preserve"> </w:t>
      </w:r>
    </w:p>
    <w:p>
      <w:pPr>
        <w:pBdr>
          <w:bottom w:val="single" w:color="C9A227" w:sz="6"/>
          <w:left w:val="single" w:color="C9A227" w:sz="6"/>
          <w:right w:val="single" w:color="C9A227" w:sz="6"/>
        </w:pBdr>
        <w:shd w:fill="FFF4D6" w:color="auto" w:val="clear"/>
        <w:spacing w:after="60"/>
      </w:pPr>
      <w:r>
        <w:rPr>
          <w:sz w:val="22"/>
          <w:szCs w:val="22"/>
        </w:rPr>
        <w:t xml:space="preserve"> </w:t>
      </w:r>
    </w:p>
    <w:p>
      <w:pPr>
        <w:pStyle w:val="Heading2"/>
        <w:spacing w:after="120" w:before="260"/>
      </w:pPr>
      <w:r>
        <w:rPr>
          <w:rFonts w:ascii="Georgia" w:cs="Georgia" w:eastAsia="Georgia" w:hAnsi="Georgia"/>
          <w:b/>
          <w:bCs/>
          <w:color w:val="1F3864"/>
          <w:sz w:val="25"/>
          <w:szCs w:val="25"/>
        </w:rPr>
        <w:t xml:space="preserve">Decision 5 — Where the modern analogy stops: administration yes, representation no</w:t>
      </w:r>
    </w:p>
    <w:p>
      <w:pPr>
        <w:spacing w:after="140"/>
      </w:pPr>
      <w:r>
        <w:rPr>
          <w:rFonts w:ascii="Georgia" w:cs="Georgia" w:eastAsia="Georgia" w:hAnsi="Georgia"/>
          <w:i/>
          <w:iCs/>
          <w:color w:val="777777"/>
          <w:sz w:val="19"/>
          <w:szCs w:val="19"/>
        </w:rPr>
        <w:t xml:space="preserve">Covers rows: (mmmm)</w:t>
      </w:r>
    </w:p>
    <w:p>
      <w:pPr>
        <w:spacing w:after="150" w:line="290"/>
      </w:pPr>
      <w:r>
        <w:rPr>
          <w:rFonts w:ascii="Georgia" w:cs="Georgia" w:eastAsia="Georgia" w:hAnsi="Georgia"/>
          <w:b/>
          <w:bCs/>
          <w:sz w:val="22"/>
          <w:szCs w:val="22"/>
        </w:rPr>
        <w:t xml:space="preserve">The background.</w:t>
      </w:r>
      <w:r>
        <w:rPr>
          <w:rFonts w:ascii="Georgia" w:cs="Georgia" w:eastAsia="Georgia" w:hAnsi="Georgia"/>
          <w:sz w:val="22"/>
          <w:szCs w:val="22"/>
        </w:rPr>
        <w:t xml:space="preserve"> Chapter 12 §III compares the identity-payments-legibility stack to two medieval and early-modern instruments of making a population visible to the state: the Spanish Inquisition's records and the Ottoman devşirme (the levy of Christian boys for imperial service, which required registers of who lived where). The draft's sentence reads: "the comparison licenses nothing beyond the observation that uniform legibility is a governing </w:t>
      </w:r>
      <w:r>
        <w:rPr>
          <w:rFonts w:ascii="Georgia" w:cs="Georgia" w:eastAsia="Georgia" w:hAnsi="Georgia"/>
          <w:i/>
          <w:iCs/>
          <w:sz w:val="22"/>
          <w:szCs w:val="22"/>
        </w:rPr>
        <w:t xml:space="preserve">capacity</w:t>
      </w:r>
      <w:r>
        <w:rPr>
          <w:rFonts w:ascii="Georgia" w:cs="Georgia" w:eastAsia="Georgia" w:hAnsi="Georgia"/>
          <w:sz w:val="22"/>
          <w:szCs w:val="22"/>
        </w:rPr>
        <w:t xml:space="preserve"> — the capacity the Inquisition and the devşirme built by force and the API builds by default [ANALOGY-ONLY beyond that point]". The flag is a project marker meaning that a passage rests on resemblance rather than mechanism and needs your decision; the draft currently leaves it open with a bare "beyond that point", which states no limit.</w:t>
      </w:r>
    </w:p>
    <w:p>
      <w:pPr>
        <w:spacing w:after="150" w:line="290"/>
      </w:pPr>
      <w:r>
        <w:rPr>
          <w:rFonts w:ascii="Georgia" w:cs="Georgia" w:eastAsia="Georgia" w:hAnsi="Georgia"/>
          <w:sz w:val="22"/>
          <w:szCs w:val="22"/>
        </w:rPr>
        <w:t xml:space="preserve">Lepore supplies the limit. She draws a line three times between technologies that assist government and systems that replace it. The load-bearing sentence is on Cold War computing, which served "government administration of everything from welfare provision to national security. Only later would these tools be applied, by private companies, as substitutes for the democratic functions of representation, deliberation, and participation" (printed p. 38 / PDF p. 49). Her two-sided formula follows: "The ability to count gave the state power; the ability to be counted gave the people power" (printed p. 94 / PDF p. 107). The line is administration against representation: machines may administer; they may not represent.</w:t>
      </w:r>
    </w:p>
    <w:p>
      <w:pPr>
        <w:spacing w:after="150" w:line="290"/>
      </w:pPr>
      <w:r>
        <w:rPr>
          <w:rFonts w:ascii="Georgia" w:cs="Georgia" w:eastAsia="Georgia" w:hAnsi="Georgia"/>
          <w:sz w:val="22"/>
          <w:szCs w:val="22"/>
        </w:rPr>
        <w:t xml:space="preserve">The same distinction answers a question the rest of chapter 12 leaves hanging. §IV rules that the American state will absorb the stack, and your ruling made the constitutional form of what results an open question (claim 3(ii)). Lepore's line gives that question its criterion: not whether the state acquires the stack, but whether what it acquires is administrative capacity or the representative function itself. The identity-payments-legibility stack straddles the line, which is why the question is live. The same criterion would enter chapter 9 §IX, which asks "what happens to a constitution when its efficient part migrates".</w:t>
      </w:r>
    </w:p>
    <w:p>
      <w:pPr>
        <w:spacing w:after="150" w:line="290"/>
      </w:pPr>
      <w:r>
        <w:rPr>
          <w:rFonts w:ascii="Georgia" w:cs="Georgia" w:eastAsia="Georgia" w:hAnsi="Georgia"/>
          <w:b/>
          <w:bCs/>
          <w:sz w:val="22"/>
          <w:szCs w:val="22"/>
        </w:rPr>
        <w:t xml:space="preserve">Why it matters.</w:t>
      </w:r>
      <w:r>
        <w:rPr>
          <w:rFonts w:ascii="Georgia" w:cs="Georgia" w:eastAsia="Georgia" w:hAnsi="Georgia"/>
          <w:sz w:val="22"/>
          <w:szCs w:val="22"/>
        </w:rPr>
        <w:t xml:space="preserve"> It is a medium-sized point on the page and a large one in the argument, because the flag marks the one place in Part III where the book itself admits it may be arguing from resemblance. Left as "beyond that point", a reviewer says the author knew the analogy was thin and did not say where it stopped. Narrowed, the flag becomes a stated limit with two pins, and the limit does double duty as the criterion for the open half of the third claim. Note the narrowing is not a closure: Lepore gives a principled stopping line but no mechanism for how episodic legibility (a census) became continuous legibility (a platform), so the flag stays, narrowed.</w:t>
      </w:r>
    </w:p>
    <w:p>
      <w:pPr>
        <w:spacing w:after="150" w:line="290"/>
      </w:pPr>
      <w:r>
        <w:rPr>
          <w:rFonts w:ascii="Georgia" w:cs="Georgia" w:eastAsia="Georgia" w:hAnsi="Georgia"/>
          <w:b/>
          <w:bCs/>
          <w:sz w:val="22"/>
          <w:szCs w:val="22"/>
        </w:rPr>
        <w:t xml:space="preserve">Your choices.</w:t>
      </w:r>
      <w:r>
        <w:rPr>
          <w:rFonts w:ascii="Georgia" w:cs="Georgia" w:eastAsia="Georgia" w:hAnsi="Georgia"/>
          <w:sz w:val="22"/>
          <w:szCs w:val="22"/>
        </w:rPr>
        <w:t xml:space="preserve"> Choice A narrows the flag: "beyond that point" is replaced by a stated limit (the comparison carries the administrative capacity and its two-sidedness and stops at the representative function), with Lepore's two sentences in the note; §IV gains one sentence making the same distinction the criterion for claim 3(ii); chapter 9 §IX's close gains the same criterion for what the efficient part's migration would consist in. This costs three sentences across two chapters. It buys a stated boundary, a criterion for your own open question, and the removal of the draft's most visible hedge. Lepore carries only the formula; the evidential weight stays on the primary documents already in the sources (the tax-information exchange regimes, Aadhaar, the GENIUS Act, the e-CNY).</w:t>
      </w:r>
    </w:p>
    <w:p>
      <w:pPr>
        <w:spacing w:after="150" w:line="290"/>
      </w:pPr>
      <w:r>
        <w:rPr>
          <w:rFonts w:ascii="Georgia" w:cs="Georgia" w:eastAsia="Georgia" w:hAnsi="Georgia"/>
          <w:sz w:val="22"/>
          <w:szCs w:val="22"/>
        </w:rPr>
        <w:t xml:space="preserve">Choice B leaves the flag as it is, for you to resolve at the bridge rewrite. This costs nothing now and keeps the analogy joints yours, as the doctrine says they are. It leaves the book's own admission of thinness standing unresolved through another pass, and forgoes a criterion that §IV and chapter 9 both need.</w:t>
      </w:r>
    </w:p>
    <w:p>
      <w:pPr>
        <w:spacing w:after="150" w:line="290"/>
      </w:pPr>
      <w:r>
        <w:rPr>
          <w:rFonts w:ascii="Georgia" w:cs="Georgia" w:eastAsia="Georgia" w:hAnsi="Georgia"/>
          <w:b/>
          <w:bCs/>
          <w:sz w:val="22"/>
          <w:szCs w:val="22"/>
        </w:rPr>
        <w:t xml:space="preserve">My view.</w:t>
      </w:r>
      <w:r>
        <w:rPr>
          <w:rFonts w:ascii="Georgia" w:cs="Georgia" w:eastAsia="Georgia" w:hAnsi="Georgia"/>
          <w:sz w:val="22"/>
          <w:szCs w:val="22"/>
        </w:rPr>
        <w:t xml:space="preserve"> A, as a view: the limit is principled, the two pins are clean, and the criterion is one the book needs regardless of where the analogy stops.</w:t>
      </w:r>
    </w:p>
    <w:p>
      <w:pPr>
        <w:pBdr>
          <w:top w:val="single" w:color="C9A227" w:sz="6"/>
          <w:left w:val="single" w:color="C9A227" w:sz="6"/>
          <w:right w:val="single" w:color="C9A227" w:sz="6"/>
        </w:pBdr>
        <w:shd w:fill="FFF4D6" w:color="auto" w:val="clear"/>
        <w:spacing w:after="60" w:before="200"/>
      </w:pPr>
      <w:r>
        <w:rPr>
          <w:rFonts w:ascii="Georgia" w:cs="Georgia" w:eastAsia="Georgia" w:hAnsi="Georgia"/>
          <w:b/>
          <w:bCs/>
          <w:color w:val="8A6D00"/>
          <w:sz w:val="23"/>
          <w:szCs w:val="23"/>
        </w:rPr>
        <w:t xml:space="preserve">YOUR RULING:  </w:t>
      </w:r>
    </w:p>
    <w:p>
      <w:pPr>
        <w:pBdr>
          <w:left w:val="single" w:color="C9A227" w:sz="6"/>
          <w:right w:val="single" w:color="C9A227" w:sz="6"/>
        </w:pBdr>
        <w:shd w:fill="FFF4D6" w:color="auto" w:val="clear"/>
        <w:spacing w:after="40"/>
      </w:pPr>
      <w:r>
        <w:rPr>
          <w:sz w:val="22"/>
          <w:szCs w:val="22"/>
        </w:rPr>
        <w:t xml:space="preserve"> </w:t>
      </w:r>
    </w:p>
    <w:p>
      <w:pPr>
        <w:pBdr>
          <w:left w:val="single" w:color="C9A227" w:sz="6"/>
          <w:right w:val="single" w:color="C9A227" w:sz="6"/>
        </w:pBdr>
        <w:shd w:fill="FFF4D6" w:color="auto" w:val="clear"/>
        <w:spacing w:after="40"/>
      </w:pPr>
      <w:r>
        <w:rPr>
          <w:sz w:val="22"/>
          <w:szCs w:val="22"/>
        </w:rPr>
        <w:t xml:space="preserve"> </w:t>
      </w:r>
    </w:p>
    <w:p>
      <w:pPr>
        <w:pBdr>
          <w:bottom w:val="single" w:color="C9A227" w:sz="6"/>
          <w:left w:val="single" w:color="C9A227" w:sz="6"/>
          <w:right w:val="single" w:color="C9A227" w:sz="6"/>
        </w:pBdr>
        <w:shd w:fill="FFF4D6" w:color="auto" w:val="clear"/>
        <w:spacing w:after="60"/>
      </w:pPr>
      <w:r>
        <w:rPr>
          <w:sz w:val="22"/>
          <w:szCs w:val="22"/>
        </w:rPr>
        <w:t xml:space="preserve"> </w:t>
      </w:r>
    </w:p>
    <w:p>
      <w:pPr>
        <w:pStyle w:val="Heading2"/>
        <w:spacing w:after="120" w:before="260"/>
      </w:pPr>
      <w:r>
        <w:rPr>
          <w:rFonts w:ascii="Georgia" w:cs="Georgia" w:eastAsia="Georgia" w:hAnsi="Georgia"/>
          <w:b/>
          <w:bCs/>
          <w:color w:val="1F3864"/>
          <w:sz w:val="25"/>
          <w:szCs w:val="25"/>
        </w:rPr>
        <w:t xml:space="preserve">Decision 6 — The trust-busting sentence and the deregulation record</w:t>
      </w:r>
    </w:p>
    <w:p>
      <w:pPr>
        <w:spacing w:after="140"/>
      </w:pPr>
      <w:r>
        <w:rPr>
          <w:rFonts w:ascii="Georgia" w:cs="Georgia" w:eastAsia="Georgia" w:hAnsi="Georgia"/>
          <w:i/>
          <w:iCs/>
          <w:color w:val="777777"/>
          <w:sz w:val="19"/>
          <w:szCs w:val="19"/>
        </w:rPr>
        <w:t xml:space="preserve">Covers rows: (nnnn)</w:t>
      </w:r>
    </w:p>
    <w:p>
      <w:pPr>
        <w:spacing w:after="150" w:line="290"/>
      </w:pPr>
      <w:r>
        <w:rPr>
          <w:rFonts w:ascii="Georgia" w:cs="Georgia" w:eastAsia="Georgia" w:hAnsi="Georgia"/>
          <w:b/>
          <w:bCs/>
          <w:sz w:val="22"/>
          <w:szCs w:val="22"/>
        </w:rPr>
        <w:t xml:space="preserve">The background.</w:t>
      </w:r>
      <w:r>
        <w:rPr>
          <w:rFonts w:ascii="Georgia" w:cs="Georgia" w:eastAsia="Georgia" w:hAnsi="Georgia"/>
          <w:sz w:val="22"/>
          <w:szCs w:val="22"/>
        </w:rPr>
        <w:t xml:space="preserve"> Chapter 12 §IV describes the American state's instinct towards the platforms: "and its present instinct, when it reaches for them, is usually described — sometimes by its own officials — in the vocabulary of the trust-busting age, as though the platforms were its Rockefeller moment and the remedy a dramatic dissolution". Lepore's record of 2023 to 2026 runs the other way: the industry used the race with China "to defeat, among other initiatives, antitrust [reform] … Protection law, and an AI Accountability law" (printed p. 107 / PDF p. 121), and the 2025 AI Action Plan relieved "all AI infrastructure projects of the burdens of environmental review" (printed p. 222 / PDF p. 238). A warning: the page 107 sentence comes from a sheared phone-scan page and has been reconstructed; it is marked pending verification and may not be quoted until the page image is read. The page 222 pin is clean.</w:t>
      </w:r>
    </w:p>
    <w:p>
      <w:pPr>
        <w:spacing w:after="150" w:line="290"/>
      </w:pPr>
      <w:r>
        <w:rPr>
          <w:rFonts w:ascii="Georgia" w:cs="Georgia" w:eastAsia="Georgia" w:hAnsi="Georgia"/>
          <w:b/>
          <w:bCs/>
          <w:sz w:val="22"/>
          <w:szCs w:val="22"/>
        </w:rPr>
        <w:t xml:space="preserve">Why it matters.</w:t>
      </w:r>
      <w:r>
        <w:rPr>
          <w:rFonts w:ascii="Georgia" w:cs="Georgia" w:eastAsia="Georgia" w:hAnsi="Georgia"/>
          <w:sz w:val="22"/>
          <w:szCs w:val="22"/>
        </w:rPr>
        <w:t xml:space="preserve"> A small point, but a factual one on a contemporary claim, and the project's rules require contemporary claims to rest on primary documents. As drafted, the sentence describes one strand of the American response as if it were the strand. A reviewer who has read Lepore, or the newspapers, will note that the same years saw antitrust reform defeated and infrastructure deregulated, and will ask why the book noticed only the trust-busters.</w:t>
      </w:r>
    </w:p>
    <w:p>
      <w:pPr>
        <w:spacing w:after="150" w:line="290"/>
      </w:pPr>
      <w:r>
        <w:rPr>
          <w:rFonts w:ascii="Georgia" w:cs="Georgia" w:eastAsia="Georgia" w:hAnsi="Georgia"/>
          <w:b/>
          <w:bCs/>
          <w:sz w:val="22"/>
          <w:szCs w:val="22"/>
        </w:rPr>
        <w:t xml:space="preserve">Your choices.</w:t>
      </w:r>
      <w:r>
        <w:rPr>
          <w:rFonts w:ascii="Georgia" w:cs="Georgia" w:eastAsia="Georgia" w:hAnsi="Georgia"/>
          <w:sz w:val="22"/>
          <w:szCs w:val="22"/>
        </w:rPr>
        <w:t xml:space="preserve"> Choice A keeps the sentence and adds the counter-instinct: the deregulatory record of 2023 to 2026 is stated as the other strand, sourced to the Action Plan itself rather than to Lepore, so the trust-busting sentence reads as one strand and not the strand. This costs a clause and a primary citation. It buys a sentence that survives the record. Choice B leaves the sentence as it stands. This costs nothing and leaves an easy correction available to any reviewer.</w:t>
      </w:r>
    </w:p>
    <w:p>
      <w:pPr>
        <w:spacing w:after="150" w:line="290"/>
      </w:pPr>
      <w:r>
        <w:rPr>
          <w:rFonts w:ascii="Georgia" w:cs="Georgia" w:eastAsia="Georgia" w:hAnsi="Georgia"/>
          <w:b/>
          <w:bCs/>
          <w:sz w:val="22"/>
          <w:szCs w:val="22"/>
        </w:rPr>
        <w:t xml:space="preserve">My view.</w:t>
      </w:r>
      <w:r>
        <w:rPr>
          <w:rFonts w:ascii="Georgia" w:cs="Georgia" w:eastAsia="Georgia" w:hAnsi="Georgia"/>
          <w:sz w:val="22"/>
          <w:szCs w:val="22"/>
        </w:rPr>
        <w:t xml:space="preserve"> A, as a view: the correction is cheap and the page 222 primary is already identified; only the page 107 quotation should wait for verification.</w:t>
      </w:r>
    </w:p>
    <w:p>
      <w:pPr>
        <w:pBdr>
          <w:top w:val="single" w:color="C9A227" w:sz="6"/>
          <w:left w:val="single" w:color="C9A227" w:sz="6"/>
          <w:right w:val="single" w:color="C9A227" w:sz="6"/>
        </w:pBdr>
        <w:shd w:fill="FFF4D6" w:color="auto" w:val="clear"/>
        <w:spacing w:after="60" w:before="200"/>
      </w:pPr>
      <w:r>
        <w:rPr>
          <w:rFonts w:ascii="Georgia" w:cs="Georgia" w:eastAsia="Georgia" w:hAnsi="Georgia"/>
          <w:b/>
          <w:bCs/>
          <w:color w:val="8A6D00"/>
          <w:sz w:val="23"/>
          <w:szCs w:val="23"/>
        </w:rPr>
        <w:t xml:space="preserve">YOUR RULING:  </w:t>
      </w:r>
    </w:p>
    <w:p>
      <w:pPr>
        <w:pBdr>
          <w:left w:val="single" w:color="C9A227" w:sz="6"/>
          <w:right w:val="single" w:color="C9A227" w:sz="6"/>
        </w:pBdr>
        <w:shd w:fill="FFF4D6" w:color="auto" w:val="clear"/>
        <w:spacing w:after="40"/>
      </w:pPr>
      <w:r>
        <w:rPr>
          <w:sz w:val="22"/>
          <w:szCs w:val="22"/>
        </w:rPr>
        <w:t xml:space="preserve"> </w:t>
      </w:r>
    </w:p>
    <w:p>
      <w:pPr>
        <w:pBdr>
          <w:left w:val="single" w:color="C9A227" w:sz="6"/>
          <w:right w:val="single" w:color="C9A227" w:sz="6"/>
        </w:pBdr>
        <w:shd w:fill="FFF4D6" w:color="auto" w:val="clear"/>
        <w:spacing w:after="40"/>
      </w:pPr>
      <w:r>
        <w:rPr>
          <w:sz w:val="22"/>
          <w:szCs w:val="22"/>
        </w:rPr>
        <w:t xml:space="preserve"> </w:t>
      </w:r>
    </w:p>
    <w:p>
      <w:pPr>
        <w:pBdr>
          <w:bottom w:val="single" w:color="C9A227" w:sz="6"/>
          <w:left w:val="single" w:color="C9A227" w:sz="6"/>
          <w:right w:val="single" w:color="C9A227" w:sz="6"/>
        </w:pBdr>
        <w:shd w:fill="FFF4D6" w:color="auto" w:val="clear"/>
        <w:spacing w:after="60"/>
      </w:pPr>
      <w:r>
        <w:rPr>
          <w:sz w:val="22"/>
          <w:szCs w:val="22"/>
        </w:rPr>
        <w:t xml:space="preserve"> </w:t>
      </w:r>
    </w:p>
    <w:p>
      <w:pPr>
        <w:pStyle w:val="Heading2"/>
        <w:spacing w:after="120" w:before="260"/>
      </w:pPr>
      <w:r>
        <w:rPr>
          <w:rFonts w:ascii="Georgia" w:cs="Georgia" w:eastAsia="Georgia" w:hAnsi="Georgia"/>
          <w:b/>
          <w:bCs/>
          <w:color w:val="1F3864"/>
          <w:sz w:val="25"/>
          <w:szCs w:val="25"/>
        </w:rPr>
        <w:t xml:space="preserve">Decision 7 — Which half of the reassertion has already happened: the "layered tense"</w:t>
      </w:r>
    </w:p>
    <w:p>
      <w:pPr>
        <w:spacing w:after="140"/>
      </w:pPr>
      <w:r>
        <w:rPr>
          <w:rFonts w:ascii="Georgia" w:cs="Georgia" w:eastAsia="Georgia" w:hAnsi="Georgia"/>
          <w:i/>
          <w:iCs/>
          <w:color w:val="777777"/>
          <w:sz w:val="19"/>
          <w:szCs w:val="19"/>
        </w:rPr>
        <w:t xml:space="preserve">Covers rows: (ll), (eeee) and (vvv)</w:t>
      </w:r>
    </w:p>
    <w:p>
      <w:pPr>
        <w:spacing w:after="150" w:line="290"/>
      </w:pPr>
      <w:r>
        <w:rPr>
          <w:rFonts w:ascii="Georgia" w:cs="Georgia" w:eastAsia="Georgia" w:hAnsi="Georgia"/>
          <w:b/>
          <w:bCs/>
          <w:sz w:val="22"/>
          <w:szCs w:val="22"/>
        </w:rPr>
        <w:t xml:space="preserve">The background.</w:t>
      </w:r>
      <w:r>
        <w:rPr>
          <w:rFonts w:ascii="Georgia" w:cs="Georgia" w:eastAsia="Georgia" w:hAnsi="Georgia"/>
          <w:sz w:val="22"/>
          <w:szCs w:val="22"/>
        </w:rPr>
        <w:t xml:space="preserve"> The book's contemporary wager is written in a single tense: the state's reassertion over the tech barons lies ahead. Chapter 12 §III says of the modern state, "Its legibility is infrastructural and persistent"; §IV says "the state will absorb the stack"; chapter 1 §V says "The disaggregated state was not the destination"; chapter 8 §VII's modern bridge calls the present reassertion "early in its arc"; and Coda §I says the mechanism "operated once, in the documented case Part II reconstructs", and then states the present-day wager in the future tense. Your spine §7 rules that the reassertion is compelled but not accomplished.</w:t>
      </w:r>
    </w:p>
    <w:p>
      <w:pPr>
        <w:spacing w:after="150" w:line="290"/>
      </w:pPr>
      <w:r>
        <w:rPr>
          <w:rFonts w:ascii="Georgia" w:cs="Georgia" w:eastAsia="Georgia" w:hAnsi="Georgia"/>
          <w:sz w:val="22"/>
          <w:szCs w:val="22"/>
        </w:rPr>
        <w:t xml:space="preserve">Two works now in the corpus show that half of it was accomplished twenty years ago, and cheaply. Jack Goldsmith and Tim Wu, two American law professors, in </w:t>
      </w:r>
      <w:r>
        <w:rPr>
          <w:rFonts w:ascii="Georgia" w:cs="Georgia" w:eastAsia="Georgia" w:hAnsi="Georgia"/>
          <w:i/>
          <w:iCs/>
          <w:sz w:val="22"/>
          <w:szCs w:val="22"/>
        </w:rPr>
        <w:t xml:space="preserve">Who Controls the Internet?</w:t>
      </w:r>
      <w:r>
        <w:rPr>
          <w:rFonts w:ascii="Georgia" w:cs="Georgia" w:eastAsia="Georgia" w:hAnsi="Georgia"/>
          <w:sz w:val="22"/>
          <w:szCs w:val="22"/>
        </w:rPr>
        <w:t xml:space="preserve"> (Oxford, 2006), documented how states took back the internet's legibility layer between 2000 and 2006. Legibility, in the book's sense, means the state's ability to see who is who and what is where; on the internet it covers identity, payments, content and the "canon", the book's word for which rules count. Their point is that no fiscal threshold was crossed to do it. "Government regulation works by cost and bother, not by hermetic seal" (p. 68). Internet service providers were "already some of the most regulated companies on earth" (p. 73). When the United States wanted to stop online cigarette sales, the Bureau of Alcohol, Tobacco and Firearms "simply ordered Visa, MasterCard, and AmEx to stop taking online cigarette orders… And that is how, without ever laying a finger on online sellers, the government can impose its power, often without even needing to go to court" (pp. 76–77). Filtering costs nothing because "the router itself has become the censor" (p. 94). The outcome is stated as done: "what we once called a global network is becoming a collection of nation-state networks" (p. 149), and "physical coercion by government—the hallmark of a traditional legal system—remains far more important than anyone expected" (p. 180). Henry Farrell and Abraham Newman, in their 2019 article "Weaponized Interdependence", explain how the state came by those levers: "The asymmetric networks that make up much of the structure of a globalized world were not constructed as tools of statecraft" (2019: 54); states inherited them by jurisdictional accident, without a penny of new taxation.</w:t>
      </w:r>
    </w:p>
    <w:p>
      <w:pPr>
        <w:spacing w:after="150" w:line="290"/>
      </w:pPr>
      <w:r>
        <w:rPr>
          <w:rFonts w:ascii="Georgia" w:cs="Georgia" w:eastAsia="Georgia" w:hAnsi="Georgia"/>
          <w:sz w:val="22"/>
          <w:szCs w:val="22"/>
        </w:rPr>
        <w:t xml:space="preserve">Put plainly: the book's mechanism says the state gets control of a decisive capability because only a permanent fisc can pay for it. On the identity-payments-legibility stack, the state got control by sending letters to intermediaries. That is not the mechanism. It is a rival explanation for half of what the book predicts, and it explains events that took place before the book says its mechanism started running.</w:t>
      </w:r>
    </w:p>
    <w:p>
      <w:pPr>
        <w:spacing w:after="150" w:line="290"/>
      </w:pPr>
      <w:r>
        <w:rPr>
          <w:rFonts w:ascii="Georgia" w:cs="Georgia" w:eastAsia="Georgia" w:hAnsi="Georgia"/>
          <w:b/>
          <w:bCs/>
          <w:sz w:val="22"/>
          <w:szCs w:val="22"/>
        </w:rPr>
        <w:t xml:space="preserve">Why it matters.</w:t>
      </w:r>
      <w:r>
        <w:rPr>
          <w:rFonts w:ascii="Georgia" w:cs="Georgia" w:eastAsia="Georgia" w:hAnsi="Georgia"/>
          <w:sz w:val="22"/>
          <w:szCs w:val="22"/>
        </w:rPr>
        <w:t xml:space="preserve"> This is the largest register change on the sheet, and it touches spine §7 and sentences in four chapters and the Coda. Left alone, a reviewer holds up a 2006 monograph showing half the predicted reassertion already complete, without any fiscal threshold, and says the book did not notice. That puts the wager's calibration in question, not just a sentence. The honest response is not a reversal but a narrowing. The mechanism's claim over the legibility stack is confined to two things it can defend: scale (Goldsmith and Wu themselves note that intermediary control "is generally less effective in small nations", pp. 81–82) and fusion, the point at which the legibility layer is joined to the chokepoint layer, the compute, chips, satellites and munitions where the fiscal cost begins. The state could mandate the canon by letter; holding the plant costs money, and that is where the book's mechanism starts. Saying so requires the book to speak in two tenses at once: the past tense for canon and register, accomplished between 2000 and 2006 by cheap legal coercion of local intermediaries, and the present-conditional for the decisive stack, compelled and unaccomplished. That is the layered tense.</w:t>
      </w:r>
    </w:p>
    <w:p>
      <w:pPr>
        <w:spacing w:after="150" w:line="290"/>
      </w:pPr>
      <w:r>
        <w:rPr>
          <w:rFonts w:ascii="Georgia" w:cs="Georgia" w:eastAsia="Georgia" w:hAnsi="Georgia"/>
          <w:b/>
          <w:bCs/>
          <w:sz w:val="22"/>
          <w:szCs w:val="22"/>
        </w:rPr>
        <w:t xml:space="preserve">Your choices.</w:t>
      </w:r>
      <w:r>
        <w:rPr>
          <w:rFonts w:ascii="Georgia" w:cs="Georgia" w:eastAsia="Georgia" w:hAnsi="Georgia"/>
          <w:sz w:val="22"/>
          <w:szCs w:val="22"/>
        </w:rPr>
        <w:t xml:space="preserve"> Choice A adopts the layered tense throughout. The affected sentences in chapter 12 §§III–IV, chapter 1 §V and chapter 2 §§III and VI are recast; spine §7 gains a register amendment; chapter 8 §VII replaces "early in its arc" with a sentence that puts the early arc where it belongs, the hierarchical ranking of fora since 2018, above an intermediary coercion finished by 2006; and Coda §I gains a clause conceding that the legibility stack was substantially re-territorialised by ordinary law before the mechanism ran, that the mechanism's claim over it is confined to scale and fusion, and that the fiscal threshold is therefore defended on the decisive military stack alone. The cost is real: perhaps a dozen sentences across four chapters, 120 to 180 words in the book's most compressed section, and the surrender of a satisfying single tense. It buys the strongest possible position against a reviewer who knows this literature, because the concession is made in your own voice and turns Goldsmith and Wu from rival into the fullest documentation of the state taking the cheap half first. It also makes the book more interesting: a mechanism that explains why the state must move from mandating the canon to holding the plant is a better book than one that treats both as pending.</w:t>
      </w:r>
    </w:p>
    <w:p>
      <w:pPr>
        <w:spacing w:after="150" w:line="290"/>
      </w:pPr>
      <w:r>
        <w:rPr>
          <w:rFonts w:ascii="Georgia" w:cs="Georgia" w:eastAsia="Georgia" w:hAnsi="Georgia"/>
          <w:sz w:val="22"/>
          <w:szCs w:val="22"/>
        </w:rPr>
        <w:t xml:space="preserve">Choice B adopts the layered tense in the chapters but keeps the Coda's present tenses, on the ground that a method note is the wrong place to relitigate evidence. This saves the Coda's economy, which is worth something. It leaves the book's own summary of its claim, strictly read, behind the record on half the stack it claims, and a sceptical reader looks in the Coda for exactly that summary.</w:t>
      </w:r>
    </w:p>
    <w:p>
      <w:pPr>
        <w:spacing w:after="150" w:line="290"/>
      </w:pPr>
      <w:r>
        <w:rPr>
          <w:rFonts w:ascii="Georgia" w:cs="Georgia" w:eastAsia="Georgia" w:hAnsi="Georgia"/>
          <w:sz w:val="22"/>
          <w:szCs w:val="22"/>
        </w:rPr>
        <w:t xml:space="preserve">Choice C keeps the single unaccomplished tense everywhere. Nothing is rewritten and the forward-leaning register survives intact. The cost is the reviewer with the 2006 monograph, and the inference that follows, that the book's contemporary reading is thinner than its medieval one.</w:t>
      </w:r>
    </w:p>
    <w:p>
      <w:pPr>
        <w:spacing w:after="150" w:line="290"/>
      </w:pPr>
      <w:r>
        <w:rPr>
          <w:rFonts w:ascii="Georgia" w:cs="Georgia" w:eastAsia="Georgia" w:hAnsi="Georgia"/>
          <w:sz w:val="22"/>
          <w:szCs w:val="22"/>
        </w:rPr>
        <w:t xml:space="preserve">There is one sub-choice inside A. Row (eeee) also proposes that Coda §I read the artillery ratchet as its French form, with Jan Glete's early-modern navies named as a second form of the same capital-intensity effect, since navies were state monopolies from the start without any wall being broken (Glete, p. 39). That is a separate concession, cheap, and it makes the mechanism broader rather than narrower; it can be taken with A or B.</w:t>
      </w:r>
    </w:p>
    <w:p>
      <w:pPr>
        <w:spacing w:after="150" w:line="290"/>
      </w:pPr>
      <w:r>
        <w:rPr>
          <w:rFonts w:ascii="Georgia" w:cs="Georgia" w:eastAsia="Georgia" w:hAnsi="Georgia"/>
          <w:b/>
          <w:bCs/>
          <w:sz w:val="22"/>
          <w:szCs w:val="22"/>
        </w:rPr>
        <w:t xml:space="preserve">My view.</w:t>
      </w:r>
      <w:r>
        <w:rPr>
          <w:rFonts w:ascii="Georgia" w:cs="Georgia" w:eastAsia="Georgia" w:hAnsi="Georgia"/>
          <w:sz w:val="22"/>
          <w:szCs w:val="22"/>
        </w:rPr>
        <w:t xml:space="preserve"> A, as a view: the two-tense position is both the more honest and the more interesting claim, and the Coda is where the sceptic will look for it, so it should not be left to chapter 12 alone.</w:t>
      </w:r>
    </w:p>
    <w:p>
      <w:pPr>
        <w:pBdr>
          <w:top w:val="single" w:color="C9A227" w:sz="6"/>
          <w:left w:val="single" w:color="C9A227" w:sz="6"/>
          <w:right w:val="single" w:color="C9A227" w:sz="6"/>
        </w:pBdr>
        <w:shd w:fill="FFF4D6" w:color="auto" w:val="clear"/>
        <w:spacing w:after="60" w:before="200"/>
      </w:pPr>
      <w:r>
        <w:rPr>
          <w:rFonts w:ascii="Georgia" w:cs="Georgia" w:eastAsia="Georgia" w:hAnsi="Georgia"/>
          <w:b/>
          <w:bCs/>
          <w:color w:val="8A6D00"/>
          <w:sz w:val="23"/>
          <w:szCs w:val="23"/>
        </w:rPr>
        <w:t xml:space="preserve">YOUR RULING:  </w:t>
      </w:r>
    </w:p>
    <w:p>
      <w:pPr>
        <w:pBdr>
          <w:left w:val="single" w:color="C9A227" w:sz="6"/>
          <w:right w:val="single" w:color="C9A227" w:sz="6"/>
        </w:pBdr>
        <w:shd w:fill="FFF4D6" w:color="auto" w:val="clear"/>
        <w:spacing w:after="40"/>
      </w:pPr>
      <w:r>
        <w:rPr>
          <w:sz w:val="22"/>
          <w:szCs w:val="22"/>
        </w:rPr>
        <w:t xml:space="preserve"> </w:t>
      </w:r>
    </w:p>
    <w:p>
      <w:pPr>
        <w:pBdr>
          <w:left w:val="single" w:color="C9A227" w:sz="6"/>
          <w:right w:val="single" w:color="C9A227" w:sz="6"/>
        </w:pBdr>
        <w:shd w:fill="FFF4D6" w:color="auto" w:val="clear"/>
        <w:spacing w:after="40"/>
      </w:pPr>
      <w:r>
        <w:rPr>
          <w:sz w:val="22"/>
          <w:szCs w:val="22"/>
        </w:rPr>
        <w:t xml:space="preserve"> </w:t>
      </w:r>
    </w:p>
    <w:p>
      <w:pPr>
        <w:pBdr>
          <w:bottom w:val="single" w:color="C9A227" w:sz="6"/>
          <w:left w:val="single" w:color="C9A227" w:sz="6"/>
          <w:right w:val="single" w:color="C9A227" w:sz="6"/>
        </w:pBdr>
        <w:shd w:fill="FFF4D6" w:color="auto" w:val="clear"/>
        <w:spacing w:after="60"/>
      </w:pPr>
      <w:r>
        <w:rPr>
          <w:sz w:val="22"/>
          <w:szCs w:val="22"/>
        </w:rPr>
        <w:t xml:space="preserve"> </w:t>
      </w:r>
    </w:p>
    <w:p>
      <w:pPr>
        <w:pStyle w:val="Heading1"/>
        <w:pageBreakBefore/>
        <w:spacing w:after="200" w:before="0"/>
      </w:pPr>
      <w:r>
        <w:rPr>
          <w:rFonts w:ascii="Georgia" w:cs="Georgia" w:eastAsia="Georgia" w:hAnsi="Georgia"/>
          <w:b/>
          <w:bCs/>
          <w:color w:val="1F3864"/>
          <w:sz w:val="32"/>
          <w:szCs w:val="32"/>
        </w:rPr>
        <w:t xml:space="preserve">Part Two — England</w:t>
      </w:r>
    </w:p>
    <w:p>
      <w:pPr>
        <w:pStyle w:val="Heading2"/>
        <w:spacing w:after="120" w:before="260"/>
      </w:pPr>
      <w:r>
        <w:rPr>
          <w:rFonts w:ascii="Georgia" w:cs="Georgia" w:eastAsia="Georgia" w:hAnsi="Georgia"/>
          <w:b/>
          <w:bCs/>
          <w:color w:val="1F3864"/>
          <w:sz w:val="25"/>
          <w:szCs w:val="25"/>
        </w:rPr>
        <w:t xml:space="preserve">Decision 8 — England: the 1530s or the 1690s</w:t>
      </w:r>
    </w:p>
    <w:p>
      <w:pPr>
        <w:spacing w:after="140"/>
      </w:pPr>
      <w:r>
        <w:rPr>
          <w:rFonts w:ascii="Georgia" w:cs="Georgia" w:eastAsia="Georgia" w:hAnsi="Georgia"/>
          <w:i/>
          <w:iCs/>
          <w:color w:val="777777"/>
          <w:sz w:val="19"/>
          <w:szCs w:val="19"/>
        </w:rPr>
        <w:t xml:space="preserve">Covers rows: (ee), Check 3, and Y71-a–g (the Youings intake of 16 September)</w:t>
      </w:r>
    </w:p>
    <w:p>
      <w:pPr>
        <w:spacing w:after="150" w:line="290"/>
      </w:pPr>
      <w:r>
        <w:rPr>
          <w:rFonts w:ascii="Georgia" w:cs="Georgia" w:eastAsia="Georgia" w:hAnsi="Georgia"/>
          <w:b/>
          <w:bCs/>
          <w:sz w:val="22"/>
          <w:szCs w:val="22"/>
        </w:rPr>
        <w:t xml:space="preserve">The background.</w:t>
      </w:r>
      <w:r>
        <w:rPr>
          <w:rFonts w:ascii="Georgia" w:cs="Georgia" w:eastAsia="Georgia" w:hAnsi="Georgia"/>
          <w:sz w:val="22"/>
          <w:szCs w:val="22"/>
        </w:rPr>
        <w:t xml:space="preserve"> A fortnight ago you ruled that England's Tudor turn happened in the 1530s, and that the dissolution of the monasteries was the money behind it — in the book's shorthand, its "fisc", meaning the revenue a crown could count on without asking anyone's leave. Chapter 11, section II, now says so in two sentences: "The settlement arrived when the crown found a fisc that no assembly had to grant", and "The dissolution is the English fisc of the settlement." Behind both sits the book's spine, the short doctrine document that states the argument's fixed points; its section 3 says that "standing taxation" was "established" as part of the settlement, and for England that sentence currently reads at the 1530s. The earlier version of this decision treated Thomas Ertman as the only new evidence and said that the two English historians who could settle the fiscal question, Joyce Youings and Richard Hoyle, were not yet in the reading. Youings has been read since, in full, on 16 September, and she settles more than the earlier version expected.</w:t>
      </w:r>
    </w:p>
    <w:p>
      <w:pPr>
        <w:spacing w:after="150" w:line="290"/>
      </w:pPr>
      <w:r>
        <w:rPr>
          <w:rFonts w:ascii="Georgia" w:cs="Georgia" w:eastAsia="Georgia" w:hAnsi="Georgia"/>
          <w:sz w:val="22"/>
          <w:szCs w:val="22"/>
        </w:rPr>
        <w:t xml:space="preserve">Ertman first. An American political scientist, he published </w:t>
      </w:r>
      <w:r>
        <w:rPr>
          <w:rFonts w:ascii="Georgia" w:cs="Georgia" w:eastAsia="Georgia" w:hAnsi="Georgia"/>
          <w:i/>
          <w:iCs/>
          <w:sz w:val="22"/>
          <w:szCs w:val="22"/>
        </w:rPr>
        <w:t xml:space="preserve">Birth of the Leviathan</w:t>
      </w:r>
      <w:r>
        <w:rPr>
          <w:rFonts w:ascii="Georgia" w:cs="Georgia" w:eastAsia="Georgia" w:hAnsi="Georgia"/>
          <w:sz w:val="22"/>
          <w:szCs w:val="22"/>
        </w:rPr>
        <w:t xml:space="preserve"> (Cambridge, 1997) to explain why European states formed differently from one another, and his variable is the administration: whether office was held by salaried servants or by men who had bought their posts and treated them as property, which he calls patrimonialism. His section on the decades you ruled for is titled "Deepening Patrimonialism and Its Temporary Demise, 1453–1659" (p. 178). He grants that Thomas Cromwell's new revenue boards of the 1530s "did represent a serious challenge to the Exchequer, that bastion of proprietary officeholding", and then takes it back: "Yet by 1554 the most important of these bodies … had all been incorporated into the Exchequer", because of "the absence of war and thus of the incentives it would have created for military effectiveness" (p. 181). His English fiscal-military state — the term for a state built to raise permanent taxes for a permanent army — belongs to 1660–1714, made by a Parliament sitting every year under the pressure of war (p. 187). The dissolution does not appear in his account of England at all. The assessment of him was blunt: his test is proprietary office, so a permanent confiscation that ended a rival universal institution is invisible to it by construction, and his "little large-scale warfare" quietly skips the 1540s.</w:t>
      </w:r>
    </w:p>
    <w:p>
      <w:pPr>
        <w:spacing w:after="150" w:line="290"/>
      </w:pPr>
      <w:r>
        <w:rPr>
          <w:rFonts w:ascii="Georgia" w:cs="Georgia" w:eastAsia="Georgia" w:hAnsi="Georgia"/>
          <w:sz w:val="22"/>
          <w:szCs w:val="22"/>
        </w:rPr>
        <w:t xml:space="preserve">Now Youings. </w:t>
      </w:r>
      <w:r>
        <w:rPr>
          <w:rFonts w:ascii="Georgia" w:cs="Georgia" w:eastAsia="Georgia" w:hAnsi="Georgia"/>
          <w:i/>
          <w:iCs/>
          <w:sz w:val="22"/>
          <w:szCs w:val="22"/>
        </w:rPr>
        <w:t xml:space="preserve">The Dissolution of the Monasteries</w:t>
      </w:r>
      <w:r>
        <w:rPr>
          <w:rFonts w:ascii="Georgia" w:cs="Georgia" w:eastAsia="Georgia" w:hAnsi="Georgia"/>
          <w:sz w:val="22"/>
          <w:szCs w:val="22"/>
        </w:rPr>
        <w:t xml:space="preserve"> (Allen &amp; Unwin, 1971) is the standard account of the operation, and she treats it as a property transaction: "an act of resumption, a restoration to secular uses of land and other endowments provided over many centuries, very largely by laymen" (ch. 1). One caution about citing her: the corpus copy is an electronic reissue that preserves no printed page numbers, so every pin below is to a chapter, and page-image verification is owed before print. She confirms your ruling more strongly than the draft dared. The confiscation "had just about doubled the Crown's resources", and the Court of Augmentations, the new department built to hold the land, "replaced the king's chamber as the bank from which the king's government, and his personal extravagances, could be paid for" (ch. 4). The 1538–39 surrenders ran on commissions that "had no statutory authority" (ch. 3), with no Parliament even planned; the Church was subordinated by paper, "Certainly it was not with the use of armed force" (ch. 1). And she supplies the instruments, which is what the chapter's flagged sentence about a "universalist power" needed: the 1535 Injunctions loosed every religious from obedience to Rome "or to any other foreign power or person" (Doc. 7), and the communities "were never, in so many words, actually dissolved … Institutions which for the most part traced their foundation to gifts of landed property came to an end with the surrender of that property" (ch. 1). The fiscal act was the canonical act.</w:t>
      </w:r>
    </w:p>
    <w:p>
      <w:pPr>
        <w:spacing w:after="150" w:line="290"/>
      </w:pPr>
      <w:r>
        <w:rPr>
          <w:rFonts w:ascii="Georgia" w:cs="Georgia" w:eastAsia="Georgia" w:hAnsi="Georgia"/>
          <w:sz w:val="22"/>
          <w:szCs w:val="22"/>
        </w:rPr>
        <w:t xml:space="preserve">Then she takes the word "standing" away. "It has long been recognized that the Dissolution did not lead to the permanent augmentation of the annual income of the Crown" (ch. 1). The intention was permanence: the Augmentations act "is the strongest possible argument for the government's determination … to retain its new resources permanently in its own hands" (ch. 2). The outcome was not: "Disposal by the Crown took place from the very beginning" (ch. 3); Cromwell himself was named a sales commissioner in December 1539; land sold "at twenty years' purchase, that is a capital sum of twenty times their current net annual value" (ch. 5); outright grants ran fifteen, thirty-five, seventy-five and a hundred and twelve across 1536–39; and "by the end of Henry VIII's reign over half of the whole of the former monastic estates had been alienated … well over three-quarters by 1558" (ch. 5). The department built to hold the estate spent its life disposing of it and was folded into the Exchequer in 1554. Put plainly: the crown took a stock, not a flow, and sold it at a fixed price to the county families who would fill the next century's Parliaments. She and Ertman converge from two directions — his boards reabsorbed by 1554, her revenue by 1558 — and neither was writing with the other's argument in mind. Two smaller things she adds: the houses that died in 1536 were chosen by the </w:t>
      </w:r>
      <w:r>
        <w:rPr>
          <w:rFonts w:ascii="Georgia" w:cs="Georgia" w:eastAsia="Georgia" w:hAnsi="Georgia"/>
          <w:i/>
          <w:iCs/>
          <w:sz w:val="22"/>
          <w:szCs w:val="22"/>
        </w:rPr>
        <w:t xml:space="preserve">Valor Ecclesiasticus</w:t>
      </w:r>
      <w:r>
        <w:rPr>
          <w:rFonts w:ascii="Georgia" w:cs="Georgia" w:eastAsia="Georgia" w:hAnsi="Georgia"/>
          <w:sz w:val="22"/>
          <w:szCs w:val="22"/>
        </w:rPr>
        <w:t xml:space="preserve"> of January 1535, a survey with "no justification whatsoever for regarding it as anything more than a taxation assessment" (ch. 2), which is your legibility point in one document; and the money went to fortification, coastal-defence works at Weymouth and Falmouth and garrison wages, but there is no artillery anywhere in her book.</w:t>
      </w:r>
    </w:p>
    <w:p>
      <w:pPr>
        <w:spacing w:after="150" w:line="290"/>
      </w:pPr>
      <w:r>
        <w:rPr>
          <w:rFonts w:ascii="Georgia" w:cs="Georgia" w:eastAsia="Georgia" w:hAnsi="Georgia"/>
          <w:b/>
          <w:bCs/>
          <w:sz w:val="22"/>
          <w:szCs w:val="22"/>
        </w:rPr>
        <w:t xml:space="preserve">Why it matters.</w:t>
      </w:r>
      <w:r>
        <w:rPr>
          <w:rFonts w:ascii="Georgia" w:cs="Georgia" w:eastAsia="Georgia" w:hAnsi="Georgia"/>
          <w:sz w:val="22"/>
          <w:szCs w:val="22"/>
        </w:rPr>
        <w:t xml:space="preserve"> This is a large point, because it touches the spine, a ruling you have already made, and the book's own word. The mechanism says weapon cost forces permanent taxation, and permanent taxation builds the administration that subordinates the lords. Youings shows the English crown taking the right asset in the wrong form: France's taille could be levied again every year and could not be spent out; the monastic estate was capital and was. A hostile early-modernist now has two authorities, not one, saying the 1530s produced no standing revenue, and the second is the standard account of the very operation you named as the fisc. The exposure is still one sentence in the spine and two in Chapter 11, but they are sentences the argument leans on. The gain, if you take it, is that the English case becomes the book's clearest demonstration of which link in the chain is load-bearing: permanence of finance, not size of seizure. That reading is the book's inference, not hers, and must be flagged as such. The intake also recorded one objection not yet answered: the gentry who bought the land at twenty years' purchase were the beneficiaries of the windfall, and the chapter does not yet say what that did to the subordination the settlement is supposed to have achieved.</w:t>
      </w:r>
    </w:p>
    <w:p>
      <w:pPr>
        <w:spacing w:after="150" w:line="290"/>
      </w:pPr>
      <w:r>
        <w:rPr>
          <w:rFonts w:ascii="Georgia" w:cs="Georgia" w:eastAsia="Georgia" w:hAnsi="Georgia"/>
          <w:b/>
          <w:bCs/>
          <w:sz w:val="22"/>
          <w:szCs w:val="22"/>
        </w:rPr>
        <w:t xml:space="preserve">Your choices.</w:t>
      </w:r>
      <w:r>
        <w:rPr>
          <w:rFonts w:ascii="Georgia" w:cs="Georgia" w:eastAsia="Georgia" w:hAnsi="Georgia"/>
          <w:sz w:val="22"/>
          <w:szCs w:val="22"/>
        </w:rPr>
        <w:t xml:space="preserve"> Choice A is "fisc without permanence": keep the 1530s as England's turn, but reclassify what happened. The dissolution becomes the irreversible confiscation that made the crown the only universal authority in England — a change in who held jurisdiction and property, not in who paid annual tax — and the standing-taxation limb moves to where Ertman and John Brewer put it, the 1690s. Chapter 11 §II gets a recast paragraph and a sentence pointing forward a century and a half; spine §3 gains a line saying that for England the two links arrived separately. It costs a tidy single date and obliges you to say the English case took two stages. It buys a sentence no early-modernist will contest, with Youings now cited for both halves of it.</w:t>
      </w:r>
    </w:p>
    <w:p>
      <w:pPr>
        <w:spacing w:after="150" w:line="290"/>
      </w:pPr>
      <w:r>
        <w:rPr>
          <w:rFonts w:ascii="Georgia" w:cs="Georgia" w:eastAsia="Georgia" w:hAnsi="Georgia"/>
          <w:sz w:val="22"/>
          <w:szCs w:val="22"/>
        </w:rPr>
        <w:t xml:space="preserve">Choice B keeps the ruling as it stands and names Ertman and Youings as a stated disanalogy — the book's word for a place where the historical case and the modern one are admitted to differ. Chapter 11 §II would carry perhaps two hundred words conceding that the leading authority on administrative development reads the 1530s as a deepening of patrimonialism and that the standard historian of the dissolution reads it as a dissipated windfall, and answering with the 1540s wars, the blindness of Ertman's test to confiscation, and the fact that your turn is about canon and jurisdiction rather than revenue. Nothing moves in the spine. This is cheaper and keeps the Tudor turn tidy. But "standing" stays attached to a receipt that the standard account says was sold off within a generation, and that is exactly where the reviewer will push.</w:t>
      </w:r>
    </w:p>
    <w:p>
      <w:pPr>
        <w:spacing w:after="150" w:line="290"/>
      </w:pPr>
      <w:r>
        <w:rPr>
          <w:rFonts w:ascii="Georgia" w:cs="Georgia" w:eastAsia="Georgia" w:hAnsi="Georgia"/>
          <w:sz w:val="22"/>
          <w:szCs w:val="22"/>
        </w:rPr>
        <w:t xml:space="preserve">Whichever you take, the Youings intake put three readings of ruling (k) to you and adopted none; they are the sub-choice inside the qualifying clause that Chapter 11 §II now owes (Y71-a), and they imply different readings of spine §3's "standing taxation" for England. The first reads the mechanism as predicting the crown's requirement and its attempt, not the durability of what it got, so that Youings supplies the attempt in its strongest form and the sentence stands with "standing" struck. The second dates the fisc by the moment of acquisition — the Augmentations of 1536 — rather than by how long the crown held it, which keeps the 1530s but concedes the flow in a clause. The third states the stock-versus-flow distinction in the text as the English case's own disanalogy, which turns §II's weakest passage into the sharpest illustration the mechanism has of why permanent finance is the load-bearing link. The third is the boldest and is the one Choice A rests on; the first is compatible with either choice; the second is Choice B in a milder form.</w:t>
      </w:r>
    </w:p>
    <w:p>
      <w:pPr>
        <w:spacing w:after="150" w:line="290"/>
      </w:pPr>
      <w:r>
        <w:rPr>
          <w:rFonts w:ascii="Georgia" w:cs="Georgia" w:eastAsia="Georgia" w:hAnsi="Georgia"/>
          <w:sz w:val="22"/>
          <w:szCs w:val="22"/>
        </w:rPr>
        <w:t xml:space="preserve">Six smaller sub-choices ride with it. Whether the chapter's flagged sentence on the "universalist power" is recast to rest on effect and instrument rather than motive, since Youings denies the anti-papal motive but her documents supply the instruments, and whether "executed in England as a single act" becomes one apparatus in one decade (Y71-b). Whether the stock-versus-flow distinction goes into the text or stays in the memo (Y71-c), which is really the same question as the three readings. Whether the </w:t>
      </w:r>
      <w:r>
        <w:rPr>
          <w:rFonts w:ascii="Georgia" w:cs="Georgia" w:eastAsia="Georgia" w:hAnsi="Georgia"/>
          <w:i/>
          <w:iCs/>
          <w:sz w:val="22"/>
          <w:szCs w:val="22"/>
        </w:rPr>
        <w:t xml:space="preserve">Valor</w:t>
      </w:r>
      <w:r>
        <w:rPr>
          <w:rFonts w:ascii="Georgia" w:cs="Georgia" w:eastAsia="Georgia" w:hAnsi="Georgia"/>
          <w:sz w:val="22"/>
          <w:szCs w:val="22"/>
        </w:rPr>
        <w:t xml:space="preserve"> enters §II as one clause, a tax register of January 1535 deciding which houses died in 1536 (Y71-d). Whether the 1538 invasion scare and the coastal-defence warrants enter §II at all, given that her own footnote denies any financial crisis before 1540 and that the passage would claim fortification and never guns (Y71-e). Whether a residual flag on crown ordinary revenue before and after the dissolution is opened, with Hoyle on the retrieval list, or the comparison is dropped, since Youings insists no balance sheet of the operation has ever been drawn and refuses to supply one (Y71-f). And a caution for the record rather than a choice: her book is a volume in Geoffrey Elton's own series, read in draft by Elton, and the project's rules forbid using it as independent corroboration of the Elton frame in the passages where the book engages the Elton-revision debate (Y71-g).</w:t>
      </w:r>
    </w:p>
    <w:p>
      <w:pPr>
        <w:spacing w:after="150" w:line="290"/>
      </w:pPr>
      <w:r>
        <w:rPr>
          <w:rFonts w:ascii="Georgia" w:cs="Georgia" w:eastAsia="Georgia" w:hAnsi="Georgia"/>
          <w:b/>
          <w:bCs/>
          <w:sz w:val="22"/>
          <w:szCs w:val="22"/>
        </w:rPr>
        <w:t xml:space="preserve">My view.</w:t>
      </w:r>
      <w:r>
        <w:rPr>
          <w:rFonts w:ascii="Georgia" w:cs="Georgia" w:eastAsia="Georgia" w:hAnsi="Georgia"/>
          <w:sz w:val="22"/>
          <w:szCs w:val="22"/>
        </w:rPr>
        <w:t xml:space="preserve"> Choice A with the third reading, and this is a view: the earlier version of this decision said it would not let "standing taxation" stand against the 1530s until Youings or Hoyle was in the reading; Youings is, and she says it was not standing. Choice A is the only reading that turns that into a finding rather than a retreat.</w:t>
      </w:r>
    </w:p>
    <w:p>
      <w:pPr>
        <w:pBdr>
          <w:top w:val="single" w:color="C9A227" w:sz="6"/>
          <w:left w:val="single" w:color="C9A227" w:sz="6"/>
          <w:right w:val="single" w:color="C9A227" w:sz="6"/>
        </w:pBdr>
        <w:shd w:fill="FFF4D6" w:color="auto" w:val="clear"/>
        <w:spacing w:after="60" w:before="200"/>
      </w:pPr>
      <w:r>
        <w:rPr>
          <w:rFonts w:ascii="Georgia" w:cs="Georgia" w:eastAsia="Georgia" w:hAnsi="Georgia"/>
          <w:b/>
          <w:bCs/>
          <w:color w:val="8A6D00"/>
          <w:sz w:val="23"/>
          <w:szCs w:val="23"/>
        </w:rPr>
        <w:t xml:space="preserve">YOUR RULING:  </w:t>
      </w:r>
    </w:p>
    <w:p>
      <w:pPr>
        <w:pBdr>
          <w:left w:val="single" w:color="C9A227" w:sz="6"/>
          <w:right w:val="single" w:color="C9A227" w:sz="6"/>
        </w:pBdr>
        <w:shd w:fill="FFF4D6" w:color="auto" w:val="clear"/>
        <w:spacing w:after="40"/>
      </w:pPr>
      <w:r>
        <w:rPr>
          <w:sz w:val="22"/>
          <w:szCs w:val="22"/>
        </w:rPr>
        <w:t xml:space="preserve"> </w:t>
      </w:r>
    </w:p>
    <w:p>
      <w:pPr>
        <w:pBdr>
          <w:left w:val="single" w:color="C9A227" w:sz="6"/>
          <w:right w:val="single" w:color="C9A227" w:sz="6"/>
        </w:pBdr>
        <w:shd w:fill="FFF4D6" w:color="auto" w:val="clear"/>
        <w:spacing w:after="40"/>
      </w:pPr>
      <w:r>
        <w:rPr>
          <w:sz w:val="22"/>
          <w:szCs w:val="22"/>
        </w:rPr>
        <w:t xml:space="preserve"> </w:t>
      </w:r>
    </w:p>
    <w:p>
      <w:pPr>
        <w:pBdr>
          <w:bottom w:val="single" w:color="C9A227" w:sz="6"/>
          <w:left w:val="single" w:color="C9A227" w:sz="6"/>
          <w:right w:val="single" w:color="C9A227" w:sz="6"/>
        </w:pBdr>
        <w:shd w:fill="FFF4D6" w:color="auto" w:val="clear"/>
        <w:spacing w:after="60"/>
      </w:pPr>
      <w:r>
        <w:rPr>
          <w:sz w:val="22"/>
          <w:szCs w:val="22"/>
        </w:rPr>
        <w:t xml:space="preserve"> </w:t>
      </w:r>
    </w:p>
    <w:p>
      <w:pPr>
        <w:pStyle w:val="Heading2"/>
        <w:spacing w:after="120" w:before="260"/>
      </w:pPr>
      <w:r>
        <w:rPr>
          <w:rFonts w:ascii="Georgia" w:cs="Georgia" w:eastAsia="Georgia" w:hAnsi="Georgia"/>
          <w:b/>
          <w:bCs/>
          <w:color w:val="1F3864"/>
          <w:sz w:val="25"/>
          <w:szCs w:val="25"/>
        </w:rPr>
        <w:t xml:space="preserve">Decision 9 — Three smaller England points</w:t>
      </w:r>
    </w:p>
    <w:p>
      <w:pPr>
        <w:spacing w:after="140"/>
      </w:pPr>
      <w:r>
        <w:rPr>
          <w:rFonts w:ascii="Georgia" w:cs="Georgia" w:eastAsia="Georgia" w:hAnsi="Georgia"/>
          <w:i/>
          <w:iCs/>
          <w:color w:val="777777"/>
          <w:sz w:val="19"/>
          <w:szCs w:val="19"/>
        </w:rPr>
        <w:t xml:space="preserve">Covers rows: (hhh), (jjj), (iiii)</w:t>
      </w:r>
    </w:p>
    <w:p>
      <w:pPr>
        <w:spacing w:after="150" w:line="290"/>
      </w:pPr>
      <w:r>
        <w:rPr>
          <w:rFonts w:ascii="Georgia" w:cs="Georgia" w:eastAsia="Georgia" w:hAnsi="Georgia"/>
          <w:b/>
          <w:bCs/>
          <w:sz w:val="22"/>
          <w:szCs w:val="22"/>
        </w:rPr>
        <w:t xml:space="preserve">The background.</w:t>
      </w:r>
      <w:r>
        <w:rPr>
          <w:rFonts w:ascii="Georgia" w:cs="Georgia" w:eastAsia="Georgia" w:hAnsi="Georgia"/>
          <w:sz w:val="22"/>
          <w:szCs w:val="22"/>
        </w:rPr>
        <w:t xml:space="preserve"> Three sentences in the English chapters have each drawn one comment from the September reading. Chapter 5, section VI, says "The Wars of the Roses were fought by private armies". Chapter 5, section II, says the council that governed during Henry VI's childhood "governed … remarkably well". Chapter 9, section III, describes the 1422 minority arrangement as designed and as having worked, and then says the fifteenth century "ran the regency experiment perhaps half a dozen times" and that every run returned the same result.</w:t>
      </w:r>
    </w:p>
    <w:p>
      <w:pPr>
        <w:spacing w:after="150" w:line="290"/>
      </w:pPr>
      <w:r>
        <w:rPr>
          <w:rFonts w:ascii="Georgia" w:cs="Georgia" w:eastAsia="Georgia" w:hAnsi="Georgia"/>
          <w:sz w:val="22"/>
          <w:szCs w:val="22"/>
        </w:rPr>
        <w:t xml:space="preserve">On "private armies", Ertman uses the same phrase without embarrassment: "the power of the great magnates with their regional strongholds and private armies was broken during the Wars of the Roses and their aftermath" (p. 179). The proposed alternative is "retinues", a retinue being a lord's following of retained men — a relationship, not a standing force. That distinction is attributed to J. R. Lander, but Lander is not among the works assessed in September, so his pages cannot be checked and the weight of his objection cannot be judged from what is in front of us.</w:t>
      </w:r>
    </w:p>
    <w:p>
      <w:pPr>
        <w:spacing w:after="150" w:line="290"/>
      </w:pPr>
      <w:r>
        <w:rPr>
          <w:rFonts w:ascii="Georgia" w:cs="Georgia" w:eastAsia="Georgia" w:hAnsi="Georgia"/>
          <w:sz w:val="22"/>
          <w:szCs w:val="22"/>
        </w:rPr>
        <w:t xml:space="preserve">On the minority council and the regency runs, the comment comes from Charles Tilly, the American sociologist whose account of war making and state making the book cites more than any other. In his 1985 essay "War Making and State Making as Organized Crime" he writes that lords who could raise troops and keep armed retainers were at once the king's instrument and his rivals, and "For that reason, before the seventeenth century, regencies for child sovereigns reliably produced civil wars". That is a claim about the whole period, not about England, so it does not refute Chapter 5; it makes the English council an exception the chapter should know it is claiming. For Chapter 9 the same sentence bites harder, because "every run returned the same result" turns a handful of episodes into a rule, and Tilly's rule points the other way. The pages that would test the 1425 crisis — Ralph Griffiths on Henry VI and Lander again — are cited in the old row but were not assessed, so I can confirm the citations exist but not what they say.</w:t>
      </w:r>
    </w:p>
    <w:p>
      <w:pPr>
        <w:spacing w:after="150" w:line="290"/>
      </w:pPr>
      <w:r>
        <w:rPr>
          <w:rFonts w:ascii="Georgia" w:cs="Georgia" w:eastAsia="Georgia" w:hAnsi="Georgia"/>
          <w:b/>
          <w:bCs/>
          <w:sz w:val="22"/>
          <w:szCs w:val="22"/>
        </w:rPr>
        <w:t xml:space="preserve">Why it matters.</w:t>
      </w:r>
      <w:r>
        <w:rPr>
          <w:rFonts w:ascii="Georgia" w:cs="Georgia" w:eastAsia="Georgia" w:hAnsi="Georgia"/>
          <w:sz w:val="22"/>
          <w:szCs w:val="22"/>
        </w:rPr>
        <w:t xml:space="preserve"> These are small points individually, but they are the kind a reviewer collects: a loose phrase, a judgement that looks naive beside the standard comparative statement, and a generalisation from six cases. None touches the mechanism. The third is the most serious, because a sentence that claims regularity from a small count is the easiest thing in a history book to knock down.</w:t>
      </w:r>
    </w:p>
    <w:p>
      <w:pPr>
        <w:spacing w:after="150" w:line="290"/>
      </w:pPr>
      <w:r>
        <w:rPr>
          <w:rFonts w:ascii="Georgia" w:cs="Georgia" w:eastAsia="Georgia" w:hAnsi="Georgia"/>
          <w:b/>
          <w:bCs/>
          <w:sz w:val="22"/>
          <w:szCs w:val="22"/>
        </w:rPr>
        <w:t xml:space="preserve">Your choices.</w:t>
      </w:r>
      <w:r>
        <w:rPr>
          <w:rFonts w:ascii="Georgia" w:cs="Georgia" w:eastAsia="Georgia" w:hAnsi="Georgia"/>
          <w:sz w:val="22"/>
          <w:szCs w:val="22"/>
        </w:rPr>
        <w:t xml:space="preserve"> On "private armies", Choice A keeps the phrase, citing Ertman in the text as the surviving scholarly usage, with Lander's objection in a note; nothing changes on the page except a citation, and the chapter is shown to know the difficulty. Choice B rewrites to "retinues" with a gloss for the general reader; it is more exact and slightly less vivid, and it should not be settled until Lander has been read at his pages. On the minority council, there is really one choice: add half a sentence naming Tilly's rule and saying the English council governed well against it. That costs almost nothing and makes the exception interesting rather than naive. On the regency runs, Choice A hedges both sentences — "designed, and it worked" qualified by the 1425 crisis, "every run returned the same result" replaced by a narrower claim — and names Tilly where the second is hedged. The paragraph loses some snap and gains a distinction worth having: a minority was an office temporarily filled by a council, an incapacity was an office that could not be filled at all, and the two failed differently rather than identically. Choice B leaves the sentences as they are, which costs nothing now and leaves a reviewer to supply Tilly's sentence less kindly.</w:t>
      </w:r>
    </w:p>
    <w:p>
      <w:pPr>
        <w:spacing w:after="150" w:line="290"/>
      </w:pPr>
      <w:r>
        <w:rPr>
          <w:rFonts w:ascii="Georgia" w:cs="Georgia" w:eastAsia="Georgia" w:hAnsi="Georgia"/>
          <w:b/>
          <w:bCs/>
          <w:sz w:val="22"/>
          <w:szCs w:val="22"/>
        </w:rPr>
        <w:t xml:space="preserve">My view.</w:t>
      </w:r>
      <w:r>
        <w:rPr>
          <w:rFonts w:ascii="Georgia" w:cs="Georgia" w:eastAsia="Georgia" w:hAnsi="Georgia"/>
          <w:sz w:val="22"/>
          <w:szCs w:val="22"/>
        </w:rPr>
        <w:t xml:space="preserve"> Keep "private armies" with Ertman until Lander is read; hedge the council in a clause; and on Chapter 9 hedge both sentences and let the minority-versus-incapacity distinction carry the weight the count was carrying, because a distinction survives a counter-example and a count does not.</w:t>
      </w:r>
    </w:p>
    <w:p>
      <w:pPr>
        <w:pBdr>
          <w:top w:val="single" w:color="C9A227" w:sz="6"/>
          <w:left w:val="single" w:color="C9A227" w:sz="6"/>
          <w:right w:val="single" w:color="C9A227" w:sz="6"/>
        </w:pBdr>
        <w:shd w:fill="FFF4D6" w:color="auto" w:val="clear"/>
        <w:spacing w:after="60" w:before="200"/>
      </w:pPr>
      <w:r>
        <w:rPr>
          <w:rFonts w:ascii="Georgia" w:cs="Georgia" w:eastAsia="Georgia" w:hAnsi="Georgia"/>
          <w:b/>
          <w:bCs/>
          <w:color w:val="8A6D00"/>
          <w:sz w:val="23"/>
          <w:szCs w:val="23"/>
        </w:rPr>
        <w:t xml:space="preserve">YOUR RULING:  </w:t>
      </w:r>
    </w:p>
    <w:p>
      <w:pPr>
        <w:pBdr>
          <w:left w:val="single" w:color="C9A227" w:sz="6"/>
          <w:right w:val="single" w:color="C9A227" w:sz="6"/>
        </w:pBdr>
        <w:shd w:fill="FFF4D6" w:color="auto" w:val="clear"/>
        <w:spacing w:after="40"/>
      </w:pPr>
      <w:r>
        <w:rPr>
          <w:sz w:val="22"/>
          <w:szCs w:val="22"/>
        </w:rPr>
        <w:t xml:space="preserve"> </w:t>
      </w:r>
    </w:p>
    <w:p>
      <w:pPr>
        <w:pBdr>
          <w:left w:val="single" w:color="C9A227" w:sz="6"/>
          <w:right w:val="single" w:color="C9A227" w:sz="6"/>
        </w:pBdr>
        <w:shd w:fill="FFF4D6" w:color="auto" w:val="clear"/>
        <w:spacing w:after="40"/>
      </w:pPr>
      <w:r>
        <w:rPr>
          <w:sz w:val="22"/>
          <w:szCs w:val="22"/>
        </w:rPr>
        <w:t xml:space="preserve"> </w:t>
      </w:r>
    </w:p>
    <w:p>
      <w:pPr>
        <w:pBdr>
          <w:bottom w:val="single" w:color="C9A227" w:sz="6"/>
          <w:left w:val="single" w:color="C9A227" w:sz="6"/>
          <w:right w:val="single" w:color="C9A227" w:sz="6"/>
        </w:pBdr>
        <w:shd w:fill="FFF4D6" w:color="auto" w:val="clear"/>
        <w:spacing w:after="60"/>
      </w:pPr>
      <w:r>
        <w:rPr>
          <w:sz w:val="22"/>
          <w:szCs w:val="22"/>
        </w:rPr>
        <w:t xml:space="preserve"> </w:t>
      </w:r>
    </w:p>
    <w:p>
      <w:pPr>
        <w:pStyle w:val="Heading1"/>
        <w:pageBreakBefore/>
        <w:spacing w:after="200" w:before="0"/>
      </w:pPr>
      <w:r>
        <w:rPr>
          <w:rFonts w:ascii="Georgia" w:cs="Georgia" w:eastAsia="Georgia" w:hAnsi="Georgia"/>
          <w:b/>
          <w:bCs/>
          <w:color w:val="1F3864"/>
          <w:sz w:val="32"/>
          <w:szCs w:val="32"/>
        </w:rPr>
        <w:t xml:space="preserve">Part Three — The mechanism itself</w:t>
      </w:r>
    </w:p>
    <w:p>
      <w:pPr>
        <w:pStyle w:val="Heading2"/>
        <w:spacing w:after="120" w:before="260"/>
      </w:pPr>
      <w:r>
        <w:rPr>
          <w:rFonts w:ascii="Georgia" w:cs="Georgia" w:eastAsia="Georgia" w:hAnsi="Georgia"/>
          <w:b/>
          <w:bCs/>
          <w:color w:val="1F3864"/>
          <w:sz w:val="25"/>
          <w:szCs w:val="25"/>
        </w:rPr>
        <w:t xml:space="preserve">Decision 10 — What "the ratchet" is, and whose thesis it is: artillery only, or capital-intensity in general; Finer, Bean and Tilly as predecessors</w:t>
      </w:r>
    </w:p>
    <w:p>
      <w:pPr>
        <w:spacing w:after="140"/>
      </w:pPr>
      <w:r>
        <w:rPr>
          <w:rFonts w:ascii="Georgia" w:cs="Georgia" w:eastAsia="Georgia" w:hAnsi="Georgia"/>
          <w:i/>
          <w:iCs/>
          <w:color w:val="777777"/>
          <w:sz w:val="19"/>
          <w:szCs w:val="19"/>
        </w:rPr>
        <w:t xml:space="preserve">Covers rows: (ddd), (yyy), (ooo), Check 4, and — folded in from Decision 11 — (mmm), Check 2, T75-a–d and B73-a–c (the Tilly 1975 and Bean 1973 intakes of 16 September)</w:t>
      </w:r>
    </w:p>
    <w:p>
      <w:pPr>
        <w:spacing w:after="150" w:line="290"/>
      </w:pPr>
      <w:r>
        <w:rPr>
          <w:rFonts w:ascii="Georgia" w:cs="Georgia" w:eastAsia="Georgia" w:hAnsi="Georgia"/>
          <w:sz w:val="22"/>
          <w:szCs w:val="22"/>
        </w:rPr>
        <w:t xml:space="preserve">Decision 11 has been folded into this one. The earlier version of that decision said Bean's 1973 article was not in the corpus; it was read and assessed on 16 September, and the same day's reading of the full Tilly 1975 volume showed that the question Decision 11 asked — how the book differs from the artillery thesis Tilly rejected — is the same question as this decision's, asked about a predecessor rather than a rival. One decision is cleaner than two.</w:t>
      </w:r>
    </w:p>
    <w:p>
      <w:pPr>
        <w:spacing w:after="150" w:line="290"/>
      </w:pPr>
      <w:r>
        <w:rPr>
          <w:rFonts w:ascii="Georgia" w:cs="Georgia" w:eastAsia="Georgia" w:hAnsi="Georgia"/>
          <w:b/>
          <w:bCs/>
          <w:sz w:val="22"/>
          <w:szCs w:val="22"/>
        </w:rPr>
        <w:t xml:space="preserve">The background.</w:t>
      </w:r>
      <w:r>
        <w:rPr>
          <w:rFonts w:ascii="Georgia" w:cs="Georgia" w:eastAsia="Georgia" w:hAnsi="Georgia"/>
          <w:sz w:val="22"/>
          <w:szCs w:val="22"/>
        </w:rPr>
        <w:t xml:space="preserve"> "The ratchet" is the book's word for the point at which the change became irreversible: once a crown had bought the siege train and the permanent tax to keep it, no subject could match it and no assembly could take it back. The spine, in section 8(a), speaks of "the ratchet" with a definite article and no qualification, and the Coda and the chapters inherit that usage. Chapter 4 (sections II and VII), Chapter 6 (section VII) and Chapter 10 (sections IV and VII) carry the account of what the guns did; the old rows do not quote a sentence from Chapters 4 and 6, so I cannot show you their present wording, only what they claim.</w:t>
      </w:r>
    </w:p>
    <w:p>
      <w:pPr>
        <w:spacing w:after="150" w:line="290"/>
      </w:pPr>
      <w:r>
        <w:rPr>
          <w:rFonts w:ascii="Georgia" w:cs="Georgia" w:eastAsia="Georgia" w:hAnsi="Georgia"/>
          <w:sz w:val="22"/>
          <w:szCs w:val="22"/>
        </w:rPr>
        <w:t xml:space="preserve">Three works in the September reading press on that definite article. William McNeill, the American world historian, in </w:t>
      </w:r>
      <w:r>
        <w:rPr>
          <w:rFonts w:ascii="Georgia" w:cs="Georgia" w:eastAsia="Georgia" w:hAnsi="Georgia"/>
          <w:i/>
          <w:iCs/>
          <w:sz w:val="22"/>
          <w:szCs w:val="22"/>
        </w:rPr>
        <w:t xml:space="preserve">The Pursuit of Power</w:t>
      </w:r>
      <w:r>
        <w:rPr>
          <w:rFonts w:ascii="Georgia" w:cs="Georgia" w:eastAsia="Georgia" w:hAnsi="Georgia"/>
          <w:sz w:val="22"/>
          <w:szCs w:val="22"/>
        </w:rPr>
        <w:t xml:space="preserve"> (Chicago, 1982), agrees on direction — the new weapons enhanced the power of any ruler who could afford them "at the expense of neighbors and subjects who were unable to avail themselves of the new technology of war" and served "to dwarf the Italian city-states and to reduce other small sovereignties to triviality" (p. 89) — but his fifteenth century belongs to Venice: "A regular standing army of known size and capability emerged in the better-governed cities of Italy during the first half of the fifteenth century" (p. 75), and the Fronde's suppression in the 1650s "marked the time at which transalpine states finally caught up with the level of administrative management and control over armed force that had been attained in Venice and Milan two centuries earlier" (p. 125). Civil control of hired force was an Italian achievement made without a siege train; Italy lost anyway because "the sovereignty of mere city-states, however skillfully managed, could not permanently be maintained" against "newly consolidated monarchies, commanding comparatively vast territories" (p. 79). Jan Glete, a Swedish historian of early-modern navies, in </w:t>
      </w:r>
      <w:r>
        <w:rPr>
          <w:rFonts w:ascii="Georgia" w:cs="Georgia" w:eastAsia="Georgia" w:hAnsi="Georgia"/>
          <w:i/>
          <w:iCs/>
          <w:sz w:val="22"/>
          <w:szCs w:val="22"/>
        </w:rPr>
        <w:t xml:space="preserve">War and the State in Early Modern Europe</w:t>
      </w:r>
      <w:r>
        <w:rPr>
          <w:rFonts w:ascii="Georgia" w:cs="Georgia" w:eastAsia="Georgia" w:hAnsi="Georgia"/>
          <w:sz w:val="22"/>
          <w:szCs w:val="22"/>
        </w:rPr>
        <w:t xml:space="preserve"> (Routledge, 2002), supplies a second form of the same effect: the most capital-intensive and most completely state-owned military organisations were navies, and they did not begin with a broken wall: "Most of the earliest sailing navies were created on the European periphery: in Portugal, England, Denmark-Norway and Sweden … Private trade and shipping interests were of little importance for the early growth of sailing navies" (p. 39); heavy guns "were capital goods, and mobile siege artillery required a permanent organisation of skilled men" (p. 65), but the heaviest ordnance needed "special warships of a size and construction that made them less economic as merchantmen" (p. 65). The third pressure is the fortress. The trace italienne, the low, thick, angled bastion the Italians developed to resist cannon, is said to have cancelled the guns within a generation, and Chapter 10 has never answered it. McNeill does: "Only the wealthiest states and cities could afford the scores of cannon and the enormous labor of construction required by the trace italienne" (p. 90), so that "Imperial consolidation halted halfway" (p. 91). The guns consolidated inside the polities that could pay; the fortress froze the map between them, which is your three-or-four-bloc prediction in sixteenth-century form.</w:t>
      </w:r>
    </w:p>
    <w:p>
      <w:pPr>
        <w:spacing w:after="150" w:line="290"/>
      </w:pPr>
      <w:r>
        <w:rPr>
          <w:rFonts w:ascii="Georgia" w:cs="Georgia" w:eastAsia="Georgia" w:hAnsi="Georgia"/>
          <w:sz w:val="22"/>
          <w:szCs w:val="22"/>
        </w:rPr>
        <w:t xml:space="preserve">Then the eyewitness. Philippe de Commynes served Charles VIII on the Italian expedition of 1494, and the third volume of Joseph Calmette's edition of his </w:t>
      </w:r>
      <w:r>
        <w:rPr>
          <w:rFonts w:ascii="Georgia" w:cs="Georgia" w:eastAsia="Georgia" w:hAnsi="Georgia"/>
          <w:i/>
          <w:iCs/>
          <w:sz w:val="22"/>
          <w:szCs w:val="22"/>
        </w:rPr>
        <w:t xml:space="preserve">Mémoires</w:t>
      </w:r>
      <w:r>
        <w:rPr>
          <w:rFonts w:ascii="Georgia" w:cs="Georgia" w:eastAsia="Georgia" w:hAnsi="Georgia"/>
          <w:sz w:val="22"/>
          <w:szCs w:val="22"/>
        </w:rPr>
        <w:t xml:space="preserve"> (Champion, 1925) is in the repository. In the book's grading this is T1, a primary source, where Chapter 10's close now rests on T2, a modern historian summarising another. The Italians "n'entendoient point le faict de l'artillerie … et en France n'avoit jamais esté si bien entendue" (p. 50); Monte San Giovanni, "une très forte place" (p. 91), "fut batue sept ou huyt heures et puis prinse d'assault" (p. 92); "hors le chasteau de Napples, n'y eut nul qui empeschast le roy ung jour naturel" (p. 81); and the chalk with which the quartermasters marked their billets is his (pp. 81–82). The same volume carries the discipline: at Fornovo, the one open battle, "Je ne croy point que l'artillerie des deux costéz tuast dix hommes et ne dura point le combat ung quart d'heure" (p. 192), with Calmette's note reporting wetted powder. An earlier row pinned that line to pp. 210–11, which carry the Apennine recrossing; the pin must be p. 192. And Commynes's own explanation of the campaign is providential; he never credits the tax machine.</w:t>
      </w:r>
    </w:p>
    <w:p>
      <w:pPr>
        <w:spacing w:after="150" w:line="290"/>
      </w:pPr>
      <w:r>
        <w:rPr>
          <w:rFonts w:ascii="Georgia" w:cs="Georgia" w:eastAsia="Georgia" w:hAnsi="Georgia"/>
          <w:sz w:val="22"/>
          <w:szCs w:val="22"/>
        </w:rPr>
        <w:t xml:space="preserve">Now the new material, which is about whose thesis this is. The book has always cited Charles Tilly, the American sociologist whose "War made the state, and the state made war" is the field's slogan, and it has always treated him as saying nothing about guns. The spine distinguishes the book's claim from his as "not war-made-the-state in general"; Chapter 6 §VII introduces its main objection as coming "from the historian this chapter has cited more than any other"; Chapter 10 §VII, Objection 6, calls him deliberately technology-agnostic. All three are wrong, and wrong twice over. In his 1985 essay "War Making and State Making as Organized Crime" Tilly summarised a 1973 article by the economic historian Richard Bean and rejected it: "Bean's summary does not stand up to historical scrutiny. As a matter of practice, the shift to infantry-backed artillery sieges of fortified cities occurred only during the sixteenth and seventeenth centuries. Artillery did improve during the fifteenth century, but the invention of new fortifications, especially the trace italienne, rapidly countered the advantage of artillery. The arrival of effective artillery came too late to have caused the increase in the viable size of states. (However, the increased cost of fortifications to defend against artillery did give an advantage to states enjoying larger fiscal bases.)" That is a verdict, not a silence. And ten years earlier, in the 1975 volume he edited, </w:t>
      </w:r>
      <w:r>
        <w:rPr>
          <w:rFonts w:ascii="Georgia" w:cs="Georgia" w:eastAsia="Georgia" w:hAnsi="Georgia"/>
          <w:i/>
          <w:iCs/>
          <w:sz w:val="22"/>
          <w:szCs w:val="22"/>
        </w:rPr>
        <w:t xml:space="preserve">The Formation of National States in Western Europe</w:t>
      </w:r>
      <w:r>
        <w:rPr>
          <w:rFonts w:ascii="Georgia" w:cs="Georgia" w:eastAsia="Georgia" w:hAnsi="Georgia"/>
          <w:sz w:val="22"/>
          <w:szCs w:val="22"/>
        </w:rPr>
        <w:t xml:space="preserve">, Tilly had put a punctuated, weapon-driven account of state-building at chapter two and praised it from chapter one.</w:t>
      </w:r>
    </w:p>
    <w:p>
      <w:pPr>
        <w:spacing w:after="150" w:line="290"/>
      </w:pPr>
      <w:r>
        <w:rPr>
          <w:rFonts w:ascii="Georgia" w:cs="Georgia" w:eastAsia="Georgia" w:hAnsi="Georgia"/>
          <w:sz w:val="22"/>
          <w:szCs w:val="22"/>
        </w:rPr>
        <w:t xml:space="preserve">That chapter is Samuel Finer's, "State- and Nation-Building in Europe: The Role of the Military". Finer periodises by weapon ("The Age of Pike and Handgun: 1450–1550"), states the extraction cycle ("More troops — more extraction — more troops", p. 93), names the bastion as the counter ("To counter the new artillery, the tall, thin walls of the medieval castle had to be replaced or girdled by low and thick ones, forerunners of the bastion", p. 105), gives cannon the decisive victories and the constitutional consequence ("Castillon and Formigny — though this was not realized at the time — expelled England from Europe for good", p. 104), and states the French fiscal outcome: "there was no central constitutional organ of opposition to taxation by fist similar to England's and consequently money for the wars could be found more easily in France than across the Channel" (p. 127). Tilly's own summary of him is that the papers show "an alternation of long pauses with giant steps closely following changes in military technology and the scale of war" (pp. 51–52). So the ratchet is substantially in Finer, and Tilly endorsed it. Bean's article, "War and the Birth of the Nation State" (</w:t>
      </w:r>
      <w:r>
        <w:rPr>
          <w:rFonts w:ascii="Georgia" w:cs="Georgia" w:eastAsia="Georgia" w:hAnsi="Georgia"/>
          <w:i/>
          <w:iCs/>
          <w:sz w:val="22"/>
          <w:szCs w:val="22"/>
        </w:rPr>
        <w:t xml:space="preserve">Journal of Economic History</w:t>
      </w:r>
      <w:r>
        <w:rPr>
          <w:rFonts w:ascii="Georgia" w:cs="Georgia" w:eastAsia="Georgia" w:hAnsi="Georgia"/>
          <w:sz w:val="22"/>
          <w:szCs w:val="22"/>
        </w:rPr>
        <w:t xml:space="preserve">, 1973), read in full on 16 September, is closer still: it has the cannon, dated to the middle of the fifteenth century; Normandy, "60 fortified places being reduced in 369 days" (p. 207, a figure he takes from Oman); the fiscal appropriation, "In France in the 1440's and in Spain in the 1480's the rulers were able to seize these taxes as a right and thus dispense with the legislative bodies" (p. 213); the nobility "subordinate to the central governments — the process being largely complete by 1500" (p. 220); and the cascade by which one state's tax power forced its neighbours to centralise or be conquered (p. 220). A reader who knows this article will ask what the book adds to it.</w:t>
      </w:r>
    </w:p>
    <w:p>
      <w:pPr>
        <w:spacing w:after="150" w:line="290"/>
      </w:pPr>
      <w:r>
        <w:rPr>
          <w:rFonts w:ascii="Georgia" w:cs="Georgia" w:eastAsia="Georgia" w:hAnsi="Georgia"/>
          <w:sz w:val="22"/>
          <w:szCs w:val="22"/>
        </w:rPr>
        <w:t xml:space="preserve">What is left to the book is real but narrower than the drafts assume. First, the explanandum, the thing being explained. Finer's variable is the military format and its style of rule; Bean's is the size and number of states, on a cost curve borrowed from the theory of the firm, so that "States larger than the optimal range tend to disintegrate, and those smaller tend to be absorbed" (p. 204). Tilly's refutation was aimed at size, and Poland and Russia refute it. The book's variable is the irreversibility of a fiscal settlement and the closure of the sub-state path to decisive force inside a surviving polity, which a map cannot refute and only a reversed settlement or a replicated instrument could. Bean's own last paragraph concedes that this question is not his: the changes in war "practically guaranteed" the concentration of power, "However, there was no certainty as to which faction within the nation would control the new centralized state … That task remains a challenge to further research" (p. 221). That is spine §8(g)'s split between mechanism and constitutional form, drawn in 1973. Second, the evidence. Finer's two French paragraphs transpose Castillon and Formigny (p. 104 has Castillon in 1450 and Formigny in 1453), put the Italian campaign at 1484 (p. 127), and carry the tradition that the Estates "had in 1439 voted Charles VII the taille" (p. 127), which Russell Major destroyed in 1960 (see Decision 12); Bean's French evidence is a sentence and a figure from Oman and a misdated militia. The book's is the account books, the Bureau service, the 1442 establishment document and the Normandy census. That is the difference between a hypothesis and a demonstration, not between two hypotheses, and the chapter should say so in those words. Third, Bean's window: he has the offensive advantage lasting from about 1450 until "the second decade of the sixteenth century", after which "the balance was again in favor of the defense" (pp. 207–08). If so, the settlement outlasted the capability that set it by three centuries, which is what irreversibility means, and the chapter should say that too. Bean also formulates the bastion better than the book's present answer to Tilly: after 1525 "the minimum effective scale of fortification was considerably larger … there were many fewer places in Europe after 1525 A.D. with effective fortification" (p. 208), the closure of the sub-state path stated from the defensive face.</w:t>
      </w:r>
    </w:p>
    <w:p>
      <w:pPr>
        <w:spacing w:after="150" w:line="290"/>
      </w:pPr>
      <w:r>
        <w:rPr>
          <w:rFonts w:ascii="Georgia" w:cs="Georgia" w:eastAsia="Georgia" w:hAnsi="Georgia"/>
          <w:sz w:val="22"/>
          <w:szCs w:val="22"/>
        </w:rPr>
        <w:t xml:space="preserve">One objection in the same 1975 volume is unanswered and flagged. Gabriel Ardant, the French fiscal historian, holds that "Productivity, especially agricultural productivity, and demography were together the first obstacle, a really physical barrier to the power of the state" (p. 176), and that "The ambitions of kings for several centuries ran ahead of the economic structure of their states" (p. 193). On his reading the French settlement of the 1440s should not have held, because the base could not carry it. The book's answer would be that a capability no subject could replicate changed the politics of a fixed base rather than its size, but that answer is not yet written anywhere.</w:t>
      </w:r>
    </w:p>
    <w:p>
      <w:pPr>
        <w:spacing w:after="150" w:line="290"/>
      </w:pPr>
      <w:r>
        <w:rPr>
          <w:rFonts w:ascii="Georgia" w:cs="Georgia" w:eastAsia="Georgia" w:hAnsi="Georgia"/>
          <w:b/>
          <w:bCs/>
          <w:sz w:val="22"/>
          <w:szCs w:val="22"/>
        </w:rPr>
        <w:t xml:space="preserve">Why it matters.</w:t>
      </w:r>
      <w:r>
        <w:rPr>
          <w:rFonts w:ascii="Georgia" w:cs="Georgia" w:eastAsia="Georgia" w:hAnsi="Georgia"/>
          <w:sz w:val="22"/>
          <w:szCs w:val="22"/>
        </w:rPr>
        <w:t xml:space="preserve"> This is a large point because it protects the claim the book most needs to defend, and because it decides what the book may claim for itself. Read as the claim that artillery invented state control of organised force, the ratchet is refuted by McNeill's Venice; read as the claim that only artillery could produce a capital-intensive monopoly, by Glete's navies; if Chapter 10 keeps saying the guns won battles, by Commynes at Fornovo; and read as a new thesis, by a fifty-three-year-old article and a chapter in a volume the book already cites. A specialist who finds Tilly's 1985 verdict, or Finer at chapter two, in an afternoon will treat the book's description of Tilly as diagnostic of the whole. Defined narrowly — as scale, the end of the small sovereign, the French form of a wider capital-intensity effect, and the irreversibility of a settlement rather than the size of states — the same authors become the book's witnesses: McNeill for direction, Glete for breadth, Commynes for the demonstration, Bean for the shape of the thesis, Finer for its respectability, and Tilly's parenthesis about "larger fiscal bases" for the mechanism in miniature. The novelty then rests where it can be defended, on the object and the evidence, and Objection 6 in Chapter 10 becomes "How is this not Bean?", which is a better objection than an invented silence.</w:t>
      </w:r>
    </w:p>
    <w:p>
      <w:pPr>
        <w:spacing w:after="150" w:line="290"/>
      </w:pPr>
      <w:r>
        <w:rPr>
          <w:rFonts w:ascii="Georgia" w:cs="Georgia" w:eastAsia="Georgia" w:hAnsi="Georgia"/>
          <w:b/>
          <w:bCs/>
          <w:sz w:val="22"/>
          <w:szCs w:val="22"/>
        </w:rPr>
        <w:t xml:space="preserve">Your choices.</w:t>
      </w:r>
      <w:r>
        <w:rPr>
          <w:rFonts w:ascii="Georgia" w:cs="Georgia" w:eastAsia="Georgia" w:hAnsi="Georgia"/>
          <w:sz w:val="22"/>
          <w:szCs w:val="22"/>
        </w:rPr>
        <w:t xml:space="preserve"> Choice A is the full package. The ratchet is defined narrowly in the spine as scale and the end of the small sovereign, glossed as the artillery-and-taille form of a wider capital-intensity ratchet; McNeill is named in Chapters 4, 6 and 10 for direction, with a clause conceding that civil control of contracted force was an Italian achievement; the naval form is stated once at the close of Chapter 6 as an open question Part III inherits; Commynes enters Chapter 10 §IV by name with the chalk, the eight-hour siege and the Fornovo line; McNeill's fortress answer, sharpened by Bean's page 208, enters §VII. And §VII names Finer and Bean in the text as predecessors, concedes the anticipation, corrects the three passages that describe Tilly as silent, rebuilds Objection 6 as "How is this not Bean?", and rests the novelty on the explanandum and the evidence, with Bean's page 221 credited as the 1973 statement of the mechanism-versus-form split. The cost is a rewritten close of five or six hundred words, two or three sentences in each of two other chapters, a gloss in the spine, and a plain admission that the thesis is a descendant and not a discovery. It buys the chapter's best evidence and discipline from one volume, a T2 ally for exactly what the book claims, a sixteenth-century precedent for the bloc prediction, and a differentiation that holds because it is stated at the strength the record allows.</w:t>
      </w:r>
    </w:p>
    <w:p>
      <w:pPr>
        <w:spacing w:after="150" w:line="290"/>
      </w:pPr>
      <w:r>
        <w:rPr>
          <w:rFonts w:ascii="Georgia" w:cs="Georgia" w:eastAsia="Georgia" w:hAnsi="Georgia"/>
          <w:sz w:val="22"/>
          <w:szCs w:val="22"/>
        </w:rPr>
        <w:t xml:space="preserve">Choice B takes only the Commynes half and the Tilly correction: the close gains its eyewitness and Fornovo, the three Tilly passages are corrected and Bean is cited by name, while the ratchet stays unqualified, §VII stands, and Finer is footnoted. This is cheaper and removes the plainest error. But the fortress objection stays open, McNeill's Venice and Glete's navies remain uncited contradictions, and a reviewer with the 1975 volume will say the book conceded Bean and hid Finer.</w:t>
      </w:r>
    </w:p>
    <w:p>
      <w:pPr>
        <w:spacing w:after="150" w:line="290"/>
      </w:pPr>
      <w:r>
        <w:rPr>
          <w:rFonts w:ascii="Georgia" w:cs="Georgia" w:eastAsia="Georgia" w:hAnsi="Georgia"/>
          <w:sz w:val="22"/>
          <w:szCs w:val="22"/>
        </w:rPr>
        <w:t xml:space="preserve">Choice C keeps everything as drafted. The definite article stays forceful, no gloss interrupts the spine, and Tilly stays technology-agnostic. The cost is that the central mechanism is stated in a form that two T2 works contradict on the page, that the book's most-cited authority is described in a way the record shows to be wrong, and that its thesis is presented as new when its predecessor is in the </w:t>
      </w:r>
      <w:r>
        <w:rPr>
          <w:rFonts w:ascii="Georgia" w:cs="Georgia" w:eastAsia="Georgia" w:hAnsi="Georgia"/>
          <w:i/>
          <w:iCs/>
          <w:sz w:val="22"/>
          <w:szCs w:val="22"/>
        </w:rPr>
        <w:t xml:space="preserve">Journal of Economic History</w:t>
      </w:r>
      <w:r>
        <w:rPr>
          <w:rFonts w:ascii="Georgia" w:cs="Georgia" w:eastAsia="Georgia" w:hAnsi="Georgia"/>
          <w:sz w:val="22"/>
          <w:szCs w:val="22"/>
        </w:rPr>
        <w:t xml:space="preserve">.</w:t>
      </w:r>
    </w:p>
    <w:p>
      <w:pPr>
        <w:spacing w:after="150" w:line="290"/>
      </w:pPr>
      <w:r>
        <w:rPr>
          <w:rFonts w:ascii="Georgia" w:cs="Georgia" w:eastAsia="Georgia" w:hAnsi="Georgia"/>
          <w:sz w:val="22"/>
          <w:szCs w:val="22"/>
        </w:rPr>
        <w:t xml:space="preserve">Inside Choice A there are seven sub-choices, all lettered in the 16 September memo. T75-a is the concession itself, whether §VII names Finer, quotes Tilly's pages 51–52 and Finer's page 105, and rests the chapter's novelty on the explanandum and the evidence; this is the heart of A and I have treated it as such. T75-b touches doctrine: Tilly's own formula for what state-makers did to intermediate powers is "abridging, destroying or absorbing rights previously lodged in other political units: manors, communities, provinces, estates" (Tilly 1975, p. 37), and the question is whether that three-verb formula is offered in Chapter 10 §I and in CLAUDE.md §2 beside the book's "suppressing" and "subordinating", since it covers what Chapters 10 and 11 actually document better than either. T75-c is whether Chapter 10 §VI gains Brandenburg-Prussia as a fifth counter-case, at footnote length: the Great Elector's excise of 1680 was "indefinitely expansible", so that "the Elector no longer needed to call the Estates together", and Finer's word for the result is "the euthanasia of the Estates" (p. 138) — a polity where the tax made the assembly redundant without any artillery in the story, which is either a warning that the fisc can do the work alone or the best comparator the fiscal leg has; or §VI stays at four. T75-d is whether §VIII's licence to Part III carries Tilly's warning in the same sentence as the licence and not separately: "our ability to infer the probable events and sequences in contemporary states from an informed reading of European history is close to nil" (p. 82), against his own guarded concession on the same page that some relationships are general. B73-a is whether Bean is named in the text of §VII, with one sentence saying the book's explanandum is not his; B73-b is whether the Bean disanalogy is stated where the bridge to the present is made, since Bean's consolidation reduced the number of polities and the book's predicted consolidation reduces the number of independent holders of decisive capability while leaving the map of polities largely as it is, and the project's rules require every bridge to carry its disanalogy. B73-c is a question for Appendix C, the book's list of measurable leading indicators: whether it gains a window question, how long the compute-led stack's decisive advantage is expected to last, and whether the settlement it induces is claimed to survive the window's closing, as the French one survived Bean's by three centuries. Ardant's ceiling is not a choice but a flag: the objection is unanswered, and whoever rewrites §VII should either write the answer or leave the flag standing where a reviewer will see the book knows it.</w:t>
      </w:r>
    </w:p>
    <w:p>
      <w:pPr>
        <w:spacing w:after="150" w:line="290"/>
      </w:pPr>
      <w:r>
        <w:rPr>
          <w:rFonts w:ascii="Georgia" w:cs="Georgia" w:eastAsia="Georgia" w:hAnsi="Georgia"/>
          <w:b/>
          <w:bCs/>
          <w:sz w:val="22"/>
          <w:szCs w:val="22"/>
        </w:rPr>
        <w:t xml:space="preserve">My view.</w:t>
      </w:r>
      <w:r>
        <w:rPr>
          <w:rFonts w:ascii="Georgia" w:cs="Georgia" w:eastAsia="Georgia" w:hAnsi="Georgia"/>
          <w:sz w:val="22"/>
          <w:szCs w:val="22"/>
        </w:rPr>
        <w:t xml:space="preserve"> Choice A, and I hold it firmly: every part of the concession is already true on the book's own account, the narrow ratchet is the claim the argument actually needs, the Fornovo line is what makes the 1494 close believable, and a thesis that names Bean and Finer and shows what it adds to them looks disciplined where one that does not looks either ignorant or evasive. Of the sub-choices, T75-c and B73-c are the two I would take without hesitation, because each turns a predecessor's limitation into the book's own finding.</w:t>
      </w:r>
    </w:p>
    <w:p>
      <w:pPr>
        <w:pBdr>
          <w:top w:val="single" w:color="C9A227" w:sz="6"/>
          <w:left w:val="single" w:color="C9A227" w:sz="6"/>
          <w:right w:val="single" w:color="C9A227" w:sz="6"/>
        </w:pBdr>
        <w:shd w:fill="FFF4D6" w:color="auto" w:val="clear"/>
        <w:spacing w:after="60" w:before="200"/>
      </w:pPr>
      <w:r>
        <w:rPr>
          <w:rFonts w:ascii="Georgia" w:cs="Georgia" w:eastAsia="Georgia" w:hAnsi="Georgia"/>
          <w:b/>
          <w:bCs/>
          <w:color w:val="8A6D00"/>
          <w:sz w:val="23"/>
          <w:szCs w:val="23"/>
        </w:rPr>
        <w:t xml:space="preserve">YOUR RULING:  </w:t>
      </w:r>
    </w:p>
    <w:p>
      <w:pPr>
        <w:pBdr>
          <w:left w:val="single" w:color="C9A227" w:sz="6"/>
          <w:right w:val="single" w:color="C9A227" w:sz="6"/>
        </w:pBdr>
        <w:shd w:fill="FFF4D6" w:color="auto" w:val="clear"/>
        <w:spacing w:after="40"/>
      </w:pPr>
      <w:r>
        <w:rPr>
          <w:sz w:val="22"/>
          <w:szCs w:val="22"/>
        </w:rPr>
        <w:t xml:space="preserve"> </w:t>
      </w:r>
    </w:p>
    <w:p>
      <w:pPr>
        <w:pBdr>
          <w:left w:val="single" w:color="C9A227" w:sz="6"/>
          <w:right w:val="single" w:color="C9A227" w:sz="6"/>
        </w:pBdr>
        <w:shd w:fill="FFF4D6" w:color="auto" w:val="clear"/>
        <w:spacing w:after="40"/>
      </w:pPr>
      <w:r>
        <w:rPr>
          <w:sz w:val="22"/>
          <w:szCs w:val="22"/>
        </w:rPr>
        <w:t xml:space="preserve"> </w:t>
      </w:r>
    </w:p>
    <w:p>
      <w:pPr>
        <w:pBdr>
          <w:bottom w:val="single" w:color="C9A227" w:sz="6"/>
          <w:left w:val="single" w:color="C9A227" w:sz="6"/>
          <w:right w:val="single" w:color="C9A227" w:sz="6"/>
        </w:pBdr>
        <w:shd w:fill="FFF4D6" w:color="auto" w:val="clear"/>
        <w:spacing w:after="60"/>
      </w:pPr>
      <w:r>
        <w:rPr>
          <w:sz w:val="22"/>
          <w:szCs w:val="22"/>
        </w:rPr>
        <w:t xml:space="preserve"> </w:t>
      </w:r>
    </w:p>
    <w:p>
      <w:pPr>
        <w:pStyle w:val="Heading2"/>
        <w:spacing w:after="120" w:before="260"/>
      </w:pPr>
      <w:r>
        <w:rPr>
          <w:rFonts w:ascii="Georgia" w:cs="Georgia" w:eastAsia="Georgia" w:hAnsi="Georgia"/>
          <w:b/>
          <w:bCs/>
          <w:color w:val="1F3864"/>
          <w:sz w:val="25"/>
          <w:szCs w:val="25"/>
        </w:rPr>
        <w:t xml:space="preserve">Decision 11 — Tilly did not ignore the artillery thesis; he rejected it</w:t>
      </w:r>
    </w:p>
    <w:p>
      <w:pPr>
        <w:spacing w:after="140"/>
      </w:pPr>
      <w:r>
        <w:rPr>
          <w:rFonts w:ascii="Georgia" w:cs="Georgia" w:eastAsia="Georgia" w:hAnsi="Georgia"/>
          <w:i/>
          <w:iCs/>
          <w:color w:val="777777"/>
          <w:sz w:val="19"/>
          <w:szCs w:val="19"/>
        </w:rPr>
        <w:t xml:space="preserve">Covers rows: (mmm), Check 2</w:t>
      </w:r>
    </w:p>
    <w:p>
      <w:pPr>
        <w:spacing w:after="150" w:line="290"/>
      </w:pPr>
      <w:r>
        <w:rPr>
          <w:rFonts w:ascii="Georgia" w:cs="Georgia" w:eastAsia="Georgia" w:hAnsi="Georgia"/>
          <w:sz w:val="22"/>
          <w:szCs w:val="22"/>
        </w:rPr>
        <w:t xml:space="preserve">Folded into Decision 10. The earlier version of this decision said that Bean's 1973 article was not in the corpus and would need to be retrieved; it was read on 16 September, and the same day's reading of the 1975 Tilly volume showed that Finer had anticipated the thesis in the chapter Tilly edited and praised. The Tilly correction, the rebuilding of Chapter 10's Objection 6 as "How is this not Bean?", and the sub-choices B73-a–c are all now inside Decision 10, Choice A. Nothing here is lost; the numbering is kept so the rows can be mapped back.</w:t>
      </w:r>
    </w:p>
    <w:p>
      <w:pPr>
        <w:pBdr>
          <w:top w:val="single" w:color="C9A227" w:sz="6"/>
          <w:left w:val="single" w:color="C9A227" w:sz="6"/>
          <w:right w:val="single" w:color="C9A227" w:sz="6"/>
        </w:pBdr>
        <w:shd w:fill="FFF4D6" w:color="auto" w:val="clear"/>
        <w:spacing w:after="60" w:before="200"/>
      </w:pPr>
      <w:r>
        <w:rPr>
          <w:rFonts w:ascii="Georgia" w:cs="Georgia" w:eastAsia="Georgia" w:hAnsi="Georgia"/>
          <w:b/>
          <w:bCs/>
          <w:color w:val="8A6D00"/>
          <w:sz w:val="23"/>
          <w:szCs w:val="23"/>
        </w:rPr>
        <w:t xml:space="preserve">YOUR RULING:  </w:t>
      </w:r>
    </w:p>
    <w:p>
      <w:pPr>
        <w:pBdr>
          <w:left w:val="single" w:color="C9A227" w:sz="6"/>
          <w:right w:val="single" w:color="C9A227" w:sz="6"/>
        </w:pBdr>
        <w:shd w:fill="FFF4D6" w:color="auto" w:val="clear"/>
        <w:spacing w:after="40"/>
      </w:pPr>
      <w:r>
        <w:rPr>
          <w:sz w:val="22"/>
          <w:szCs w:val="22"/>
        </w:rPr>
        <w:t xml:space="preserve"> </w:t>
      </w:r>
    </w:p>
    <w:p>
      <w:pPr>
        <w:pBdr>
          <w:left w:val="single" w:color="C9A227" w:sz="6"/>
          <w:right w:val="single" w:color="C9A227" w:sz="6"/>
        </w:pBdr>
        <w:shd w:fill="FFF4D6" w:color="auto" w:val="clear"/>
        <w:spacing w:after="40"/>
      </w:pPr>
      <w:r>
        <w:rPr>
          <w:sz w:val="22"/>
          <w:szCs w:val="22"/>
        </w:rPr>
        <w:t xml:space="preserve"> </w:t>
      </w:r>
    </w:p>
    <w:p>
      <w:pPr>
        <w:pBdr>
          <w:bottom w:val="single" w:color="C9A227" w:sz="6"/>
          <w:left w:val="single" w:color="C9A227" w:sz="6"/>
          <w:right w:val="single" w:color="C9A227" w:sz="6"/>
        </w:pBdr>
        <w:shd w:fill="FFF4D6" w:color="auto" w:val="clear"/>
        <w:spacing w:after="60"/>
      </w:pPr>
      <w:r>
        <w:rPr>
          <w:sz w:val="22"/>
          <w:szCs w:val="22"/>
        </w:rPr>
        <w:t xml:space="preserve"> </w:t>
      </w:r>
    </w:p>
    <w:p>
      <w:pPr>
        <w:pStyle w:val="Heading2"/>
        <w:spacing w:after="120" w:before="260"/>
      </w:pPr>
      <w:r>
        <w:rPr>
          <w:rFonts w:ascii="Georgia" w:cs="Georgia" w:eastAsia="Georgia" w:hAnsi="Georgia"/>
          <w:b/>
          <w:bCs/>
          <w:color w:val="1F3864"/>
          <w:sz w:val="25"/>
          <w:szCs w:val="25"/>
        </w:rPr>
        <w:t xml:space="preserve">Decision 12 — Taxes, not credit: what kind of settlement 1439–51 was, and when the Estates General met</w:t>
      </w:r>
    </w:p>
    <w:p>
      <w:pPr>
        <w:spacing w:after="140"/>
      </w:pPr>
      <w:r>
        <w:rPr>
          <w:rFonts w:ascii="Georgia" w:cs="Georgia" w:eastAsia="Georgia" w:hAnsi="Georgia"/>
          <w:i/>
          <w:iCs/>
          <w:color w:val="777777"/>
          <w:sz w:val="19"/>
          <w:szCs w:val="19"/>
        </w:rPr>
        <w:t xml:space="preserve">Covers rows: (xxx), (ccc), Check 1, and M60-a–e (the Major intake of 16 September). Touches spine §8(a).</w:t>
      </w:r>
    </w:p>
    <w:p>
      <w:pPr>
        <w:spacing w:after="150" w:line="290"/>
      </w:pPr>
      <w:r>
        <w:rPr>
          <w:rFonts w:ascii="Georgia" w:cs="Georgia" w:eastAsia="Georgia" w:hAnsi="Georgia"/>
          <w:b/>
          <w:bCs/>
          <w:sz w:val="22"/>
          <w:szCs w:val="22"/>
        </w:rPr>
        <w:t xml:space="preserve">The background.</w:t>
      </w:r>
      <w:r>
        <w:rPr>
          <w:rFonts w:ascii="Georgia" w:cs="Georgia" w:eastAsia="Georgia" w:hAnsi="Georgia"/>
          <w:sz w:val="22"/>
          <w:szCs w:val="22"/>
        </w:rPr>
        <w:t xml:space="preserve"> Chapter 10, section III, is the book's account of the French fiscal settlement of the 1440s, when the taille — the direct tax on commoners — became permanent to pay for the standing companies and the artillery. The section runs what it calls a control experiment: "At the Estates of Tours in 1484 — the first Estates General in decades, meeting over a royal minority — the assembled realm asserted itself: the taille was granted for two years only and cut to some 1.5 million. The machine absorbed the cut, outlived the assertion, and no Estates General met again until 1560." Later in the section the assemblies are described as "not summoned again for nearly forty years", and the section closes by calling the French case "the coupling's first full demonstration". Chapter 4 §VII and Chapter 10 together lean on a phrase about consolidation moving "fastest where the fisc is deepest". The spine's section 8(a) states flatly that "No Estates General met again until 1484". The earlier version of this decision said the 1468 meeting was "pending Major 1960". It is not pending. J. Russell Major's </w:t>
      </w:r>
      <w:r>
        <w:rPr>
          <w:rFonts w:ascii="Georgia" w:cs="Georgia" w:eastAsia="Georgia" w:hAnsi="Georgia"/>
          <w:i/>
          <w:iCs/>
          <w:sz w:val="22"/>
          <w:szCs w:val="22"/>
        </w:rPr>
        <w:t xml:space="preserve">Representative Institutions in Renaissance France, 1421–1559</w:t>
      </w:r>
      <w:r>
        <w:rPr>
          <w:rFonts w:ascii="Georgia" w:cs="Georgia" w:eastAsia="Georgia" w:hAnsi="Georgia"/>
          <w:sz w:val="22"/>
          <w:szCs w:val="22"/>
        </w:rPr>
        <w:t xml:space="preserve"> (Wisconsin, 1960) was read on 16 September, and it does three things to this section, one of which reaches the spine.</w:t>
      </w:r>
    </w:p>
    <w:p>
      <w:pPr>
        <w:spacing w:after="150" w:line="290"/>
      </w:pPr>
      <w:r>
        <w:rPr>
          <w:rFonts w:ascii="Georgia" w:cs="Georgia" w:eastAsia="Georgia" w:hAnsi="Georgia"/>
          <w:sz w:val="22"/>
          <w:szCs w:val="22"/>
        </w:rPr>
        <w:t xml:space="preserve">Take the settled matter first. David Stasavage, an American political scientist, in </w:t>
      </w:r>
      <w:r>
        <w:rPr>
          <w:rFonts w:ascii="Georgia" w:cs="Georgia" w:eastAsia="Georgia" w:hAnsi="Georgia"/>
          <w:i/>
          <w:iCs/>
          <w:sz w:val="22"/>
          <w:szCs w:val="22"/>
        </w:rPr>
        <w:t xml:space="preserve">States of Credit</w:t>
      </w:r>
      <w:r>
        <w:rPr>
          <w:rFonts w:ascii="Georgia" w:cs="Georgia" w:eastAsia="Georgia" w:hAnsi="Georgia"/>
          <w:sz w:val="22"/>
          <w:szCs w:val="22"/>
        </w:rPr>
        <w:t xml:space="preserve"> (Princeton, 2011), is the standard quantitative account of who in Europe could borrow long-term. A funded debt is a loan secured on a named tax and paid to bondholders indefinitely; his finding is that only small city-states could sustain one before 1500, because only a city could keep an assembly of creditors sitting often enough to watch the money. His table dates the first long-term loans to Arras in 1241 and Venice in 1262, the first by a territorial state to Castile in 1489 and France in 1522. "Prior to 1500, we cannot directly compare city-states and territorial states, because no territorial states had yet created long-term debts." So the French settlement ran seventy-six years without the instrument that "depth of fisc" would normally mean. His Dutch case supports your ordering: the Dutch revolt "was first and foremost a tax revolution … it was only after this point that borrowing became a major source of war finance". Commynes, the eyewitness of Decision 10, supplies the 1484 numbers from the other end: Charles VIII resolved in 1498 to take no more than "douze cens mil frans et par forme de taille, oultre son domayne, qui estoit la somme que les trois Estatz luy avoyent accordée à Tours", while "le peuple, qui paie au jour d'uy plus de deux milions et demy de francs de taille" (Calmette III, p. 304).</w:t>
      </w:r>
    </w:p>
    <w:p>
      <w:pPr>
        <w:spacing w:after="150" w:line="290"/>
      </w:pPr>
      <w:r>
        <w:rPr>
          <w:rFonts w:ascii="Georgia" w:cs="Georgia" w:eastAsia="Georgia" w:hAnsi="Georgia"/>
          <w:sz w:val="22"/>
          <w:szCs w:val="22"/>
        </w:rPr>
        <w:t xml:space="preserve">Now Major. His first finding is the spine sentence. His appendix, "Assemblies of the Estates General and the Estates of Languedoil, 1421–1615" (pp. 151–52), marks every doubtful assembly with a query symbol. Between the Orléans meeting of 1439 and Tours in 1484 it lists an Estates General at Tours in April 1468 with no query. His chapter on it (pp. 54–58) gives the detail: letters of convocation on 26 February 1468; town deputies "named in general assemblies of the inhabitants" (p. 54); present, "five of the six peers of the church … and nineteen other archbishops and bishops", "over twenty-four nobles", and "the clerical and lay deputies from sixty-four towns; they must have numbered close to two hundred" (p. 55). He expressly denies it was managed: "There is no real proof that either Louis XI or the rebellious nobles tampered with the elections in the towns … The oft-quoted statement of Commynes that Louis summoned whom he wished does not apply to the estates of 1468" (p. 55). Its business was Normandy, Brittany and England; its output was recommendations, "all that Louis could have wished" (p. 57); and no tax was granted. So "No Estates General met again until 1484" does not survive: the gaps are 1440 to 1468, twenty-eight years, and 1468 to 1484, sixteen. Chapter 10 §III's "nearly forty years" fails with it. So does "no Estates General met again until 1560", because the same appendix lists May 1506 at Tours and January 1558 at Paris as restricted Estates General, assemblies to which only a limited number of clergy, nobles and town deputies were summoned, and Major gives the 1558 meeting its own section, at which the clergy offered 2,300,000 livres and the towns 4,600,000 (p. 147). Ertman's formula, "a full, working Estates General was not to meet again until 1560" (pp. 92–93), is the defensible one; the draft dropped the qualifier. What survives, and survives intact, is the substance: 1468 granted nothing; 1484's grant was breached within months; and "There is no evidence of any move to force the promised convocation of the Estates General by the refusal to vote taxes or by any other means" (p. 116).</w:t>
      </w:r>
    </w:p>
    <w:p>
      <w:pPr>
        <w:spacing w:after="150" w:line="290"/>
      </w:pPr>
      <w:r>
        <w:rPr>
          <w:rFonts w:ascii="Georgia" w:cs="Georgia" w:eastAsia="Georgia" w:hAnsi="Georgia"/>
          <w:sz w:val="22"/>
          <w:szCs w:val="22"/>
        </w:rPr>
        <w:t xml:space="preserve">His second finding is the 1484 figures, and it reconciles the draft with the primary. The Estates offered 1,200,000 livres for two years; the council announced in August 1484 that the taille for 1485 would be 1,500,000 "in spite of the fact the Estates General had granted only 1,200,000 livres for that year" (p. 115), and returned to 1,500,000 for 1486 though "the Estates General had made no offer at all for that year" (p. 115). The cut was from 4,400,000 levied under Louis XI, and "Perhaps no French government ever went further to meet the desires of the people" (p. 100). Commynes's 1.2 million "par forme de taille" is the grant; the draft's 1.5 million is the levy; the draft has conflated them, and the corrected sentence reads: granted 1,200,000 for two years, levied 1,500,000, down from 4,400,000.</w:t>
      </w:r>
    </w:p>
    <w:p>
      <w:pPr>
        <w:spacing w:after="150" w:line="290"/>
      </w:pPr>
      <w:r>
        <w:rPr>
          <w:rFonts w:ascii="Georgia" w:cs="Georgia" w:eastAsia="Georgia" w:hAnsi="Georgia"/>
          <w:sz w:val="22"/>
          <w:szCs w:val="22"/>
        </w:rPr>
        <w:t xml:space="preserve">His third finding is the largest, because it is about the book's founding date. The textbook story is that the Estates of 1439 consented to a permanent army and a permanent taille, freeing the king from consent thereafter. Chapter 10 §III already holds that story "at tertiary strength". Major goes further: "A completely erroneous theory has developed that the estates at this time consented to the creation of a permanent standing army and voted a permanent taille for its support … it contains scarcely a word of truth, as Antoine Thomas pointed out as early as 1878" (pp. 32–33). Of the 1439 act: "The purpose of these articles was to restore discipline, not to create a permanent army" (p. 33), and "Nothing whatsoever was said about a permanent taille, and only 100,000 livres were voted" (p. 34). What actually closed consent, on his account, happened in two steps inside the artillery years. The aides, the indirect taxes, were converted province by province after 1440 and then "collected without further consultation with the estates" (p. 40). Then in 1451 Charles VII abolished the regular taille as a tax cut and kept only the taille des gens de guerre, the tax for the soldiers: "the king ordered the élus to impose the necessary taxes to support the lances without convoking the provincial estates to give consent. The taille to support the army, like the aides some years earlier, had come to be levied by royal command alone" (p. 42). That is two years into the Normandy campaign and two years before Castillon, and it was done by reducing the burden by a third, not by force. He also supplies the king's own words, from the reply to the rebel nobles in 1442: "it is not necessary to assemble the three estates to levy the tailles because it is only a burden and an expense to the poor common people who have to pay the cost of those who attend" (pp. 34–35), which is the draft's "It was simply not consulted, year after year, until non-consultation was the constitution" said by the man who did it. And a hard number: in 1461, 58 per cent of royal income came from the taille, and "As long as the estates controlled this tax, the crown could not become financially independent" (p. 32).</w:t>
      </w:r>
    </w:p>
    <w:p>
      <w:pPr>
        <w:spacing w:after="150" w:line="290"/>
      </w:pPr>
      <w:r>
        <w:rPr>
          <w:rFonts w:ascii="Georgia" w:cs="Georgia" w:eastAsia="Georgia" w:hAnsi="Georgia"/>
          <w:sz w:val="22"/>
          <w:szCs w:val="22"/>
        </w:rPr>
        <w:t xml:space="preserve">Two further things Major says cut against the chapter and must be recorded. The Estates General lapsed, on his reading, not because of the guns but because the provinces would not attend and the crown found it "no longer necessary" (p. 36), and the lapse dates from 1440, before the guns and independent of them; indeed "it was far more difficult for Charles to control the deliberations of the provincial estates and the towns than those of the Estates General" (p. 38), so abandoning the national assembly was no victory. The ratchet's object must therefore be the provincial estates and the magnates, not the Estates General. And he denies the inference from the standing army to subordination with arithmetic: two thousand lances and sixteen thousand francs-archers, "less than two modern divisions", could "hardly subject a population of 15,000,000 persons" (p. 9); the towns "had comparable forces equipped with artillery and munitions" (p. 9); and "The compagnies d'ordonnance were composed almost entirely of the local nobility and captained by members of the leading families of the provinces" (p. 9). Finally, a counter-instance on the book's own ground: in 1458, five years after Castillon, in the very province the siege train had reconquered, the king "committed himself to first winning the approval of the three estates of the duchy" of Normandy, whose estates then met every year "for nearly two centuries" (p. 44); and where consent survived, in Normandy and Languedoc, the taille per hearth was roughly three times what it was in the provinces that had lost it (p. 42).</w:t>
      </w:r>
    </w:p>
    <w:p>
      <w:pPr>
        <w:spacing w:after="150" w:line="290"/>
      </w:pPr>
      <w:r>
        <w:rPr>
          <w:rFonts w:ascii="Georgia" w:cs="Georgia" w:eastAsia="Georgia" w:hAnsi="Georgia"/>
          <w:b/>
          <w:bCs/>
          <w:sz w:val="22"/>
          <w:szCs w:val="22"/>
        </w:rPr>
        <w:t xml:space="preserve">Why it matters.</w:t>
      </w:r>
      <w:r>
        <w:rPr>
          <w:rFonts w:ascii="Georgia" w:cs="Georgia" w:eastAsia="Georgia" w:hAnsi="Georgia"/>
          <w:sz w:val="22"/>
          <w:szCs w:val="22"/>
        </w:rPr>
        <w:t xml:space="preserve"> Four things of rising weight, and the last touches spine §8(a) directly, so this is now one of the largest decisions on the sheet. The 1484 figures are a plain accuracy point, now settled by a T2 and a T1 that agree. The "nearly forty years", "until 1484" and "until 1560" clauses are a factual exposure of the simplest kind: a reviewer opens Major's appendix and finds 1468, 1506 and 1558. Stasavage's apparatus is aimed at war-and-state-formation arguments, and a specialist will ask whether the chapter claims a fiscal-military state for a polity with no funded debt for three generations; the answer is that your mechanism was never a credit mechanism, but the chapter never says so. And the hinge: the book currently dates its French settlement to 1439–46 on a tradition that the standard authority on French representative institutions called "scarcely a word of truth" sixty-six years ago, when the same authority offers 1451, inside the artillery years, as the point at which the army's tax came to be "levied by royal command alone". That is better for the book than 1439, because it puts the decisive step between the Normandy census and Castillon; but it is a change to the founding date, and Major's own explanation of it is a tax cut and provincial particularism, not a siege train. His army-too-small objection is the same objection Ertman made, from a source thirty-seven years older, and the book's answer, that the crown held the artillery arm as a department of state while the cavalry arm remained a patronage instrument shared with the nobility, is not yet said out loud.</w:t>
      </w:r>
    </w:p>
    <w:p>
      <w:pPr>
        <w:spacing w:after="150" w:line="290"/>
      </w:pPr>
      <w:r>
        <w:rPr>
          <w:rFonts w:ascii="Georgia" w:cs="Georgia" w:eastAsia="Georgia" w:hAnsi="Georgia"/>
          <w:b/>
          <w:bCs/>
          <w:sz w:val="22"/>
          <w:szCs w:val="22"/>
        </w:rPr>
        <w:t xml:space="preserve">Your choices.</w:t>
      </w:r>
      <w:r>
        <w:rPr>
          <w:rFonts w:ascii="Georgia" w:cs="Georgia" w:eastAsia="Georgia" w:hAnsi="Georgia"/>
          <w:sz w:val="22"/>
          <w:szCs w:val="22"/>
        </w:rPr>
        <w:t xml:space="preserve"> Choice A is the full correction. Spine §8(a)'s sentence is reworded to Ertman's qualified form: frequent convocation abandoned after 1440, 1468 named as an Estates General that granted no tax, 1484's grant breached within months, no full working Estates General until 1560. Chapter 10 §III drops "nearly forty years" and "until 1560" for the same form; re-bases the 1484 figures on Major and Commynes, granted 1,200,000 for two years, levied 1,500,000, down from 4,400,000, with more than 2,500,000 paid by 1498; gains one or two sentences saying in terms that this was a tax settlement and not a credit one, with Stasavage named and France's first funded debt of 1522 placed; and replaces "fastest where the fisc is deepest" with "the capacity to tax at scale" in both chapters. It costs perhaps two hundred and fifty words, one adjective in the spine, and the surrender of a neat number. It buys a paragraph a quantitative historian cannot dent and a spine sentence that survives its own appendix. Choice B holds the paragraph as drafted and logs Major and Stasavage in the chapter's critiques file only. The section keeps its momentum; the spine keeps a sentence that a published table contradicts; the 1.5 million stays unexplained against a primary and a T2 that both say 1.2 was granted; and "first full demonstration" sits unqualified in a chapter that never says which leg of public finance it demonstrates. I do not think B is available for the spine sentence at all, and the Major intake marked that sub-choice as yours.</w:t>
      </w:r>
    </w:p>
    <w:p>
      <w:pPr>
        <w:spacing w:after="150" w:line="290"/>
      </w:pPr>
      <w:r>
        <w:rPr>
          <w:rFonts w:ascii="Georgia" w:cs="Georgia" w:eastAsia="Georgia" w:hAnsi="Georgia"/>
          <w:sz w:val="22"/>
          <w:szCs w:val="22"/>
        </w:rPr>
        <w:t xml:space="preserve">Inside Choice A there are five sub-choices, lettered M60-a to M60-e. M60-a is the spine sentence itself, reworded or retired on the 1468 evidence, with §III's two clauses corrected to match; the memo marks this as Roderick's, and I have treated it above as the one part of A that cannot be declined. M60-b is the hinge: whether §III adds 1451, the taille des gens de guerre levied by royal command alone (Major, p. 42), to the 1439, 1445, 1446 and c. 1450 sequence, and whether the ratchet's object is restated as the provincial estates and the magnates rather than the Estates General, which had lapsed for reasons the book does not claim. Taking it means the settlement is dated by the closure of consent in the provinces rather than by a grant that Major says was never made; declining it means the chapter keeps a founding date that its own principal revisionist has demolished and that Finer, in Decision 10, repeated carelessly. M60-c is the 1484 figures, already stated above; the correction is mechanical and I can see no reason to decline it. M60-d is whether §VII answers Major by name on the army-too-small objection, distinguishing the siege train from the companies and conceding that the companies were officered by the provincial nobility, a concession Chapter 10's memo already recorded from Ertman; the alternative is to leave the objection to the critiques file, where a reviewer holding Major's page 9 will not find it. M60-e is whether §III or §VI carries Normandy 1458, consent conceded after the reconquest and kept for two centuries, as the book's own evidence that the mechanism does not determine the constitutional form, which is exactly the point spine §8(g) makes for the present; or declines it with a reason. It is the strongest medieval demonstration available that the same mechanism produced both branches inside one kingdom, and it is not currently in the chapter.</w:t>
      </w:r>
    </w:p>
    <w:p>
      <w:pPr>
        <w:spacing w:after="150" w:line="290"/>
      </w:pPr>
      <w:r>
        <w:rPr>
          <w:rFonts w:ascii="Georgia" w:cs="Georgia" w:eastAsia="Georgia" w:hAnsi="Georgia"/>
          <w:b/>
          <w:bCs/>
          <w:sz w:val="22"/>
          <w:szCs w:val="22"/>
        </w:rPr>
        <w:t xml:space="preserve">My view.</w:t>
      </w:r>
      <w:r>
        <w:rPr>
          <w:rFonts w:ascii="Georgia" w:cs="Georgia" w:eastAsia="Georgia" w:hAnsi="Georgia"/>
          <w:sz w:val="22"/>
          <w:szCs w:val="22"/>
        </w:rPr>
        <w:t xml:space="preserve"> Choice A with all five sub-choices, and this is not close: the spine sentence is false as written and a published appendix says so; the 1484 figures now have a primary and a T2 in agreement; the tax-not-credit sentence costs almost nothing and pre-empts the likeliest specialist objection to Part II's centrepiece; and 1451 is a better hinge than 1439 because it is true, it is inside the artillery years, and it is Major's, which means the chapter's principal revisionist supplies its founding date. I would take Normandy 1458 for the same reason I would take Bean's closing paragraph in Decision 10: it makes the mechanism-versus-form split look like the shape the evidence has always had rather than a hedge the book adopted in September.</w:t>
      </w:r>
    </w:p>
    <w:p>
      <w:pPr>
        <w:pBdr>
          <w:top w:val="single" w:color="C9A227" w:sz="6"/>
          <w:left w:val="single" w:color="C9A227" w:sz="6"/>
          <w:right w:val="single" w:color="C9A227" w:sz="6"/>
        </w:pBdr>
        <w:shd w:fill="FFF4D6" w:color="auto" w:val="clear"/>
        <w:spacing w:after="60" w:before="200"/>
      </w:pPr>
      <w:r>
        <w:rPr>
          <w:rFonts w:ascii="Georgia" w:cs="Georgia" w:eastAsia="Georgia" w:hAnsi="Georgia"/>
          <w:b/>
          <w:bCs/>
          <w:color w:val="8A6D00"/>
          <w:sz w:val="23"/>
          <w:szCs w:val="23"/>
        </w:rPr>
        <w:t xml:space="preserve">YOUR RULING:  </w:t>
      </w:r>
    </w:p>
    <w:p>
      <w:pPr>
        <w:pBdr>
          <w:left w:val="single" w:color="C9A227" w:sz="6"/>
          <w:right w:val="single" w:color="C9A227" w:sz="6"/>
        </w:pBdr>
        <w:shd w:fill="FFF4D6" w:color="auto" w:val="clear"/>
        <w:spacing w:after="40"/>
      </w:pPr>
      <w:r>
        <w:rPr>
          <w:sz w:val="22"/>
          <w:szCs w:val="22"/>
        </w:rPr>
        <w:t xml:space="preserve"> </w:t>
      </w:r>
    </w:p>
    <w:p>
      <w:pPr>
        <w:pBdr>
          <w:left w:val="single" w:color="C9A227" w:sz="6"/>
          <w:right w:val="single" w:color="C9A227" w:sz="6"/>
        </w:pBdr>
        <w:shd w:fill="FFF4D6" w:color="auto" w:val="clear"/>
        <w:spacing w:after="40"/>
      </w:pPr>
      <w:r>
        <w:rPr>
          <w:sz w:val="22"/>
          <w:szCs w:val="22"/>
        </w:rPr>
        <w:t xml:space="preserve"> </w:t>
      </w:r>
    </w:p>
    <w:p>
      <w:pPr>
        <w:pBdr>
          <w:bottom w:val="single" w:color="C9A227" w:sz="6"/>
          <w:left w:val="single" w:color="C9A227" w:sz="6"/>
          <w:right w:val="single" w:color="C9A227" w:sz="6"/>
        </w:pBdr>
        <w:shd w:fill="FFF4D6" w:color="auto" w:val="clear"/>
        <w:spacing w:after="60"/>
      </w:pPr>
      <w:r>
        <w:rPr>
          <w:sz w:val="22"/>
          <w:szCs w:val="22"/>
        </w:rPr>
        <w:t xml:space="preserve"> </w:t>
      </w:r>
    </w:p>
    <w:p>
      <w:pPr>
        <w:pStyle w:val="Heading2"/>
        <w:spacing w:after="120" w:before="260"/>
      </w:pPr>
      <w:r>
        <w:rPr>
          <w:rFonts w:ascii="Georgia" w:cs="Georgia" w:eastAsia="Georgia" w:hAnsi="Georgia"/>
          <w:b/>
          <w:bCs/>
          <w:color w:val="1F3864"/>
          <w:sz w:val="25"/>
          <w:szCs w:val="25"/>
        </w:rPr>
        <w:t xml:space="preserve">Decision 13 — Venice and the funded debt: three corrections</w:t>
      </w:r>
    </w:p>
    <w:p>
      <w:pPr>
        <w:spacing w:after="140"/>
      </w:pPr>
      <w:r>
        <w:rPr>
          <w:rFonts w:ascii="Georgia" w:cs="Georgia" w:eastAsia="Georgia" w:hAnsi="Georgia"/>
          <w:i/>
          <w:iCs/>
          <w:color w:val="777777"/>
          <w:sz w:val="19"/>
          <w:szCs w:val="19"/>
        </w:rPr>
        <w:t xml:space="preserve">Covers rows: (aaa), (bbb), (eee)</w:t>
      </w:r>
    </w:p>
    <w:p>
      <w:pPr>
        <w:spacing w:after="150" w:line="290"/>
      </w:pPr>
      <w:r>
        <w:rPr>
          <w:rFonts w:ascii="Georgia" w:cs="Georgia" w:eastAsia="Georgia" w:hAnsi="Georgia"/>
          <w:b/>
          <w:bCs/>
          <w:sz w:val="22"/>
          <w:szCs w:val="22"/>
        </w:rPr>
        <w:t xml:space="preserve">The background.</w:t>
      </w:r>
      <w:r>
        <w:rPr>
          <w:rFonts w:ascii="Georgia" w:cs="Georgia" w:eastAsia="Georgia" w:hAnsi="Georgia"/>
          <w:sz w:val="22"/>
          <w:szCs w:val="22"/>
        </w:rPr>
        <w:t xml:space="preserve"> Chapter 4, section VI, makes three statements about Venice that the September reading contradicts. It calls the Monte Vecchio of 1262 "the first funded sovereign debt in European history". It says the instruments of public debt "emerge wherever scale, commerce and insecurity meet". And, together with Chapter 10, section VI, it diagnoses the Venetian limit as "almost no bureaucracy", a phrase borrowed from Frederic Lane, the American historian of Venice.</w:t>
      </w:r>
    </w:p>
    <w:p>
      <w:pPr>
        <w:spacing w:after="150" w:line="290"/>
      </w:pPr>
      <w:r>
        <w:rPr>
          <w:rFonts w:ascii="Georgia" w:cs="Georgia" w:eastAsia="Georgia" w:hAnsi="Georgia"/>
          <w:sz w:val="22"/>
          <w:szCs w:val="22"/>
        </w:rPr>
        <w:t xml:space="preserve">On the first, Stasavage's table dates Arras to 1241 and Venice to 1262, and on Epstein's evidence Genoa consolidated its debt in 1259, giving creditors shares in a new fund paying a nominal eight per cent with a right of sale that "created a secondary market". Lane's narrower formulation survives: Venice was the first European state to fund its debt so that interest was paid regularly from one fund to all bondholders equally. On the second, Stasavage's whole argument runs the other way — "geographic scale often proved to be a fundamental obstacle" — because the close creditor supervision that made lending safe was only possible where an assembly could meet weekly. On his sample, a city-state without a debt had a 43 per cent chance of creating one in a given half-century against a territorial state's 5 per cent, and city-states borrowed about two percentage points cheaper. He also re-points the paternity: "it was actually the system of municipal debt developed in northern Europe that would set the model for long-term government borrowing in Europe until the end of the nineteenth century" — the northern annuity, not the Venetian bond. On the third, Glete contradicts the phrase directly: "Venice also had a large permanent and state-administered navy and may in terms of permanent armed force have ranked number one in Europe in 1500" (p. 13). Lane's judgement was about civil administration, not about the absence of an apparatus; and Stasavage adds that Venice "continued to borrow at very low interest rates into the eighteenth century, long after its period as an innovator in industrial production, or as a principal hub of commerce, had ended".</w:t>
      </w:r>
    </w:p>
    <w:p>
      <w:pPr>
        <w:spacing w:after="150" w:line="290"/>
      </w:pPr>
      <w:r>
        <w:rPr>
          <w:rFonts w:ascii="Georgia" w:cs="Georgia" w:eastAsia="Georgia" w:hAnsi="Georgia"/>
          <w:b/>
          <w:bCs/>
          <w:sz w:val="22"/>
          <w:szCs w:val="22"/>
        </w:rPr>
        <w:t xml:space="preserve">Why it matters.</w:t>
      </w:r>
      <w:r>
        <w:rPr>
          <w:rFonts w:ascii="Georgia" w:cs="Georgia" w:eastAsia="Georgia" w:hAnsi="Georgia"/>
          <w:sz w:val="22"/>
          <w:szCs w:val="22"/>
        </w:rPr>
        <w:t xml:space="preserve"> These are housekeeping in scale but not in effect, because each is a checkable error in a chapter that sets up the medieval alternatives to the state, and the dates are in a table any reviewer can open. The third correction also strengthens the argument: a Venice that had the permanent navy and the cheap credit and still could not consolidate is better evidence for the book's two-variable finding — armed force and permanent fisc both needed — than a Venice that merely lacked institutions.</w:t>
      </w:r>
    </w:p>
    <w:p>
      <w:pPr>
        <w:spacing w:after="150" w:line="290"/>
      </w:pPr>
      <w:r>
        <w:rPr>
          <w:rFonts w:ascii="Georgia" w:cs="Georgia" w:eastAsia="Georgia" w:hAnsi="Georgia"/>
          <w:b/>
          <w:bCs/>
          <w:sz w:val="22"/>
          <w:szCs w:val="22"/>
        </w:rPr>
        <w:t xml:space="preserve">Your choices.</w:t>
      </w:r>
      <w:r>
        <w:rPr>
          <w:rFonts w:ascii="Georgia" w:cs="Georgia" w:eastAsia="Georgia" w:hAnsi="Georgia"/>
          <w:sz w:val="22"/>
          <w:szCs w:val="22"/>
        </w:rPr>
        <w:t xml:space="preserve"> Choice A takes all three: Lane's exact wording replaces the superlative, with Genoa 1259 and Arras 1241 named in the same breath; "wherever scale, commerce and insecurity meet" becomes "a scale small enough to be governed by its creditors", with a clause conceding the northern annuity as the true template; and "almost no bureaucracy" becomes a sentence saying Venice had the permanent naval organisation and lacked the fiscal-administrative reach into a hinterland. The cost is one superlative, one neat triad and one brisk dismissal, and a slightly longer sentence in each place. Choice B keeps the wording and footnotes the doubts. That is not attractive here: the footnote to "first" would have to admit two earlier instruments, which reads worse than writing Lane's sentence, and the navy contradiction is a matter of fact rather than register.</w:t>
      </w:r>
    </w:p>
    <w:p>
      <w:pPr>
        <w:spacing w:after="150" w:line="290"/>
      </w:pPr>
      <w:r>
        <w:rPr>
          <w:rFonts w:ascii="Georgia" w:cs="Georgia" w:eastAsia="Georgia" w:hAnsi="Georgia"/>
          <w:b/>
          <w:bCs/>
          <w:sz w:val="22"/>
          <w:szCs w:val="22"/>
        </w:rPr>
        <w:t xml:space="preserve">My view.</w:t>
      </w:r>
      <w:r>
        <w:rPr>
          <w:rFonts w:ascii="Georgia" w:cs="Georgia" w:eastAsia="Georgia" w:hAnsi="Georgia"/>
          <w:sz w:val="22"/>
          <w:szCs w:val="22"/>
        </w:rPr>
        <w:t xml:space="preserve"> Choice A on all three, because in each case the corrected sentence serves Part II better than the one it replaces.</w:t>
      </w:r>
    </w:p>
    <w:p>
      <w:pPr>
        <w:pBdr>
          <w:top w:val="single" w:color="C9A227" w:sz="6"/>
          <w:left w:val="single" w:color="C9A227" w:sz="6"/>
          <w:right w:val="single" w:color="C9A227" w:sz="6"/>
        </w:pBdr>
        <w:shd w:fill="FFF4D6" w:color="auto" w:val="clear"/>
        <w:spacing w:after="60" w:before="200"/>
      </w:pPr>
      <w:r>
        <w:rPr>
          <w:rFonts w:ascii="Georgia" w:cs="Georgia" w:eastAsia="Georgia" w:hAnsi="Georgia"/>
          <w:b/>
          <w:bCs/>
          <w:color w:val="8A6D00"/>
          <w:sz w:val="23"/>
          <w:szCs w:val="23"/>
        </w:rPr>
        <w:t xml:space="preserve">YOUR RULING:  </w:t>
      </w:r>
    </w:p>
    <w:p>
      <w:pPr>
        <w:pBdr>
          <w:left w:val="single" w:color="C9A227" w:sz="6"/>
          <w:right w:val="single" w:color="C9A227" w:sz="6"/>
        </w:pBdr>
        <w:shd w:fill="FFF4D6" w:color="auto" w:val="clear"/>
        <w:spacing w:after="40"/>
      </w:pPr>
      <w:r>
        <w:rPr>
          <w:sz w:val="22"/>
          <w:szCs w:val="22"/>
        </w:rPr>
        <w:t xml:space="preserve"> </w:t>
      </w:r>
    </w:p>
    <w:p>
      <w:pPr>
        <w:pBdr>
          <w:left w:val="single" w:color="C9A227" w:sz="6"/>
          <w:right w:val="single" w:color="C9A227" w:sz="6"/>
        </w:pBdr>
        <w:shd w:fill="FFF4D6" w:color="auto" w:val="clear"/>
        <w:spacing w:after="40"/>
      </w:pPr>
      <w:r>
        <w:rPr>
          <w:sz w:val="22"/>
          <w:szCs w:val="22"/>
        </w:rPr>
        <w:t xml:space="preserve"> </w:t>
      </w:r>
    </w:p>
    <w:p>
      <w:pPr>
        <w:pBdr>
          <w:bottom w:val="single" w:color="C9A227" w:sz="6"/>
          <w:left w:val="single" w:color="C9A227" w:sz="6"/>
          <w:right w:val="single" w:color="C9A227" w:sz="6"/>
        </w:pBdr>
        <w:shd w:fill="FFF4D6" w:color="auto" w:val="clear"/>
        <w:spacing w:after="60"/>
      </w:pPr>
      <w:r>
        <w:rPr>
          <w:sz w:val="22"/>
          <w:szCs w:val="22"/>
        </w:rPr>
        <w:t xml:space="preserve"> </w:t>
      </w:r>
    </w:p>
    <w:p>
      <w:pPr>
        <w:pStyle w:val="Heading2"/>
        <w:spacing w:after="120" w:before="260"/>
      </w:pPr>
      <w:r>
        <w:rPr>
          <w:rFonts w:ascii="Georgia" w:cs="Georgia" w:eastAsia="Georgia" w:hAnsi="Georgia"/>
          <w:b/>
          <w:bCs/>
          <w:color w:val="1F3864"/>
          <w:sz w:val="25"/>
          <w:szCs w:val="25"/>
        </w:rPr>
        <w:t xml:space="preserve">Decision 14 — What "administrative capacity" means, and admitting the settlement bred venality</w:t>
      </w:r>
    </w:p>
    <w:p>
      <w:pPr>
        <w:spacing w:after="140"/>
      </w:pPr>
      <w:r>
        <w:rPr>
          <w:rFonts w:ascii="Georgia" w:cs="Georgia" w:eastAsia="Georgia" w:hAnsi="Georgia"/>
          <w:i/>
          <w:iCs/>
          <w:color w:val="777777"/>
          <w:sz w:val="19"/>
          <w:szCs w:val="19"/>
        </w:rPr>
        <w:t xml:space="preserve">Covers rows: (www), (ff), (iii), Check 5</w:t>
      </w:r>
    </w:p>
    <w:p>
      <w:pPr>
        <w:spacing w:after="150" w:line="290"/>
      </w:pPr>
      <w:r>
        <w:rPr>
          <w:rFonts w:ascii="Georgia" w:cs="Georgia" w:eastAsia="Georgia" w:hAnsi="Georgia"/>
          <w:b/>
          <w:bCs/>
          <w:sz w:val="22"/>
          <w:szCs w:val="22"/>
        </w:rPr>
        <w:t xml:space="preserve">The background.</w:t>
      </w:r>
      <w:r>
        <w:rPr>
          <w:rFonts w:ascii="Georgia" w:cs="Georgia" w:eastAsia="Georgia" w:hAnsi="Georgia"/>
          <w:sz w:val="22"/>
          <w:szCs w:val="22"/>
        </w:rPr>
        <w:t xml:space="preserve"> The project doctrine, CLAUDE.md section 2, states the mechanism as a chain: weapon capital-intensity, then permanent finance, then administrative capacity, then suppression of intermediate authorities. "Administrative capacity" is not defined. Three sentences in the chapters lean on the unglossed term. Chapter 10, section III, calls the French 1440s "the coupling's first full demonstration", and section VII calls the settlement "the template Europe copied for three centuries". Chapter 11, section II, opens the Italian descent of 1494 as "The first continental adventure of the completed fiscal-military state". Chapter 5, section VI, says that with the French settlement "the problem ended".</w:t>
      </w:r>
    </w:p>
    <w:p>
      <w:pPr>
        <w:spacing w:after="150" w:line="290"/>
      </w:pPr>
      <w:r>
        <w:rPr>
          <w:rFonts w:ascii="Georgia" w:cs="Georgia" w:eastAsia="Georgia" w:hAnsi="Georgia"/>
          <w:sz w:val="22"/>
          <w:szCs w:val="22"/>
        </w:rPr>
        <w:t xml:space="preserve">Glete and Ertman each take one of these apart. Glete is the authority for the very term "fiscal-military state" that Chapter 10 projects back onto the 1440s, and he denies it to them: the type was "practically unknown in 1500" (p. 41), the period 1480–1560 was "largely an embryo" (p. 21), and "the early but very limited permanent French forces practically disappeared in the long civil war period (1562–98)" (p. 39), the decisive French change coming under Colbert in the 1660s. Ertman takes the 1494 army apart by the numbers: it "numbered no more than 20,000 combatants, and was thus smaller than many of the armies assembled during the Hundred Years War" (pp. 94–95); the standing companies supplied only the cavalry, a quarter to a third of the whole; the infantry was Swiss and German by contract "right down to 1558, when they still supplied 21,000 men out of a total infantry contingent of about 40,000"; and even the companies were already patronage assets, each "controlled and commanded by the local royal governor, almost always a member of a prominent magnate family" (p. 94).</w:t>
      </w:r>
    </w:p>
    <w:p>
      <w:pPr>
        <w:spacing w:after="150" w:line="290"/>
      </w:pPr>
      <w:r>
        <w:rPr>
          <w:rFonts w:ascii="Georgia" w:cs="Georgia" w:eastAsia="Georgia" w:hAnsi="Georgia"/>
          <w:sz w:val="22"/>
          <w:szCs w:val="22"/>
        </w:rPr>
        <w:t xml:space="preserve">Ertman's larger point is about the third link. Venality — the sale of public office, and the treatment of office as heritable property — was built into the French settlement from the start: "the administration of 15th-century France, whether central or local, judicial or financial, was dotted with clans and dynasties of officials who treated their offices as their own property" (p. 81). The price of France's early consolidation was "a substantial loss of effective control to proprietary officeholders, tax farmers, and officeholder-financiers who viewed the state not only as an instrument of princely power but also as a source of income and social standing" (p. 28), and after 1494 war "inevitably led to a massive increase in the role played by private finance, proprietary officeholding, and military entrepreneurship" (p. 91). The German princes who later copied the French offices were "fully aware of the French system of venalité des offices and determined to avoid it" (p. 244). His verdict on the chain is flat: war "certainly encouraged neither rationalization in the Weberian sense nor the creation of proto-modern institutions" (p. 154) — Weberian meaning the salaried, rule-bound, impersonal bureaucracy Max Weber described.</w:t>
      </w:r>
    </w:p>
    <w:p>
      <w:pPr>
        <w:spacing w:after="150" w:line="290"/>
      </w:pPr>
      <w:r>
        <w:rPr>
          <w:rFonts w:ascii="Georgia" w:cs="Georgia" w:eastAsia="Georgia" w:hAnsi="Georgia"/>
          <w:b/>
          <w:bCs/>
          <w:sz w:val="22"/>
          <w:szCs w:val="22"/>
        </w:rPr>
        <w:t xml:space="preserve">Why it matters.</w:t>
      </w:r>
      <w:r>
        <w:rPr>
          <w:rFonts w:ascii="Georgia" w:cs="Georgia" w:eastAsia="Georgia" w:hAnsi="Georgia"/>
          <w:sz w:val="22"/>
          <w:szCs w:val="22"/>
        </w:rPr>
        <w:t xml:space="preserve"> This is a large point in doctrine and a small one in words. If "administrative capacity" is read as Weberian rationalisation, Ertman refutes the third link in one sentence, and his France — magnates subordinated, apparatus lost — becomes a standing rebuttal. If it is read as the capacity to assess, collect and pay at campaign tempo — the account books of Chapter 10, section IV — and if the subordination claimed is of armed intermediaries, then his officeholders, who were unarmed, do not touch it. The concession has a price worth paying and a gain worth having: the settlement bred a new rent-taking stratum, and the officeholder-financier lending the crown its own revenue is the nearest fifteenth-century form to the platform that licenses its stack to the state and lends against the contract, which is a prediction Chapter 12 should be making anyway.</w:t>
      </w:r>
    </w:p>
    <w:p>
      <w:pPr>
        <w:spacing w:after="150" w:line="290"/>
      </w:pPr>
      <w:r>
        <w:rPr>
          <w:rFonts w:ascii="Georgia" w:cs="Georgia" w:eastAsia="Georgia" w:hAnsi="Georgia"/>
          <w:b/>
          <w:bCs/>
          <w:sz w:val="22"/>
          <w:szCs w:val="22"/>
        </w:rPr>
        <w:t xml:space="preserve">Your choices.</w:t>
      </w:r>
      <w:r>
        <w:rPr>
          <w:rFonts w:ascii="Georgia" w:cs="Georgia" w:eastAsia="Georgia" w:hAnsi="Georgia"/>
          <w:sz w:val="22"/>
          <w:szCs w:val="22"/>
        </w:rPr>
        <w:t xml:space="preserve"> Choice A glosses the term and admits the defect. CLAUDE.md section 2 gains the one-word gloss — administrative capacity means collecting capacity — and states that the fourth link is the subordination of armed intermediaries. Chapter 10, section III, meets Glete's clock by name, calling the 1440s the first complete run of the coupling rather than the first fiscal-military state on his yardstick, conceding 1562–98, and entering venality as a stated defect of the settlement; section VII narrows "template" to the offices copied and the venality refused. Chapter 11 cuts "completed" and carries Ertman's twenty thousand, the Swiss and the magnate governors in a subordinate clause. Chapter 5 says the problem "ended in its armed form", naming the venal stratum and the governors' companies as what the French answer bred — which Chapter 10's critiques file already records, so leaving Chapter 5 unqualified is an internal inconsistency. The cost is a doctrine line, one adjective, two confident phrases and a paragraph. It buys immunity from the rival's best cut, and a defect that Part III can turn into a prediction. Choice B leaves the chain unglossed and the sentences as they stand. The doctrine keeps its compression and the chapters their confidence; the book's own shorthand then invites the Weberian reading its principal administrative rival demolishes, and the defence that the book never meant that is worth nothing until it is written down.</w:t>
      </w:r>
    </w:p>
    <w:p>
      <w:pPr>
        <w:spacing w:after="150" w:line="290"/>
      </w:pPr>
      <w:r>
        <w:rPr>
          <w:rFonts w:ascii="Georgia" w:cs="Georgia" w:eastAsia="Georgia" w:hAnsi="Georgia"/>
          <w:b/>
          <w:bCs/>
          <w:sz w:val="22"/>
          <w:szCs w:val="22"/>
        </w:rPr>
        <w:t xml:space="preserve">My view.</w:t>
      </w:r>
      <w:r>
        <w:rPr>
          <w:rFonts w:ascii="Georgia" w:cs="Georgia" w:eastAsia="Georgia" w:hAnsi="Georgia"/>
          <w:sz w:val="22"/>
          <w:szCs w:val="22"/>
        </w:rPr>
        <w:t xml:space="preserve"> Choice A, because it is a clarification of what the book already claims rather than a retreat, and the venality material is a genuine gain rather than a concession.</w:t>
      </w:r>
    </w:p>
    <w:p>
      <w:pPr>
        <w:pBdr>
          <w:top w:val="single" w:color="C9A227" w:sz="6"/>
          <w:left w:val="single" w:color="C9A227" w:sz="6"/>
          <w:right w:val="single" w:color="C9A227" w:sz="6"/>
        </w:pBdr>
        <w:shd w:fill="FFF4D6" w:color="auto" w:val="clear"/>
        <w:spacing w:after="60" w:before="200"/>
      </w:pPr>
      <w:r>
        <w:rPr>
          <w:rFonts w:ascii="Georgia" w:cs="Georgia" w:eastAsia="Georgia" w:hAnsi="Georgia"/>
          <w:b/>
          <w:bCs/>
          <w:color w:val="8A6D00"/>
          <w:sz w:val="23"/>
          <w:szCs w:val="23"/>
        </w:rPr>
        <w:t xml:space="preserve">YOUR RULING:  </w:t>
      </w:r>
    </w:p>
    <w:p>
      <w:pPr>
        <w:pBdr>
          <w:left w:val="single" w:color="C9A227" w:sz="6"/>
          <w:right w:val="single" w:color="C9A227" w:sz="6"/>
        </w:pBdr>
        <w:shd w:fill="FFF4D6" w:color="auto" w:val="clear"/>
        <w:spacing w:after="40"/>
      </w:pPr>
      <w:r>
        <w:rPr>
          <w:sz w:val="22"/>
          <w:szCs w:val="22"/>
        </w:rPr>
        <w:t xml:space="preserve"> </w:t>
      </w:r>
    </w:p>
    <w:p>
      <w:pPr>
        <w:pBdr>
          <w:left w:val="single" w:color="C9A227" w:sz="6"/>
          <w:right w:val="single" w:color="C9A227" w:sz="6"/>
        </w:pBdr>
        <w:shd w:fill="FFF4D6" w:color="auto" w:val="clear"/>
        <w:spacing w:after="40"/>
      </w:pPr>
      <w:r>
        <w:rPr>
          <w:sz w:val="22"/>
          <w:szCs w:val="22"/>
        </w:rPr>
        <w:t xml:space="preserve"> </w:t>
      </w:r>
    </w:p>
    <w:p>
      <w:pPr>
        <w:pBdr>
          <w:bottom w:val="single" w:color="C9A227" w:sz="6"/>
          <w:left w:val="single" w:color="C9A227" w:sz="6"/>
          <w:right w:val="single" w:color="C9A227" w:sz="6"/>
        </w:pBdr>
        <w:shd w:fill="FFF4D6" w:color="auto" w:val="clear"/>
        <w:spacing w:after="60"/>
      </w:pPr>
      <w:r>
        <w:rPr>
          <w:sz w:val="22"/>
          <w:szCs w:val="22"/>
        </w:rPr>
        <w:t xml:space="preserve"> </w:t>
      </w:r>
    </w:p>
    <w:p>
      <w:pPr>
        <w:pStyle w:val="Heading1"/>
        <w:pageBreakBefore/>
        <w:spacing w:after="200" w:before="0"/>
      </w:pPr>
      <w:r>
        <w:rPr>
          <w:rFonts w:ascii="Georgia" w:cs="Georgia" w:eastAsia="Georgia" w:hAnsi="Georgia"/>
          <w:b/>
          <w:bCs/>
          <w:color w:val="1F3864"/>
          <w:sz w:val="32"/>
          <w:szCs w:val="32"/>
        </w:rPr>
        <w:t xml:space="preserve">Part Four — Spain and China</w:t>
      </w:r>
    </w:p>
    <w:p>
      <w:pPr>
        <w:pStyle w:val="Heading2"/>
        <w:spacing w:after="120" w:before="260"/>
      </w:pPr>
      <w:r>
        <w:rPr>
          <w:rFonts w:ascii="Georgia" w:cs="Georgia" w:eastAsia="Georgia" w:hAnsi="Georgia"/>
          <w:b/>
          <w:bCs/>
          <w:color w:val="1F3864"/>
          <w:sz w:val="25"/>
          <w:szCs w:val="25"/>
        </w:rPr>
        <w:t xml:space="preserve">Decision 15 — Spain: which intermediaries Castile actually subordinated</w:t>
      </w:r>
    </w:p>
    <w:p>
      <w:pPr>
        <w:spacing w:after="140"/>
      </w:pPr>
      <w:r>
        <w:rPr>
          <w:rFonts w:ascii="Georgia" w:cs="Georgia" w:eastAsia="Georgia" w:hAnsi="Georgia"/>
          <w:i/>
          <w:iCs/>
          <w:color w:val="777777"/>
          <w:sz w:val="19"/>
          <w:szCs w:val="19"/>
        </w:rPr>
        <w:t xml:space="preserve">Covers rows: (dd), (hh), (ttt)</w:t>
      </w:r>
    </w:p>
    <w:p>
      <w:pPr>
        <w:spacing w:after="150" w:line="290"/>
      </w:pPr>
      <w:r>
        <w:rPr>
          <w:rFonts w:ascii="Georgia" w:cs="Georgia" w:eastAsia="Georgia" w:hAnsi="Georgia"/>
          <w:b/>
          <w:bCs/>
          <w:sz w:val="22"/>
          <w:szCs w:val="22"/>
        </w:rPr>
        <w:t xml:space="preserve">The background.</w:t>
      </w:r>
      <w:r>
        <w:rPr>
          <w:rFonts w:ascii="Georgia" w:cs="Georgia" w:eastAsia="Georgia" w:hAnsi="Georgia"/>
          <w:sz w:val="22"/>
          <w:szCs w:val="22"/>
        </w:rPr>
        <w:t xml:space="preserve"> Chapter 11, section III, states that the Spanish settlement subordinated "the intermediaries of the core" — that is, the lords, orders and cities of Castile itself, the rest of the composite monarchy being ruled by contract. It does not distinguish between kinds of intermediary. Chapter 8, section VII, separately claims that the English sequence of ranking the courts and subordinating rival jurisdictions happened "nowhere else", and carries a sentence on Spain without dates.</w:t>
      </w:r>
    </w:p>
    <w:p>
      <w:pPr>
        <w:spacing w:after="150" w:line="290"/>
      </w:pPr>
      <w:r>
        <w:rPr>
          <w:rFonts w:ascii="Georgia" w:cs="Georgia" w:eastAsia="Georgia" w:hAnsi="Georgia"/>
          <w:sz w:val="22"/>
          <w:szCs w:val="22"/>
        </w:rPr>
        <w:t xml:space="preserve">Jan Glete, a Swedish historian of early-modern navies and armies, wrote </w:t>
      </w:r>
      <w:r>
        <w:rPr>
          <w:rFonts w:ascii="Georgia" w:cs="Georgia" w:eastAsia="Georgia" w:hAnsi="Georgia"/>
          <w:i/>
          <w:iCs/>
          <w:sz w:val="22"/>
          <w:szCs w:val="22"/>
        </w:rPr>
        <w:t xml:space="preserve">War and the State in Early Modern Europe</w:t>
      </w:r>
      <w:r>
        <w:rPr>
          <w:rFonts w:ascii="Georgia" w:cs="Georgia" w:eastAsia="Georgia" w:hAnsi="Georgia"/>
          <w:sz w:val="22"/>
          <w:szCs w:val="22"/>
        </w:rPr>
        <w:t xml:space="preserve"> (2002), a comparative study of Spain, the Dutch Republic and Sweden. It is a T2 source — the book's label for canonical scholarship, as against T1 for primary documents. Glete confirms every armed limb of your claim. In the war for Granada "Much of the war effort was paid for by taxes to the state, not by the participants" (p. 75); "Private armies as instruments of aristocratic factionalism ceased to be important after this war, and the noblemen's castles had become vulnerable to the rulers' new siege artillery" (p. 75); the hermandad, the towns' own policing force, was "abolished in 1498" (p. 75); and the military orders were "permanently incorporated into the crown in 1523, a change that eliminated autonomous military structures" (p. 76). But the fiscal limb runs the other way. The millones, a new tax agreed in 1590, was raised by "the cities represented in the Cortes … on their own", so that "the local elites took control of essential parts of the tax administration" (p. 122); "In the early 1620s, the crown tried to change the tax into a permanent obligation to maintain 30,000 soldiers, but that was denied" (p. 122); there are "few signs of deep penetration of a royal bureaucracy into local communities" (p. 138); and those elites eventually "had gained the power to dismantle large parts of the Spanish fiscal-military state" (p. 126).</w:t>
      </w:r>
    </w:p>
    <w:p>
      <w:pPr>
        <w:spacing w:after="150" w:line="290"/>
      </w:pPr>
      <w:r>
        <w:rPr>
          <w:rFonts w:ascii="Georgia" w:cs="Georgia" w:eastAsia="Georgia" w:hAnsi="Georgia"/>
          <w:sz w:val="22"/>
          <w:szCs w:val="22"/>
        </w:rPr>
        <w:t xml:space="preserve">David Stasavage, an American political scientist, supplies the constitutional sequel in </w:t>
      </w:r>
      <w:r>
        <w:rPr>
          <w:rFonts w:ascii="Georgia" w:cs="Georgia" w:eastAsia="Georgia" w:hAnsi="Georgia"/>
          <w:i/>
          <w:iCs/>
          <w:sz w:val="22"/>
          <w:szCs w:val="22"/>
        </w:rPr>
        <w:t xml:space="preserve">States of Credit</w:t>
      </w:r>
      <w:r>
        <w:rPr>
          <w:rFonts w:ascii="Georgia" w:cs="Georgia" w:eastAsia="Georgia" w:hAnsi="Georgia"/>
          <w:sz w:val="22"/>
          <w:szCs w:val="22"/>
        </w:rPr>
        <w:t xml:space="preserve"> (2011). The Cortes — the representative assembly of Castile — won consent, administration of the millones and audit powers, and then "the individual Castilian cities gradually lost control over their representatives", so that "the representatives failed to effectively use even those formal powers that they did have"; after 1665 "the monarchy did away with the institution entirely" (chapter 7). He compares "the Cortes of Castile in the seventeenth century to the Ugandan Parliament in the twenty-first" (chapter 8). This is a documented case of a body that kept its formal powers and lost its real ones, which is the exact shape of the "ornamental" settlement you ruled open two weeks ago.</w:t>
      </w:r>
    </w:p>
    <w:p>
      <w:pPr>
        <w:spacing w:after="150" w:line="290"/>
      </w:pPr>
      <w:r>
        <w:rPr>
          <w:rFonts w:ascii="Georgia" w:cs="Georgia" w:eastAsia="Georgia" w:hAnsi="Georgia"/>
          <w:sz w:val="22"/>
          <w:szCs w:val="22"/>
        </w:rPr>
        <w:t xml:space="preserve">On "nowhere else", Charles Tilly's disarmament chronology is plural and later: the Tudor programme is one case, Richelieu's is in the 1620s, and the Empire's follows 1648. Disarmament happened everywhere on different clocks; only the ranking of jurisdictions, in England between the 1470s and 1540s, has a claim to priority.</w:t>
      </w:r>
    </w:p>
    <w:p>
      <w:pPr>
        <w:spacing w:after="150" w:line="290"/>
      </w:pPr>
      <w:r>
        <w:rPr>
          <w:rFonts w:ascii="Georgia" w:cs="Georgia" w:eastAsia="Georgia" w:hAnsi="Georgia"/>
          <w:b/>
          <w:bCs/>
          <w:sz w:val="22"/>
          <w:szCs w:val="22"/>
        </w:rPr>
        <w:t xml:space="preserve">Why it matters.</w:t>
      </w:r>
      <w:r>
        <w:rPr>
          <w:rFonts w:ascii="Georgia" w:cs="Georgia" w:eastAsia="Georgia" w:hAnsi="Georgia"/>
          <w:sz w:val="22"/>
          <w:szCs w:val="22"/>
        </w:rPr>
        <w:t xml:space="preserve"> This is an accuracy point before it is a rhetorical one, and it is a large one. As written, Chapter 11's unqualified claim is simply false of Castile's fiscal intermediaries, and a reviewer who has read Glete will find the falsity in two pages. Stated with the split, Spain becomes evidence for your two-variable finding — armed intermediaries subordinated, the fisc never made permanent, decisive force fielded for a century and a half and then not sustained — which is the Burgundy finding of Chapter 10 at imperial scale. The "nowhere else" claim in Chapter 8 is a smaller exposure but the same kind: an absolute that one paragraph of Tilly contradicts.</w:t>
      </w:r>
    </w:p>
    <w:p>
      <w:pPr>
        <w:spacing w:after="150" w:line="290"/>
      </w:pPr>
      <w:r>
        <w:rPr>
          <w:rFonts w:ascii="Georgia" w:cs="Georgia" w:eastAsia="Georgia" w:hAnsi="Georgia"/>
          <w:b/>
          <w:bCs/>
          <w:sz w:val="22"/>
          <w:szCs w:val="22"/>
        </w:rPr>
        <w:t xml:space="preserve">Your choices.</w:t>
      </w:r>
      <w:r>
        <w:rPr>
          <w:rFonts w:ascii="Georgia" w:cs="Georgia" w:eastAsia="Georgia" w:hAnsi="Georgia"/>
          <w:sz w:val="22"/>
          <w:szCs w:val="22"/>
        </w:rPr>
        <w:t xml:space="preserve"> Choice A is to adopt the split, narrow "nowhere else", and give the Cortes portrait to Chapter 12. Chapter 11 gains a qualifying sentence naming Glete and distinguishing the armed intermediaries (orders, castles, private armies) from the fiscal ones (the Cortes cities collecting the millones on their own account), plus a half-sentence naming the Cortes as the intermediary Castile did not subordinate; the full portrait — powers kept, control lost, abolition in 1665 — goes whole into Chapter 12, where the constitutional form of the settlement is scored and where a documented historical case outweighs any modern indicator. Chapter 8's "nowhere else" becomes a claim about jurisdiction only, and its Spanish sentence gets Glete's dates. The cost is perhaps eighty words in Chapter 11 and a slight loss of pace; the gain is that the reviewer's objection becomes the chapter's own finding.</w:t>
      </w:r>
    </w:p>
    <w:p>
      <w:pPr>
        <w:spacing w:after="150" w:line="290"/>
      </w:pPr>
      <w:r>
        <w:rPr>
          <w:rFonts w:ascii="Georgia" w:cs="Georgia" w:eastAsia="Georgia" w:hAnsi="Georgia"/>
          <w:sz w:val="22"/>
          <w:szCs w:val="22"/>
        </w:rPr>
        <w:t xml:space="preserve">Choice B is the same split and the same narrowing, but with the Cortes portrait placed in Chapter 11, section III, at the moment the subordination story is told. This is honest and plants Chapter 12's question early. The risk is that section III already carries the armed-versus-fiscal refinement, and a second Cortes passage there reads as the same point made twice; Chapter 12 then has to repeat or back-reference it.</w:t>
      </w:r>
    </w:p>
    <w:p>
      <w:pPr>
        <w:spacing w:after="150" w:line="290"/>
      </w:pPr>
      <w:r>
        <w:rPr>
          <w:rFonts w:ascii="Georgia" w:cs="Georgia" w:eastAsia="Georgia" w:hAnsi="Georgia"/>
          <w:sz w:val="22"/>
          <w:szCs w:val="22"/>
        </w:rPr>
        <w:t xml:space="preserve">Choice C is to keep the unqualified formulation and the absolute in Chapter 8. Nothing changes and the paragraphs stay clean. Glete's pages 122 and 126 are then available to any hostile reader as a straightforward factual correction, and the book forfeits a case it could have claimed.</w:t>
      </w:r>
    </w:p>
    <w:p>
      <w:pPr>
        <w:spacing w:after="150" w:line="290"/>
      </w:pPr>
      <w:r>
        <w:rPr>
          <w:rFonts w:ascii="Georgia" w:cs="Georgia" w:eastAsia="Georgia" w:hAnsi="Georgia"/>
          <w:b/>
          <w:bCs/>
          <w:sz w:val="22"/>
          <w:szCs w:val="22"/>
        </w:rPr>
        <w:t xml:space="preserve">My view.</w:t>
      </w:r>
      <w:r>
        <w:rPr>
          <w:rFonts w:ascii="Georgia" w:cs="Georgia" w:eastAsia="Georgia" w:hAnsi="Georgia"/>
          <w:sz w:val="22"/>
          <w:szCs w:val="22"/>
        </w:rPr>
        <w:t xml:space="preserve"> Choice A, because it is the rare refinement that makes the argument more precise and more favourable at the same time, and keeping the portrait whole in one place stops the book saying the same thing twice.</w:t>
      </w:r>
    </w:p>
    <w:p>
      <w:pPr>
        <w:pBdr>
          <w:top w:val="single" w:color="C9A227" w:sz="6"/>
          <w:left w:val="single" w:color="C9A227" w:sz="6"/>
          <w:right w:val="single" w:color="C9A227" w:sz="6"/>
        </w:pBdr>
        <w:shd w:fill="FFF4D6" w:color="auto" w:val="clear"/>
        <w:spacing w:after="60" w:before="200"/>
      </w:pPr>
      <w:r>
        <w:rPr>
          <w:rFonts w:ascii="Georgia" w:cs="Georgia" w:eastAsia="Georgia" w:hAnsi="Georgia"/>
          <w:b/>
          <w:bCs/>
          <w:color w:val="8A6D00"/>
          <w:sz w:val="23"/>
          <w:szCs w:val="23"/>
        </w:rPr>
        <w:t xml:space="preserve">YOUR RULING:  </w:t>
      </w:r>
    </w:p>
    <w:p>
      <w:pPr>
        <w:pBdr>
          <w:left w:val="single" w:color="C9A227" w:sz="6"/>
          <w:right w:val="single" w:color="C9A227" w:sz="6"/>
        </w:pBdr>
        <w:shd w:fill="FFF4D6" w:color="auto" w:val="clear"/>
        <w:spacing w:after="40"/>
      </w:pPr>
      <w:r>
        <w:rPr>
          <w:sz w:val="22"/>
          <w:szCs w:val="22"/>
        </w:rPr>
        <w:t xml:space="preserve"> </w:t>
      </w:r>
    </w:p>
    <w:p>
      <w:pPr>
        <w:pBdr>
          <w:left w:val="single" w:color="C9A227" w:sz="6"/>
          <w:right w:val="single" w:color="C9A227" w:sz="6"/>
        </w:pBdr>
        <w:shd w:fill="FFF4D6" w:color="auto" w:val="clear"/>
        <w:spacing w:after="40"/>
      </w:pPr>
      <w:r>
        <w:rPr>
          <w:sz w:val="22"/>
          <w:szCs w:val="22"/>
        </w:rPr>
        <w:t xml:space="preserve"> </w:t>
      </w:r>
    </w:p>
    <w:p>
      <w:pPr>
        <w:pBdr>
          <w:bottom w:val="single" w:color="C9A227" w:sz="6"/>
          <w:left w:val="single" w:color="C9A227" w:sz="6"/>
          <w:right w:val="single" w:color="C9A227" w:sz="6"/>
        </w:pBdr>
        <w:shd w:fill="FFF4D6" w:color="auto" w:val="clear"/>
        <w:spacing w:after="60"/>
      </w:pPr>
      <w:r>
        <w:rPr>
          <w:sz w:val="22"/>
          <w:szCs w:val="22"/>
        </w:rPr>
        <w:t xml:space="preserve"> </w:t>
      </w:r>
    </w:p>
    <w:p>
      <w:pPr>
        <w:pStyle w:val="Heading2"/>
        <w:spacing w:after="120" w:before="260"/>
      </w:pPr>
      <w:r>
        <w:rPr>
          <w:rFonts w:ascii="Georgia" w:cs="Georgia" w:eastAsia="Georgia" w:hAnsi="Georgia"/>
          <w:b/>
          <w:bCs/>
          <w:color w:val="1F3864"/>
          <w:sz w:val="25"/>
          <w:szCs w:val="25"/>
        </w:rPr>
        <w:t xml:space="preserve">Decision 16 — China: the verdict layer by layer, and the word "fusion"</w:t>
      </w:r>
    </w:p>
    <w:p>
      <w:pPr>
        <w:spacing w:after="140"/>
      </w:pPr>
      <w:r>
        <w:rPr>
          <w:rFonts w:ascii="Georgia" w:cs="Georgia" w:eastAsia="Georgia" w:hAnsi="Georgia"/>
          <w:i/>
          <w:iCs/>
          <w:color w:val="777777"/>
          <w:sz w:val="19"/>
          <w:szCs w:val="19"/>
        </w:rPr>
        <w:t xml:space="preserve">Covers rows: (kk), (yy), (zz)</w:t>
      </w:r>
    </w:p>
    <w:p>
      <w:pPr>
        <w:spacing w:after="150" w:line="290"/>
      </w:pPr>
      <w:r>
        <w:rPr>
          <w:rFonts w:ascii="Georgia" w:cs="Georgia" w:eastAsia="Georgia" w:hAnsi="Georgia"/>
          <w:b/>
          <w:bCs/>
          <w:sz w:val="22"/>
          <w:szCs w:val="22"/>
        </w:rPr>
        <w:t xml:space="preserve">The background.</w:t>
      </w:r>
      <w:r>
        <w:rPr>
          <w:rFonts w:ascii="Georgia" w:cs="Georgia" w:eastAsia="Georgia" w:hAnsi="Georgia"/>
          <w:sz w:val="22"/>
          <w:szCs w:val="22"/>
        </w:rPr>
        <w:t xml:space="preserve"> Chapter 12, section IV, says that "China is the furthest along … the fused-ownership absorption mode", and the same vocabulary of "fused" and "fusion" recurs in Chapter 2, Chapter 4 ("the Chinese fused model of Chapter 2"), Chapter 11 and Appendix C. Chapter 2, section III, dates the Chinese case by its most visible event: "The demonstration was the crackdown of 2020–21". Chapter 12, section III, describes the absorbed platform's legal form as "operative but never invested". The spine — the book's internal doctrine document, which records your rulings and licenses sentences for use anywhere in the manuscript — currently ranks China first and calls its settlement "substantially executed".</w:t>
      </w:r>
    </w:p>
    <w:p>
      <w:pPr>
        <w:spacing w:after="150" w:line="290"/>
      </w:pPr>
      <w:r>
        <w:rPr>
          <w:rFonts w:ascii="Georgia" w:cs="Georgia" w:eastAsia="Georgia" w:hAnsi="Georgia"/>
          <w:sz w:val="22"/>
          <w:szCs w:val="22"/>
        </w:rPr>
        <w:t xml:space="preserve">Tai Ming Cheung, a scholar of the Chinese defence industry, published </w:t>
      </w:r>
      <w:r>
        <w:rPr>
          <w:rFonts w:ascii="Georgia" w:cs="Georgia" w:eastAsia="Georgia" w:hAnsi="Georgia"/>
          <w:i/>
          <w:iCs/>
          <w:sz w:val="22"/>
          <w:szCs w:val="22"/>
        </w:rPr>
        <w:t xml:space="preserve">Innovate to Dominate</w:t>
      </w:r>
      <w:r>
        <w:rPr>
          <w:rFonts w:ascii="Georgia" w:cs="Georgia" w:eastAsia="Georgia" w:hAnsi="Georgia"/>
          <w:sz w:val="22"/>
          <w:szCs w:val="22"/>
        </w:rPr>
        <w:t xml:space="preserve"> (2022), the one full scholarly account of the Chinese defence-industrial stack as a state project. His verdict on the move that puts private capability into the decisive stack is the reverse of the draft's. Military-civil fusion's twenty years are "an underwhelming achievement" (p. 116); "Hybridization has yet to make a significant impact on the Chinese techno-security state" (p. 295); "the public sector will remain the dominant player with the private sector limited to a minor role" (p. 298). The obstruction is domestic and privileged — "two hot ends but a cold middle" (p. 97) — and the state-owned defence monopolies "have so far successfully limited meaningful implementation of these market-opening measures" (p. 172). Private firms enter only by licence, and "The big state-owned defense firms have maintained an iron grip on licenses" at the top category (pp. 114–15); the roughly three thousand firms recruited into the acquisition system are "a participation rate of just 2.3 percent" of 130,000 technology firms (p. 116). Foreign dependence is a standing condition: "China seeks long-term technological self-reliance but is heavily dependent on foreign technology and know-how in the meantime" (p. 298).</w:t>
      </w:r>
    </w:p>
    <w:p>
      <w:pPr>
        <w:spacing w:after="150" w:line="290"/>
      </w:pPr>
      <w:r>
        <w:rPr>
          <w:rFonts w:ascii="Georgia" w:cs="Georgia" w:eastAsia="Georgia" w:hAnsi="Georgia"/>
          <w:sz w:val="22"/>
          <w:szCs w:val="22"/>
        </w:rPr>
        <w:t xml:space="preserve">There is a second problem with the word itself. In China, "fusion" is a term of art: military-civil fusion, 军民融合, has been a national strategy since March 2015, with its own commission and its own outline document (pp. 51, 89, 94), and Cheung rates it early-stage. Your book uses "fusion" to mean something quite different — platforms ruled as departments of the party-state. A China-literate reviewer will read your "fusion" as his, check Cheung, and find the book apparently claiming as accomplished the very programme its cited authority rates as barely begun.</w:t>
      </w:r>
    </w:p>
    <w:p>
      <w:pPr>
        <w:spacing w:after="150" w:line="290"/>
      </w:pPr>
      <w:r>
        <w:rPr>
          <w:rFonts w:ascii="Georgia" w:cs="Georgia" w:eastAsia="Georgia" w:hAnsi="Georgia"/>
          <w:sz w:val="22"/>
          <w:szCs w:val="22"/>
        </w:rPr>
        <w:t xml:space="preserve">Two further rows concern dates. Jack Goldsmith and Tim Wu, in </w:t>
      </w:r>
      <w:r>
        <w:rPr>
          <w:rFonts w:ascii="Georgia" w:cs="Georgia" w:eastAsia="Georgia" w:hAnsi="Georgia"/>
          <w:i/>
          <w:iCs/>
          <w:sz w:val="22"/>
          <w:szCs w:val="22"/>
        </w:rPr>
        <w:t xml:space="preserve">Who Controls the Internet?</w:t>
      </w:r>
      <w:r>
        <w:rPr>
          <w:rFonts w:ascii="Georgia" w:cs="Georgia" w:eastAsia="Georgia" w:hAnsi="Georgia"/>
          <w:sz w:val="22"/>
          <w:szCs w:val="22"/>
        </w:rPr>
        <w:t xml:space="preserve"> (2006), date the first instrument of platform discipline to 2002, when Yahoo "signed a document called the Public Pledge on Self-Discipline for the Chinese Internet Industry in which it promised to 'inspect and monitor the information on domestic and foreign Websites'" (p. 9), and "major commercial operators like Yahoo agreed in 2002 to a binding 'self-discipline pact'" (p. 96). The foreign firms were subordinated by pact two decades before the domestic ones were disciplined by fine. The same book supplies what Chapter 2 currently lacks: a documented internet instance of the investiture question, which in the book's medieval usage means who holds the title to an office as against who merely exercises it. In 1995 Robert Aiken asked verbatim "IS ISOC claiming that it has jurisdiction and overall responsibility for the [Internet] top level address and name space… if NO then who does own it?" (p. 37); Jon Postel split the root on 28 January 1998 and was stopped by Ira Magaziner's telephone call — "Jon, you don't have the legal right to conduct a test" (p. 46) — and thereafter root authority "has remained, without exception, in the hands of the U.S. government". The United States "never actually ceded control over either ICANN or the root" (p. 169). The row calls ICANN "the Sforza form", after Francesco Sforza, the hired captain who took Milan in 1450: the label for an operator who runs the function without holding the title. ICANN is the case where the operator ran it for a generation and the title never passed.</w:t>
      </w:r>
    </w:p>
    <w:p>
      <w:pPr>
        <w:spacing w:after="150" w:line="290"/>
      </w:pPr>
      <w:r>
        <w:rPr>
          <w:rFonts w:ascii="Georgia" w:cs="Georgia" w:eastAsia="Georgia" w:hAnsi="Georgia"/>
          <w:b/>
          <w:bCs/>
          <w:sz w:val="22"/>
          <w:szCs w:val="22"/>
        </w:rPr>
        <w:t xml:space="preserve">Why it matters.</w:t>
      </w:r>
      <w:r>
        <w:rPr>
          <w:rFonts w:ascii="Georgia" w:cs="Georgia" w:eastAsia="Georgia" w:hAnsi="Georgia"/>
          <w:sz w:val="22"/>
          <w:szCs w:val="22"/>
        </w:rPr>
        <w:t xml:space="preserve"> Two large things ride on this. The ranking touches the spine's central claims about which bloc is furthest along: "substantially executed" rests on the platform discipline and the legibility instruments, which Cheung does not cover, while his verdict concerns the defence-industrial stack, which the state never lost and never had to take back. The vocabulary is a different kind of risk — not a nuance but a false cognate, and a reviewer's note that writes itself. The dates and the root contest are smaller and are gains rather than corrections: a state that has been doing this since 2002 is better evidence than one that began in 2020, and the 1998 case gives Part I a documented instance where it now has an abstraction.</w:t>
      </w:r>
    </w:p>
    <w:p>
      <w:pPr>
        <w:spacing w:after="150" w:line="290"/>
      </w:pPr>
      <w:r>
        <w:rPr>
          <w:rFonts w:ascii="Georgia" w:cs="Georgia" w:eastAsia="Georgia" w:hAnsi="Georgia"/>
          <w:b/>
          <w:bCs/>
          <w:sz w:val="22"/>
          <w:szCs w:val="22"/>
        </w:rPr>
        <w:t xml:space="preserve">Your choices.</w:t>
      </w:r>
      <w:r>
        <w:rPr>
          <w:rFonts w:ascii="Georgia" w:cs="Georgia" w:eastAsia="Georgia" w:hAnsi="Georgia"/>
          <w:sz w:val="22"/>
          <w:szCs w:val="22"/>
        </w:rPr>
        <w:t xml:space="preserve"> Choice A is the full package. Chapter 12's Chinese verdict is rewritten layer by layer: executed at the canon (what may be said and hosted) and the register (who is who), inherited at the defence stack, unexecuted at the seam between the two, and dependent at the foreign chokepoint, with one clause naming the state's own defence monopolies as the over-mighty subjects the mechanism has not subordinated. "Fusion" is replaced wherever it names the platform mode — Chapter 2, Chapter 4, Chapter 11 and Appendix C — and reserved for the Chinese programme. Chapter 2 carries two dates, 2002 and 2020, and the root contest enters Chapter 2's investiture section with ICANN as the case where title never passed. The cost is a rewritten verdict sentence, four or five cross-chapter substitutions, the loss of a compact label, and a retrieval errand for the 1998 primary documents. It buys a verdict that survives the specialist, and a finding — that the Chinese state has subordinated the private barons and not its own state-owned ones — that the book can claim first.</w:t>
      </w:r>
    </w:p>
    <w:p>
      <w:pPr>
        <w:spacing w:after="150" w:line="290"/>
      </w:pPr>
      <w:r>
        <w:rPr>
          <w:rFonts w:ascii="Georgia" w:cs="Georgia" w:eastAsia="Georgia" w:hAnsi="Georgia"/>
          <w:sz w:val="22"/>
          <w:szCs w:val="22"/>
        </w:rPr>
        <w:t xml:space="preserve">Choice B is the rename and the dates only, keeping the undifferentiated ranking. The false cognate is removed and the sequence is honest, but the spine's "substantially executed" still stands over a defence stack its principal authority calls fragmented, and a reviewer will still ask how a settlement can be executed at the layer the state never lost.</w:t>
      </w:r>
    </w:p>
    <w:p>
      <w:pPr>
        <w:spacing w:after="150" w:line="290"/>
      </w:pPr>
      <w:r>
        <w:rPr>
          <w:rFonts w:ascii="Georgia" w:cs="Georgia" w:eastAsia="Georgia" w:hAnsi="Georgia"/>
          <w:sz w:val="22"/>
          <w:szCs w:val="22"/>
        </w:rPr>
        <w:t xml:space="preserve">Choice C is to keep "fused" and the single ranking. Nothing moves and the four-bloc casting keeps its cleanest instance. The book's strongest contemporary case is then stated in a form its own principal authority contradicts on two counts.</w:t>
      </w:r>
    </w:p>
    <w:p>
      <w:pPr>
        <w:spacing w:after="150" w:line="290"/>
      </w:pPr>
      <w:r>
        <w:rPr>
          <w:rFonts w:ascii="Georgia" w:cs="Georgia" w:eastAsia="Georgia" w:hAnsi="Georgia"/>
          <w:b/>
          <w:bCs/>
          <w:sz w:val="22"/>
          <w:szCs w:val="22"/>
        </w:rPr>
        <w:t xml:space="preserve">My view.</w:t>
      </w:r>
      <w:r>
        <w:rPr>
          <w:rFonts w:ascii="Georgia" w:cs="Georgia" w:eastAsia="Georgia" w:hAnsi="Georgia"/>
          <w:sz w:val="22"/>
          <w:szCs w:val="22"/>
        </w:rPr>
        <w:t xml:space="preserve"> Choice A, because the layer-by-layer verdict is the more interesting claim as well as the safer one; and if you take only half, take the rename, which is close to compulsory.</w:t>
      </w:r>
    </w:p>
    <w:p>
      <w:pPr>
        <w:pBdr>
          <w:top w:val="single" w:color="C9A227" w:sz="6"/>
          <w:left w:val="single" w:color="C9A227" w:sz="6"/>
          <w:right w:val="single" w:color="C9A227" w:sz="6"/>
        </w:pBdr>
        <w:shd w:fill="FFF4D6" w:color="auto" w:val="clear"/>
        <w:spacing w:after="60" w:before="200"/>
      </w:pPr>
      <w:r>
        <w:rPr>
          <w:rFonts w:ascii="Georgia" w:cs="Georgia" w:eastAsia="Georgia" w:hAnsi="Georgia"/>
          <w:b/>
          <w:bCs/>
          <w:color w:val="8A6D00"/>
          <w:sz w:val="23"/>
          <w:szCs w:val="23"/>
        </w:rPr>
        <w:t xml:space="preserve">YOUR RULING:  </w:t>
      </w:r>
    </w:p>
    <w:p>
      <w:pPr>
        <w:pBdr>
          <w:left w:val="single" w:color="C9A227" w:sz="6"/>
          <w:right w:val="single" w:color="C9A227" w:sz="6"/>
        </w:pBdr>
        <w:shd w:fill="FFF4D6" w:color="auto" w:val="clear"/>
        <w:spacing w:after="40"/>
      </w:pPr>
      <w:r>
        <w:rPr>
          <w:sz w:val="22"/>
          <w:szCs w:val="22"/>
        </w:rPr>
        <w:t xml:space="preserve"> </w:t>
      </w:r>
    </w:p>
    <w:p>
      <w:pPr>
        <w:pBdr>
          <w:left w:val="single" w:color="C9A227" w:sz="6"/>
          <w:right w:val="single" w:color="C9A227" w:sz="6"/>
        </w:pBdr>
        <w:shd w:fill="FFF4D6" w:color="auto" w:val="clear"/>
        <w:spacing w:after="40"/>
      </w:pPr>
      <w:r>
        <w:rPr>
          <w:sz w:val="22"/>
          <w:szCs w:val="22"/>
        </w:rPr>
        <w:t xml:space="preserve"> </w:t>
      </w:r>
    </w:p>
    <w:p>
      <w:pPr>
        <w:pBdr>
          <w:bottom w:val="single" w:color="C9A227" w:sz="6"/>
          <w:left w:val="single" w:color="C9A227" w:sz="6"/>
          <w:right w:val="single" w:color="C9A227" w:sz="6"/>
        </w:pBdr>
        <w:shd w:fill="FFF4D6" w:color="auto" w:val="clear"/>
        <w:spacing w:after="60"/>
      </w:pPr>
      <w:r>
        <w:rPr>
          <w:sz w:val="22"/>
          <w:szCs w:val="22"/>
        </w:rPr>
        <w:t xml:space="preserve"> </w:t>
      </w:r>
    </w:p>
    <w:p>
      <w:pPr>
        <w:pStyle w:val="Heading1"/>
        <w:pageBreakBefore/>
        <w:spacing w:after="200" w:before="0"/>
      </w:pPr>
      <w:r>
        <w:rPr>
          <w:rFonts w:ascii="Georgia" w:cs="Georgia" w:eastAsia="Georgia" w:hAnsi="Georgia"/>
          <w:b/>
          <w:bCs/>
          <w:color w:val="1F3864"/>
          <w:sz w:val="32"/>
          <w:szCs w:val="32"/>
        </w:rPr>
        <w:t xml:space="preserve">Part Five — Words the book has borrowed</w:t>
      </w:r>
    </w:p>
    <w:p>
      <w:pPr>
        <w:pStyle w:val="Heading2"/>
        <w:spacing w:after="120" w:before="260"/>
      </w:pPr>
      <w:r>
        <w:rPr>
          <w:rFonts w:ascii="Georgia" w:cs="Georgia" w:eastAsia="Georgia" w:hAnsi="Georgia"/>
          <w:b/>
          <w:bCs/>
          <w:color w:val="1F3864"/>
          <w:sz w:val="25"/>
          <w:szCs w:val="25"/>
        </w:rPr>
        <w:t xml:space="preserve">Decision 17 — The word "exclusive"</w:t>
      </w:r>
    </w:p>
    <w:p>
      <w:pPr>
        <w:spacing w:after="140"/>
      </w:pPr>
      <w:r>
        <w:rPr>
          <w:rFonts w:ascii="Georgia" w:cs="Georgia" w:eastAsia="Georgia" w:hAnsi="Georgia"/>
          <w:i/>
          <w:iCs/>
          <w:color w:val="777777"/>
          <w:sz w:val="19"/>
          <w:szCs w:val="19"/>
        </w:rPr>
        <w:t xml:space="preserve">Covers rows: (vv)</w:t>
      </w:r>
    </w:p>
    <w:p>
      <w:pPr>
        <w:spacing w:after="150" w:line="290"/>
      </w:pPr>
      <w:r>
        <w:rPr>
          <w:rFonts w:ascii="Georgia" w:cs="Georgia" w:eastAsia="Georgia" w:hAnsi="Georgia"/>
          <w:b/>
          <w:bCs/>
          <w:sz w:val="22"/>
          <w:szCs w:val="22"/>
        </w:rPr>
        <w:t xml:space="preserve">The background.</w:t>
      </w:r>
      <w:r>
        <w:rPr>
          <w:rFonts w:ascii="Georgia" w:cs="Georgia" w:eastAsia="Georgia" w:hAnsi="Georgia"/>
          <w:sz w:val="22"/>
          <w:szCs w:val="22"/>
        </w:rPr>
        <w:t xml:space="preserve"> The manuscript uses "exclusive" in four load-bearing places. The Introduction promises an argument about "the world before exclusive territorial sovereignty". Chapter 1, section I, asks "by what specific mechanism Europe's overlapping authorities were, over one long century, hammered into the exclusive territorial states we mistake for nature". Chapter 1, section VI, says both sides of the Westphalia dispute concede "that the exclusive territorial state was </w:t>
      </w:r>
      <w:r>
        <w:rPr>
          <w:rFonts w:ascii="Georgia" w:cs="Georgia" w:eastAsia="Georgia" w:hAnsi="Georgia"/>
          <w:i/>
          <w:iCs/>
          <w:sz w:val="22"/>
          <w:szCs w:val="22"/>
        </w:rPr>
        <w:t xml:space="preserve">made</w:t>
      </w:r>
      <w:r>
        <w:rPr>
          <w:rFonts w:ascii="Georgia" w:cs="Georgia" w:eastAsia="Georgia" w:hAnsi="Georgia"/>
          <w:sz w:val="22"/>
          <w:szCs w:val="22"/>
        </w:rPr>
        <w:t xml:space="preserve">, under pressure, out of something else", and then that some force "made the overlapping authorities of 1200 into the exclusive sovereignties of 1700 … and paradoxically produced, out of the densest plurality in European history, the most exclusive form of political authority ever devised".</w:t>
      </w:r>
    </w:p>
    <w:p>
      <w:pPr>
        <w:spacing w:after="150" w:line="290"/>
      </w:pPr>
      <w:r>
        <w:rPr>
          <w:rFonts w:ascii="Georgia" w:cs="Georgia" w:eastAsia="Georgia" w:hAnsi="Georgia"/>
          <w:sz w:val="22"/>
          <w:szCs w:val="22"/>
        </w:rPr>
        <w:t xml:space="preserve">Stephen Krasner, an American political scientist, wrote </w:t>
      </w:r>
      <w:r>
        <w:rPr>
          <w:rFonts w:ascii="Georgia" w:cs="Georgia" w:eastAsia="Georgia" w:hAnsi="Georgia"/>
          <w:i/>
          <w:iCs/>
          <w:sz w:val="22"/>
          <w:szCs w:val="22"/>
        </w:rPr>
        <w:t xml:space="preserve">Sovereignty: Organized Hypocrisy</w:t>
      </w:r>
      <w:r>
        <w:rPr>
          <w:rFonts w:ascii="Georgia" w:cs="Georgia" w:eastAsia="Georgia" w:hAnsi="Georgia"/>
          <w:sz w:val="22"/>
          <w:szCs w:val="22"/>
        </w:rPr>
        <w:t xml:space="preserve"> (1999), the realist answer to Hedley Bull that Chapter 1 has always needed. His finding is that exclusive sovereignty was never anyone's practice: "There has never been some ideal time during which all, or even most, political entities conformed with all of the characteristics that have been associated with sovereignty" (p. 238); "the most important empirical conclusion of the present study is that the principles associated with both Westphalian and international legal sovereignty have always been violated" (p. 24); "perhaps half of the countries of Europe have never enjoyed Westphalian sovereignty for a single moment of their existence" (p. 29). He separates four senses of the word — domestic, interdependence, international legal and Westphalian — and insists that authority and control are different things (p. 10), with domestic sovereignty "not necessarily related to international legal or Westphalian sovereignty" (p. 12). He brackets the internal consolidation your book is about — "I offer no explanation for the displacement of other institutional forms" (p. 5) — and then concedes it happened.</w:t>
      </w:r>
    </w:p>
    <w:p>
      <w:pPr>
        <w:spacing w:after="150" w:line="290"/>
      </w:pPr>
      <w:r>
        <w:rPr>
          <w:rFonts w:ascii="Georgia" w:cs="Georgia" w:eastAsia="Georgia" w:hAnsi="Georgia"/>
          <w:sz w:val="22"/>
          <w:szCs w:val="22"/>
        </w:rPr>
        <w:t xml:space="preserve">John Ruggie cuts the other way and should be kept in view: for him the modern form "has differentiated its subject collectivity into territorially defined, fixed, and mutually exclusive enclaves of legitimate dominion" (1993, p. 151). So "exclusive" is defensible as a description of the doctrine of rule even where Krasner shows it false as a description of practice.</w:t>
      </w:r>
    </w:p>
    <w:p>
      <w:pPr>
        <w:spacing w:after="150" w:line="290"/>
      </w:pPr>
      <w:r>
        <w:rPr>
          <w:rFonts w:ascii="Georgia" w:cs="Georgia" w:eastAsia="Georgia" w:hAnsi="Georgia"/>
          <w:b/>
          <w:bCs/>
          <w:sz w:val="22"/>
          <w:szCs w:val="22"/>
        </w:rPr>
        <w:t xml:space="preserve">Why it matters.</w:t>
      </w:r>
      <w:r>
        <w:rPr>
          <w:rFonts w:ascii="Georgia" w:cs="Georgia" w:eastAsia="Georgia" w:hAnsi="Georgia"/>
          <w:sz w:val="22"/>
          <w:szCs w:val="22"/>
        </w:rPr>
        <w:t xml:space="preserve"> This is an accuracy point of the kind a reviewer enjoys, and it touches the Introduction. The book does not need exclusivity. Its whole chain ends at the subordination of internal intermediate authorities under a permanent fisc, which is domestic sovereignty in Krasner's control sense plus a fiscal monopoly of decisive force — a cell his grid does not contain, and the book's own contribution. Every sentence that claims exclusivity is claiming something stronger than the argument needs and weaker than the evidence supports. It also matters for the pendulum image in the spine: if the lock was exclusivity, Krasner has shown there was nothing to lock; if the lock was internal subordination, his book is silent and his own regularity — that strong states lose autonomy only by invitation (p. 29) — implies the consolidators were internally what you say they became.</w:t>
      </w:r>
    </w:p>
    <w:p>
      <w:pPr>
        <w:spacing w:after="150" w:line="290"/>
      </w:pPr>
      <w:r>
        <w:rPr>
          <w:rFonts w:ascii="Georgia" w:cs="Georgia" w:eastAsia="Georgia" w:hAnsi="Georgia"/>
          <w:b/>
          <w:bCs/>
          <w:sz w:val="22"/>
          <w:szCs w:val="22"/>
        </w:rPr>
        <w:t xml:space="preserve">Your choices.</w:t>
      </w:r>
      <w:r>
        <w:rPr>
          <w:rFonts w:ascii="Georgia" w:cs="Georgia" w:eastAsia="Georgia" w:hAnsi="Georgia"/>
          <w:sz w:val="22"/>
          <w:szCs w:val="22"/>
        </w:rPr>
        <w:t xml:space="preserve"> Choice A is to recast the four instances. "Exclusive territorial states" becomes states that had subordinated their internal intermediate authorities and monopolised the fiscal capacity for decisive force; "the exclusive sovereignties of 1700" becomes the consolidated sovereignties of 1700; "the most exclusive form of political authority ever devised" becomes a claim about internal hierarchy rather than external purity; and Chapter 1, section VI, gains one sentence conceding Krasner's page 24 by name and saying why the lock is a different cell of his own grid. One use of Ruggie's "mutually exclusive enclaves of legitimate dominion" survives as a quoted description of the doctrine, properly attributed. The cost is four sentence rewrites, one added sentence, and a loss of snap — "exclusive" is a crisp word and its replacements are not. It buys an opening claim exactly as strong as its evidence, and it turns Krasner from a standing objection into an ally.</w:t>
      </w:r>
    </w:p>
    <w:p>
      <w:pPr>
        <w:spacing w:after="150" w:line="290"/>
      </w:pPr>
      <w:r>
        <w:rPr>
          <w:rFonts w:ascii="Georgia" w:cs="Georgia" w:eastAsia="Georgia" w:hAnsi="Georgia"/>
          <w:sz w:val="22"/>
          <w:szCs w:val="22"/>
        </w:rPr>
        <w:t xml:space="preserve">Choice B is to keep "exclusive" and defend it on Ruggie's ground: the word describes the doctrine of rule as the period articulated it, not the record, and one footnote says so, citing Ruggie for the doctrine and Krasner for the practice. This costs a footnote and preserves the Introduction's cadence. A reviewer who has read Krasner will say, not unfairly, that the footnote is a retreat conducted in small type while the text goes on making the larger claim, and may extend the doubt to the pendulum.</w:t>
      </w:r>
    </w:p>
    <w:p>
      <w:pPr>
        <w:spacing w:after="150" w:line="290"/>
      </w:pPr>
      <w:r>
        <w:rPr>
          <w:rFonts w:ascii="Georgia" w:cs="Georgia" w:eastAsia="Georgia" w:hAnsi="Georgia"/>
          <w:b/>
          <w:bCs/>
          <w:sz w:val="22"/>
          <w:szCs w:val="22"/>
        </w:rPr>
        <w:t xml:space="preserve">My view.</w:t>
      </w:r>
      <w:r>
        <w:rPr>
          <w:rFonts w:ascii="Georgia" w:cs="Georgia" w:eastAsia="Georgia" w:hAnsi="Georgia"/>
          <w:sz w:val="22"/>
          <w:szCs w:val="22"/>
        </w:rPr>
        <w:t xml:space="preserve"> Choice A, because "internal subordination plus the fiscal monopoly of decisive force" is a sharper statement of your own thesis than "exclusive" ever was, and it is the claim Part II actually demonstrates.</w:t>
      </w:r>
    </w:p>
    <w:p>
      <w:pPr>
        <w:pBdr>
          <w:top w:val="single" w:color="C9A227" w:sz="6"/>
          <w:left w:val="single" w:color="C9A227" w:sz="6"/>
          <w:right w:val="single" w:color="C9A227" w:sz="6"/>
        </w:pBdr>
        <w:shd w:fill="FFF4D6" w:color="auto" w:val="clear"/>
        <w:spacing w:after="60" w:before="200"/>
      </w:pPr>
      <w:r>
        <w:rPr>
          <w:rFonts w:ascii="Georgia" w:cs="Georgia" w:eastAsia="Georgia" w:hAnsi="Georgia"/>
          <w:b/>
          <w:bCs/>
          <w:color w:val="8A6D00"/>
          <w:sz w:val="23"/>
          <w:szCs w:val="23"/>
        </w:rPr>
        <w:t xml:space="preserve">YOUR RULING:  </w:t>
      </w:r>
    </w:p>
    <w:p>
      <w:pPr>
        <w:pBdr>
          <w:left w:val="single" w:color="C9A227" w:sz="6"/>
          <w:right w:val="single" w:color="C9A227" w:sz="6"/>
        </w:pBdr>
        <w:shd w:fill="FFF4D6" w:color="auto" w:val="clear"/>
        <w:spacing w:after="40"/>
      </w:pPr>
      <w:r>
        <w:rPr>
          <w:sz w:val="22"/>
          <w:szCs w:val="22"/>
        </w:rPr>
        <w:t xml:space="preserve"> </w:t>
      </w:r>
    </w:p>
    <w:p>
      <w:pPr>
        <w:pBdr>
          <w:left w:val="single" w:color="C9A227" w:sz="6"/>
          <w:right w:val="single" w:color="C9A227" w:sz="6"/>
        </w:pBdr>
        <w:shd w:fill="FFF4D6" w:color="auto" w:val="clear"/>
        <w:spacing w:after="40"/>
      </w:pPr>
      <w:r>
        <w:rPr>
          <w:sz w:val="22"/>
          <w:szCs w:val="22"/>
        </w:rPr>
        <w:t xml:space="preserve"> </w:t>
      </w:r>
    </w:p>
    <w:p>
      <w:pPr>
        <w:pBdr>
          <w:bottom w:val="single" w:color="C9A227" w:sz="6"/>
          <w:left w:val="single" w:color="C9A227" w:sz="6"/>
          <w:right w:val="single" w:color="C9A227" w:sz="6"/>
        </w:pBdr>
        <w:shd w:fill="FFF4D6" w:color="auto" w:val="clear"/>
        <w:spacing w:after="60"/>
      </w:pPr>
      <w:r>
        <w:rPr>
          <w:sz w:val="22"/>
          <w:szCs w:val="22"/>
        </w:rPr>
        <w:t xml:space="preserve"> </w:t>
      </w:r>
    </w:p>
    <w:p>
      <w:pPr>
        <w:pStyle w:val="Heading2"/>
        <w:spacing w:after="120" w:before="260"/>
      </w:pPr>
      <w:r>
        <w:rPr>
          <w:rFonts w:ascii="Georgia" w:cs="Georgia" w:eastAsia="Georgia" w:hAnsi="Georgia"/>
          <w:b/>
          <w:bCs/>
          <w:color w:val="1F3864"/>
          <w:sz w:val="25"/>
          <w:szCs w:val="25"/>
        </w:rPr>
        <w:t xml:space="preserve">Decision 18 — The word "legibility", and James C. Scott</w:t>
      </w:r>
    </w:p>
    <w:p>
      <w:pPr>
        <w:spacing w:after="140"/>
      </w:pPr>
      <w:r>
        <w:rPr>
          <w:rFonts w:ascii="Georgia" w:cs="Georgia" w:eastAsia="Georgia" w:hAnsi="Georgia"/>
          <w:i/>
          <w:iCs/>
          <w:color w:val="777777"/>
          <w:sz w:val="19"/>
          <w:szCs w:val="19"/>
        </w:rPr>
        <w:t xml:space="preserve">Covers rows: (rr), and the "legible" half of (bbbb)</w:t>
      </w:r>
    </w:p>
    <w:p>
      <w:pPr>
        <w:spacing w:after="150" w:line="290"/>
      </w:pPr>
      <w:r>
        <w:rPr>
          <w:rFonts w:ascii="Georgia" w:cs="Georgia" w:eastAsia="Georgia" w:hAnsi="Georgia"/>
          <w:b/>
          <w:bCs/>
          <w:sz w:val="22"/>
          <w:szCs w:val="22"/>
        </w:rPr>
        <w:t xml:space="preserve">The background.</w:t>
      </w:r>
      <w:r>
        <w:rPr>
          <w:rFonts w:ascii="Georgia" w:cs="Georgia" w:eastAsia="Georgia" w:hAnsi="Georgia"/>
          <w:sz w:val="22"/>
          <w:szCs w:val="22"/>
        </w:rPr>
        <w:t xml:space="preserve"> "Legibility" and "legible" appear twenty-eight times in the manuscript, including in the thesis statement itself — the "identity-payments-legibility stack" of the Introduction — and as a family of indicators in Appendix C. The word in this technical sense — a state's capacity to see its population and resources in a standard, countable form — is the coinage of James C. Scott, an American political scientist and anthropologist, in </w:t>
      </w:r>
      <w:r>
        <w:rPr>
          <w:rFonts w:ascii="Georgia" w:cs="Georgia" w:eastAsia="Georgia" w:hAnsi="Georgia"/>
          <w:i/>
          <w:iCs/>
          <w:sz w:val="22"/>
          <w:szCs w:val="22"/>
        </w:rPr>
        <w:t xml:space="preserve">Seeing Like a State</w:t>
      </w:r>
      <w:r>
        <w:rPr>
          <w:rFonts w:ascii="Georgia" w:cs="Georgia" w:eastAsia="Georgia" w:hAnsi="Georgia"/>
          <w:sz w:val="22"/>
          <w:szCs w:val="22"/>
        </w:rPr>
        <w:t xml:space="preserve"> (1998). Scott is cited nowhere in the book, and Appendix A, the annotated bibliography, has no entry for him. Roughly a third of the twenty-eight uses are casual ("the shape of the present becomes legible"; "the test's result is legible"; Chapter 10, section V, uses "legible" in this loose way), and the rest are technical.</w:t>
      </w:r>
    </w:p>
    <w:p>
      <w:pPr>
        <w:spacing w:after="150" w:line="290"/>
      </w:pPr>
      <w:r>
        <w:rPr>
          <w:rFonts w:ascii="Georgia" w:cs="Georgia" w:eastAsia="Georgia" w:hAnsi="Georgia"/>
          <w:sz w:val="22"/>
          <w:szCs w:val="22"/>
        </w:rPr>
        <w:t xml:space="preserve">Scott's optic is exactly yours. The pre-modern state "was, in many crucial respects, partially blind" (p. 2); surnames, cadastres, registers and standard measures are "comprehensible as attempts at legibility and simplification" (p. 2), driven by "the pressing material interests of rulers: fiscal receipts, military manpower, and state security" (p. 24). His strongest instance is the Amsterdam population registry of May 1941, which guided the deportation of sixty-five thousand Jews: the legibility supplied by the Dutch authorities was "a capacity that in principle could as easily have been deployed to feed the Jews as to deport them" (p. 78). And his warning is stated as a recipe of four elements: "the legibility of a society provides the capacity for large-scale social engineering, high-modernist ideology provides the desire, the authoritarian state provides the determination to act on that desire, and an incapacitated civil society provides the leveled social terrain on which to build" (p. 5). Your book predicts the first and third of those elements combining in at least one bloc.</w:t>
      </w:r>
    </w:p>
    <w:p>
      <w:pPr>
        <w:spacing w:after="150" w:line="290"/>
      </w:pPr>
      <w:r>
        <w:rPr>
          <w:rFonts w:ascii="Georgia" w:cs="Georgia" w:eastAsia="Georgia" w:hAnsi="Georgia"/>
          <w:b/>
          <w:bCs/>
          <w:sz w:val="22"/>
          <w:szCs w:val="22"/>
        </w:rPr>
        <w:t xml:space="preserve">Why it matters.</w:t>
      </w:r>
      <w:r>
        <w:rPr>
          <w:rFonts w:ascii="Georgia" w:cs="Georgia" w:eastAsia="Georgia" w:hAnsi="Georgia"/>
          <w:sz w:val="22"/>
          <w:szCs w:val="22"/>
        </w:rPr>
        <w:t xml:space="preserve"> The citation is not optional. A book that uses a living scholar's coinage that often, in its title concept, and never names him, carries an unexploded objection that any reviewer can detonate in one line. The larger question is how much of him to take. Scott is not merely a debt; he is the sharpest available critic of the settlement you predict, since a Tudor settlement run as personal rule over a fully legible society is his four elements assembled. But the book has already built the falsifier his critique demands: Appendix C's first failure condition — a full-stack power defeated by cheap, distributed systems without a patron's decisive layer — is the Scott scenario, formalised and scoreable. Saying so converts him into part of the apparatus.</w:t>
      </w:r>
    </w:p>
    <w:p>
      <w:pPr>
        <w:spacing w:after="150" w:line="290"/>
      </w:pPr>
      <w:r>
        <w:rPr>
          <w:rFonts w:ascii="Georgia" w:cs="Georgia" w:eastAsia="Georgia" w:hAnsi="Georgia"/>
          <w:b/>
          <w:bCs/>
          <w:sz w:val="22"/>
          <w:szCs w:val="22"/>
        </w:rPr>
        <w:t xml:space="preserve">Your choices.</w:t>
      </w:r>
      <w:r>
        <w:rPr>
          <w:rFonts w:ascii="Georgia" w:cs="Georgia" w:eastAsia="Georgia" w:hAnsi="Georgia"/>
          <w:sz w:val="22"/>
          <w:szCs w:val="22"/>
        </w:rPr>
        <w:t xml:space="preserve"> Choice A is to name him at the Introduction's first use, take the Amsterdam registry and the four-element recipe into Chapter 12, section III, beside the identity stacks, identify Appendix C's first condition as the Scott scenario, and reword every casual instance to "visible", "readable" or "plain" so that the term of art stays a term of art. The cost is that Chapter 12 then carries a warning at full strength in a chapter already carrying the bloc verdicts, plus an hour's hygiene across the casual uses. It buys the book's strongest possible position on its title concept: prediction stated visibly beside the demonstration of what the same machinery does when the other elements arrive, in his words rather than defensively in yours.</w:t>
      </w:r>
    </w:p>
    <w:p>
      <w:pPr>
        <w:spacing w:after="150" w:line="290"/>
      </w:pPr>
      <w:r>
        <w:rPr>
          <w:rFonts w:ascii="Georgia" w:cs="Georgia" w:eastAsia="Georgia" w:hAnsi="Georgia"/>
          <w:sz w:val="22"/>
          <w:szCs w:val="22"/>
        </w:rPr>
        <w:t xml:space="preserve">Choice B is the bare citation: Scott named at first use and in Appendix A, the casual uses reworded, but the Amsterdam registry and the recipe left out. This discharges the debt and costs almost nothing. A reviewer would then say the book has cited the man whose warning it most needs to answer and has not answered him, which is a weaker position than not having noticed him at all.</w:t>
      </w:r>
    </w:p>
    <w:p>
      <w:pPr>
        <w:spacing w:after="150" w:line="290"/>
      </w:pPr>
      <w:r>
        <w:rPr>
          <w:rFonts w:ascii="Georgia" w:cs="Georgia" w:eastAsia="Georgia" w:hAnsi="Georgia"/>
          <w:b/>
          <w:bCs/>
          <w:sz w:val="22"/>
          <w:szCs w:val="22"/>
        </w:rPr>
        <w:t xml:space="preserve">My view.</w:t>
      </w:r>
      <w:r>
        <w:rPr>
          <w:rFonts w:ascii="Georgia" w:cs="Georgia" w:eastAsia="Georgia" w:hAnsi="Georgia"/>
          <w:sz w:val="22"/>
          <w:szCs w:val="22"/>
        </w:rPr>
        <w:t xml:space="preserve"> Choice A, because once he is in the apparatus the Amsterdam registry is the most economical statement of the disanalogy the book already makes — that registration is a capacity, not a policy — and the recipe lets Appendix C be seen to have priced his objection in.</w:t>
      </w:r>
    </w:p>
    <w:p>
      <w:pPr>
        <w:pBdr>
          <w:top w:val="single" w:color="C9A227" w:sz="6"/>
          <w:left w:val="single" w:color="C9A227" w:sz="6"/>
          <w:right w:val="single" w:color="C9A227" w:sz="6"/>
        </w:pBdr>
        <w:shd w:fill="FFF4D6" w:color="auto" w:val="clear"/>
        <w:spacing w:after="60" w:before="200"/>
      </w:pPr>
      <w:r>
        <w:rPr>
          <w:rFonts w:ascii="Georgia" w:cs="Georgia" w:eastAsia="Georgia" w:hAnsi="Georgia"/>
          <w:b/>
          <w:bCs/>
          <w:color w:val="8A6D00"/>
          <w:sz w:val="23"/>
          <w:szCs w:val="23"/>
        </w:rPr>
        <w:t xml:space="preserve">YOUR RULING:  </w:t>
      </w:r>
    </w:p>
    <w:p>
      <w:pPr>
        <w:pBdr>
          <w:left w:val="single" w:color="C9A227" w:sz="6"/>
          <w:right w:val="single" w:color="C9A227" w:sz="6"/>
        </w:pBdr>
        <w:shd w:fill="FFF4D6" w:color="auto" w:val="clear"/>
        <w:spacing w:after="40"/>
      </w:pPr>
      <w:r>
        <w:rPr>
          <w:sz w:val="22"/>
          <w:szCs w:val="22"/>
        </w:rPr>
        <w:t xml:space="preserve"> </w:t>
      </w:r>
    </w:p>
    <w:p>
      <w:pPr>
        <w:pBdr>
          <w:left w:val="single" w:color="C9A227" w:sz="6"/>
          <w:right w:val="single" w:color="C9A227" w:sz="6"/>
        </w:pBdr>
        <w:shd w:fill="FFF4D6" w:color="auto" w:val="clear"/>
        <w:spacing w:after="40"/>
      </w:pPr>
      <w:r>
        <w:rPr>
          <w:sz w:val="22"/>
          <w:szCs w:val="22"/>
        </w:rPr>
        <w:t xml:space="preserve"> </w:t>
      </w:r>
    </w:p>
    <w:p>
      <w:pPr>
        <w:pBdr>
          <w:bottom w:val="single" w:color="C9A227" w:sz="6"/>
          <w:left w:val="single" w:color="C9A227" w:sz="6"/>
          <w:right w:val="single" w:color="C9A227" w:sz="6"/>
        </w:pBdr>
        <w:shd w:fill="FFF4D6" w:color="auto" w:val="clear"/>
        <w:spacing w:after="60"/>
      </w:pPr>
      <w:r>
        <w:rPr>
          <w:sz w:val="22"/>
          <w:szCs w:val="22"/>
        </w:rPr>
        <w:t xml:space="preserve"> </w:t>
      </w:r>
    </w:p>
    <w:p>
      <w:pPr>
        <w:pStyle w:val="Heading2"/>
        <w:spacing w:after="120" w:before="260"/>
      </w:pPr>
      <w:r>
        <w:rPr>
          <w:rFonts w:ascii="Georgia" w:cs="Georgia" w:eastAsia="Georgia" w:hAnsi="Georgia"/>
          <w:b/>
          <w:bCs/>
          <w:color w:val="1F3864"/>
          <w:sz w:val="25"/>
          <w:szCs w:val="25"/>
        </w:rPr>
        <w:t xml:space="preserve">Decision 19 — Answering Ruggie, and who had the neomedieval idea first</w:t>
      </w:r>
    </w:p>
    <w:p>
      <w:pPr>
        <w:spacing w:after="140"/>
      </w:pPr>
      <w:r>
        <w:rPr>
          <w:rFonts w:ascii="Georgia" w:cs="Georgia" w:eastAsia="Georgia" w:hAnsi="Georgia"/>
          <w:i/>
          <w:iCs/>
          <w:color w:val="777777"/>
          <w:sz w:val="19"/>
          <w:szCs w:val="19"/>
        </w:rPr>
        <w:t xml:space="preserve">Covers rows: (tt), (xx), (ww), (fff)</w:t>
      </w:r>
    </w:p>
    <w:p>
      <w:pPr>
        <w:spacing w:after="150" w:line="290"/>
      </w:pPr>
      <w:r>
        <w:rPr>
          <w:rFonts w:ascii="Georgia" w:cs="Georgia" w:eastAsia="Georgia" w:hAnsi="Georgia"/>
          <w:b/>
          <w:bCs/>
          <w:sz w:val="22"/>
          <w:szCs w:val="22"/>
        </w:rPr>
        <w:t xml:space="preserve">The background.</w:t>
      </w:r>
      <w:r>
        <w:rPr>
          <w:rFonts w:ascii="Georgia" w:cs="Georgia" w:eastAsia="Georgia" w:hAnsi="Georgia"/>
          <w:sz w:val="22"/>
          <w:szCs w:val="22"/>
        </w:rPr>
        <w:t xml:space="preserve"> John Gerard Ruggie's article "Territoriality and Beyond" (</w:t>
      </w:r>
      <w:r>
        <w:rPr>
          <w:rFonts w:ascii="Georgia" w:cs="Georgia" w:eastAsia="Georgia" w:hAnsi="Georgia"/>
          <w:i/>
          <w:iCs/>
          <w:sz w:val="22"/>
          <w:szCs w:val="22"/>
        </w:rPr>
        <w:t xml:space="preserve">International Organization</w:t>
      </w:r>
      <w:r>
        <w:rPr>
          <w:rFonts w:ascii="Georgia" w:cs="Georgia" w:eastAsia="Georgia" w:hAnsi="Georgia"/>
          <w:sz w:val="22"/>
          <w:szCs w:val="22"/>
        </w:rPr>
        <w:t xml:space="preserve">, 1993) supplied the vocabulary the neomedieval literature runs on. It bears on the book in four places, each a separate row.</w:t>
      </w:r>
    </w:p>
    <w:p>
      <w:pPr>
        <w:spacing w:after="150" w:line="290"/>
      </w:pPr>
      <w:r>
        <w:rPr>
          <w:rFonts w:ascii="Georgia" w:cs="Georgia" w:eastAsia="Georgia" w:hAnsi="Georgia"/>
          <w:sz w:val="22"/>
          <w:szCs w:val="22"/>
        </w:rPr>
        <w:t xml:space="preserve">First, the off-switch. Chapter 12, section I, closes its Ukraine week on the sentence "A drone-rich army learned, in one week, that its cheap strike complex aimed through an ally's targeting layer, and that the layer had an owner." Ruggie named that argument in 1993 as an error. Quoting Kapstein's remark that if the United States wished to stop satellite transmission "it could easily do so by shooting the satellite down", he replied: "There is an extraordinarily impoverished mind-set at work here, one that is able to visualize long-term challenges to the system of states only in terms of entities that are institutionally substitutable for the state" (p. 143). His demonstration is the medieval fair: "In no sense could the medieval trade fairs have become substitutes for the institutions of feudal rule. Yet, the fairs contributed significantly to the demise of feudal authority relations", and "local lords at any time could have closed down a fair in their domain … though other lords in other places probably would have been only too pleased to provide alternative sites" (p. 155). On Europe he is equally direct: the Community "may constitute the first 'multiperspectival polity' to emerge since the advent of the modern era", but "There is no indication, however, that this reimagining will result in a federal state of Europe" (p. 172).</w:t>
      </w:r>
    </w:p>
    <w:p>
      <w:pPr>
        <w:spacing w:after="150" w:line="290"/>
      </w:pPr>
      <w:r>
        <w:rPr>
          <w:rFonts w:ascii="Georgia" w:cs="Georgia" w:eastAsia="Georgia" w:hAnsi="Georgia"/>
          <w:sz w:val="22"/>
          <w:szCs w:val="22"/>
        </w:rPr>
        <w:t xml:space="preserve">Second, the spine's test. Spine section 7 — the spine being the book's internal doctrine document — attributes to Hedley Bull a test with a "new units" limb: whether the dispersing trends replaced sovereignty as the organising principle "or merely reproduced it in new units". Chapter 1 carries a standing marker, a [DELTA] flag, recording that this limb is a reconstruction from Bull's per-trend reasoning rather than a test he states. Ruggie's page 143 denies that substitutability is the right question at all.</w:t>
      </w:r>
    </w:p>
    <w:p>
      <w:pPr>
        <w:spacing w:after="150" w:line="290"/>
      </w:pPr>
      <w:r>
        <w:rPr>
          <w:rFonts w:ascii="Georgia" w:cs="Georgia" w:eastAsia="Georgia" w:hAnsi="Georgia"/>
          <w:sz w:val="22"/>
          <w:szCs w:val="22"/>
        </w:rPr>
        <w:t xml:space="preserve">Third, the origin story. Chapter 1, section I, presents the neomedieval literature as having "a founding text", and section III calls Bull "the founder first, doubting his own hypothesis". But Charles Tilly, writing in 1975, two years before </w:t>
      </w:r>
      <w:r>
        <w:rPr>
          <w:rFonts w:ascii="Georgia" w:cs="Georgia" w:eastAsia="Georgia" w:hAnsi="Georgia"/>
          <w:i/>
          <w:iCs/>
          <w:sz w:val="22"/>
          <w:szCs w:val="22"/>
        </w:rPr>
        <w:t xml:space="preserve">The Anarchical Society</w:t>
      </w:r>
      <w:r>
        <w:rPr>
          <w:rFonts w:ascii="Georgia" w:cs="Georgia" w:eastAsia="Georgia" w:hAnsi="Georgia"/>
          <w:sz w:val="22"/>
          <w:szCs w:val="22"/>
        </w:rPr>
        <w:t xml:space="preserve">, already had the thought and gave it a technological cause: the state "may be losing part of its significance", authority moving "toward the regional grouping and the compact of superstates above, toward the subnational region, ethnic population, or racial group below", and, flatly, "Perhaps, unknowing, we are writing obituaries for the state" (p. 638). Ruggie's own note 23 points further back, to John Herz's "Rise and Demise of the Territorial State" of 1957. Alongside this sits an attribution error. Chapter 1, section II, gives Perry Anderson (1974, pp. 37–38) both the phrase "patchwork of overlapping and incomplete rights of government" and the phrases that follow, and credits the canonisation to Ruggie 1993. Ruggie's own notes divide the sentence: "patchwork of overlapping and incomplete rights of government" is from Strayer and Munro, </w:t>
      </w:r>
      <w:r>
        <w:rPr>
          <w:rFonts w:ascii="Georgia" w:cs="Georgia" w:eastAsia="Georgia" w:hAnsi="Georgia"/>
          <w:i/>
          <w:iCs/>
          <w:sz w:val="22"/>
          <w:szCs w:val="22"/>
        </w:rPr>
        <w:t xml:space="preserve">The Middle Ages</w:t>
      </w:r>
      <w:r>
        <w:rPr>
          <w:rFonts w:ascii="Georgia" w:cs="Georgia" w:eastAsia="Georgia" w:hAnsi="Georgia"/>
          <w:sz w:val="22"/>
          <w:szCs w:val="22"/>
        </w:rPr>
        <w:t xml:space="preserve"> (1959), p. 115; "inextricably superimposed and tangled" and the "plural allegiances, asymmetrical suzerainties and anomalous enclaves" clause are Anderson's; and the canonising article was Ruggie's 1983 piece in </w:t>
      </w:r>
      <w:r>
        <w:rPr>
          <w:rFonts w:ascii="Georgia" w:cs="Georgia" w:eastAsia="Georgia" w:hAnsi="Georgia"/>
          <w:i/>
          <w:iCs/>
          <w:sz w:val="22"/>
          <w:szCs w:val="22"/>
        </w:rPr>
        <w:t xml:space="preserve">World Politics</w:t>
      </w:r>
      <w:r>
        <w:rPr>
          <w:rFonts w:ascii="Georgia" w:cs="Georgia" w:eastAsia="Georgia" w:hAnsi="Georgia"/>
          <w:sz w:val="22"/>
          <w:szCs w:val="22"/>
        </w:rPr>
        <w:t xml:space="preserve">, which is what Kobrin and Zielonka both cite. Anderson's page 37 has not been seen directly, so it remains possible that he is himself quoting Strayer and Munro.</w:t>
      </w:r>
    </w:p>
    <w:p>
      <w:pPr>
        <w:spacing w:after="150" w:line="290"/>
      </w:pPr>
      <w:r>
        <w:rPr>
          <w:rFonts w:ascii="Georgia" w:cs="Georgia" w:eastAsia="Georgia" w:hAnsi="Georgia"/>
          <w:sz w:val="22"/>
          <w:szCs w:val="22"/>
        </w:rPr>
        <w:t xml:space="preserve">Fourth, the two centuries. Chapter 4 treats the Hanseatic Kontore — the League's overseas trading stations — and the other alternative polities without meeting Ruggie's strongest objection: "the Italian city-states and the Hanse, in fact were viable political alternatives to the territorial state, fully able to levy taxes and raise armies, for the better part of two centuries. In social life, two centuries is no mere time lag" (p. 156). He also supplies, from Mattingly, the phrase the Kontore have been waiting for — the new states "found they could only communicate with one another by tolerating within themselves little islands of alien sovereignty" (p. 165).</w:t>
      </w:r>
    </w:p>
    <w:p>
      <w:pPr>
        <w:spacing w:after="150" w:line="290"/>
      </w:pPr>
      <w:r>
        <w:rPr>
          <w:rFonts w:ascii="Georgia" w:cs="Georgia" w:eastAsia="Georgia" w:hAnsi="Georgia"/>
          <w:b/>
          <w:bCs/>
          <w:sz w:val="22"/>
          <w:szCs w:val="22"/>
        </w:rPr>
        <w:t xml:space="preserve">Why it matters.</w:t>
      </w:r>
      <w:r>
        <w:rPr>
          <w:rFonts w:ascii="Georgia" w:cs="Georgia" w:eastAsia="Georgia" w:hAnsi="Georgia"/>
          <w:sz w:val="22"/>
          <w:szCs w:val="22"/>
        </w:rPr>
        <w:t xml:space="preserve"> The four rows are of different weights. The Anderson repair is an error of fact in a reviewed chapter and must be made regardless. The spine correction costs one clause and removes an attribution a specialist can falsify. The origin story is a rhetorical convenience, and giving it up is a gain: the founder of the war-makes-states school predicted dispersal on technological grounds in 1975, so the book's inversion — the same family of technologies now re-concentrating — answers Tilly rather than merely correcting Bull. The off-switch is the large one. Chapter 12's whole opening week is the argument Ruggie discredited thirty years ago, and if the book does not answer him a reviewer who knows the literature will do it for you. The answer is available and cheap: Part I already concedes the platforms are not substitutes for the state; the book's claim is that a non-substitutable authority can nonetheless be subordinated, the switch being the instrument; and Ruggie's alternative sites are the point, because a fab is not a fair and the alternative sites now lie inside three or four commercial worlds. The two centuries are conceded just as cheaply, because they are the two centuries before the ratchet — the book's name for the step at which the price of decisive force rose past subordinate reach — with Ruggie's alternatives flourishing 1300–1500 and the mechanism running 1440–1500.</w:t>
      </w:r>
    </w:p>
    <w:p>
      <w:pPr>
        <w:spacing w:after="150" w:line="290"/>
      </w:pPr>
      <w:r>
        <w:rPr>
          <w:rFonts w:ascii="Georgia" w:cs="Georgia" w:eastAsia="Georgia" w:hAnsi="Georgia"/>
          <w:b/>
          <w:bCs/>
          <w:sz w:val="22"/>
          <w:szCs w:val="22"/>
        </w:rPr>
        <w:t xml:space="preserve">Your choices.</w:t>
      </w:r>
      <w:r>
        <w:rPr>
          <w:rFonts w:ascii="Georgia" w:cs="Georgia" w:eastAsia="Georgia" w:hAnsi="Georgia"/>
          <w:sz w:val="22"/>
          <w:szCs w:val="22"/>
        </w:rPr>
        <w:t xml:space="preserve"> Choice A is to answer Ruggie by name at every point. Chapter 12 carries the off-switch answer, placed at section II where the fairs are the natural material rather than in section I where the week works because it is concrete; "multiperspectival polity" is named in section IV as a failure mode and "no indication … federal state" as the null the European conditional scores against; the [DELTA] in Chapter 1 is closed with one clause saying the subordination test is the book's own, and spine section 7 is amended to match; Chapter 1 gives Tilly 1975 and Herz 1957 their priority and demotes Bull from founder to namer, with Herz entering Appendix A; the Anderson sentence is split as Ruggie's notes divide it, the canonisation re-pointed to 1983, and the commit held until Anderson's page 37 has been seen; Chapter 4 concedes the two centuries by name and dates them before the ratchet, with Mattingly's phrase in a note. The cost is perhaps 300 words across three chapters, a spine note, and one verification errand. It buys the book's answers on the record before the reviewer makes the objections, and it buys a better opening: the Tilly passage is stronger material than the sentence it replaces.</w:t>
      </w:r>
    </w:p>
    <w:p>
      <w:pPr>
        <w:spacing w:after="150" w:line="290"/>
      </w:pPr>
      <w:r>
        <w:rPr>
          <w:rFonts w:ascii="Georgia" w:cs="Georgia" w:eastAsia="Georgia" w:hAnsi="Georgia"/>
          <w:sz w:val="22"/>
          <w:szCs w:val="22"/>
        </w:rPr>
        <w:t xml:space="preserve">Choice B is the housekeeping only: the Anderson repair, the spine clause and the two-centuries concession are made, because each is a matter of fact; the off-switch answer goes into Chapter 12's critiques file rather than its text, and Bull stays the founder. This keeps Chapter 12 lean and saves the reader an excursion into theory. A reviewer would observe that the book's central contemporary exhibit is precisely the move Ruggie discredited and is not obliged to notice that the book has an answer.</w:t>
      </w:r>
    </w:p>
    <w:p>
      <w:pPr>
        <w:spacing w:after="150" w:line="290"/>
      </w:pPr>
      <w:r>
        <w:rPr>
          <w:rFonts w:ascii="Georgia" w:cs="Georgia" w:eastAsia="Georgia" w:hAnsi="Georgia"/>
          <w:b/>
          <w:bCs/>
          <w:sz w:val="22"/>
          <w:szCs w:val="22"/>
        </w:rPr>
        <w:t xml:space="preserve">My view.</w:t>
      </w:r>
      <w:r>
        <w:rPr>
          <w:rFonts w:ascii="Georgia" w:cs="Georgia" w:eastAsia="Georgia" w:hAnsi="Georgia"/>
          <w:sz w:val="22"/>
          <w:szCs w:val="22"/>
        </w:rPr>
        <w:t xml:space="preserve"> Choice A, with restraint in section I: the spine correction and the Anderson repair should happen whichever way you rule, and the off-switch answer is worth far more in the text than in a file no reviewer reads.</w:t>
      </w:r>
    </w:p>
    <w:p>
      <w:pPr>
        <w:pBdr>
          <w:top w:val="single" w:color="C9A227" w:sz="6"/>
          <w:left w:val="single" w:color="C9A227" w:sz="6"/>
          <w:right w:val="single" w:color="C9A227" w:sz="6"/>
        </w:pBdr>
        <w:shd w:fill="FFF4D6" w:color="auto" w:val="clear"/>
        <w:spacing w:after="60" w:before="200"/>
      </w:pPr>
      <w:r>
        <w:rPr>
          <w:rFonts w:ascii="Georgia" w:cs="Georgia" w:eastAsia="Georgia" w:hAnsi="Georgia"/>
          <w:b/>
          <w:bCs/>
          <w:color w:val="8A6D00"/>
          <w:sz w:val="23"/>
          <w:szCs w:val="23"/>
        </w:rPr>
        <w:t xml:space="preserve">YOUR RULING:  </w:t>
      </w:r>
    </w:p>
    <w:p>
      <w:pPr>
        <w:pBdr>
          <w:left w:val="single" w:color="C9A227" w:sz="6"/>
          <w:right w:val="single" w:color="C9A227" w:sz="6"/>
        </w:pBdr>
        <w:shd w:fill="FFF4D6" w:color="auto" w:val="clear"/>
        <w:spacing w:after="40"/>
      </w:pPr>
      <w:r>
        <w:rPr>
          <w:sz w:val="22"/>
          <w:szCs w:val="22"/>
        </w:rPr>
        <w:t xml:space="preserve"> </w:t>
      </w:r>
    </w:p>
    <w:p>
      <w:pPr>
        <w:pBdr>
          <w:left w:val="single" w:color="C9A227" w:sz="6"/>
          <w:right w:val="single" w:color="C9A227" w:sz="6"/>
        </w:pBdr>
        <w:shd w:fill="FFF4D6" w:color="auto" w:val="clear"/>
        <w:spacing w:after="40"/>
      </w:pPr>
      <w:r>
        <w:rPr>
          <w:sz w:val="22"/>
          <w:szCs w:val="22"/>
        </w:rPr>
        <w:t xml:space="preserve"> </w:t>
      </w:r>
    </w:p>
    <w:p>
      <w:pPr>
        <w:pBdr>
          <w:bottom w:val="single" w:color="C9A227" w:sz="6"/>
          <w:left w:val="single" w:color="C9A227" w:sz="6"/>
          <w:right w:val="single" w:color="C9A227" w:sz="6"/>
        </w:pBdr>
        <w:shd w:fill="FFF4D6" w:color="auto" w:val="clear"/>
        <w:spacing w:after="60"/>
      </w:pPr>
      <w:r>
        <w:rPr>
          <w:sz w:val="22"/>
          <w:szCs w:val="22"/>
        </w:rPr>
        <w:t xml:space="preserve"> </w:t>
      </w:r>
    </w:p>
    <w:p>
      <w:pPr>
        <w:pStyle w:val="Heading2"/>
        <w:spacing w:after="120" w:before="260"/>
      </w:pPr>
      <w:r>
        <w:rPr>
          <w:rFonts w:ascii="Georgia" w:cs="Georgia" w:eastAsia="Georgia" w:hAnsi="Georgia"/>
          <w:b/>
          <w:bCs/>
          <w:color w:val="1F3864"/>
          <w:sz w:val="25"/>
          <w:szCs w:val="25"/>
        </w:rPr>
        <w:t xml:space="preserve">Decision 20 — Borrowed terms, each paid for</w:t>
      </w:r>
    </w:p>
    <w:p>
      <w:pPr>
        <w:spacing w:after="140"/>
      </w:pPr>
      <w:r>
        <w:rPr>
          <w:rFonts w:ascii="Georgia" w:cs="Georgia" w:eastAsia="Georgia" w:hAnsi="Georgia"/>
          <w:i/>
          <w:iCs/>
          <w:color w:val="777777"/>
          <w:sz w:val="19"/>
          <w:szCs w:val="19"/>
        </w:rPr>
        <w:t xml:space="preserve">Covers rows: (ii), (pp), (qq), (ggg), (qqq), (sss), and the Schmitt/chokepoint half of (bbbb)</w:t>
      </w:r>
    </w:p>
    <w:p>
      <w:pPr>
        <w:spacing w:after="150" w:line="290"/>
      </w:pPr>
      <w:r>
        <w:rPr>
          <w:rFonts w:ascii="Georgia" w:cs="Georgia" w:eastAsia="Georgia" w:hAnsi="Georgia"/>
          <w:b/>
          <w:bCs/>
          <w:sz w:val="22"/>
          <w:szCs w:val="22"/>
        </w:rPr>
        <w:t xml:space="preserve">The background.</w:t>
      </w:r>
      <w:r>
        <w:rPr>
          <w:rFonts w:ascii="Georgia" w:cs="Georgia" w:eastAsia="Georgia" w:hAnsi="Georgia"/>
          <w:sz w:val="22"/>
          <w:szCs w:val="22"/>
        </w:rPr>
        <w:t xml:space="preserve"> Seven small rows share one problem: the manuscript uses words that belong to named scholars without naming them, or names them at one remove. Each is cheap to fix and each is the kind of thing a doctrine that treats provenance seriously cannot leave.</w:t>
      </w:r>
    </w:p>
    <w:p>
      <w:pPr>
        <w:spacing w:after="150" w:line="290"/>
      </w:pPr>
      <w:r>
        <w:rPr>
          <w:rFonts w:ascii="Georgia" w:cs="Georgia" w:eastAsia="Georgia" w:hAnsi="Georgia"/>
          <w:sz w:val="22"/>
          <w:szCs w:val="22"/>
        </w:rPr>
        <w:t xml:space="preserve">The spine's third route to consolidation — absorption by alliance, the barons asked in rather than revoked — has no name from the literature. Stephen Krasner supplies one: rulers "can extend invitations, sometimes inadvertent, that result in compromises of their own Westphalian sovereignty" (1999, p. 20), and "more powerful states are unlikely to lose their Westphalian sovereignty unless they invite external authority through conventions or contractual arrangements" (p. 29). His invited party is a foreign sovereign, not a firm, so the borrowing is an extension and should say so.</w:t>
      </w:r>
    </w:p>
    <w:p>
      <w:pPr>
        <w:spacing w:after="150" w:line="290"/>
      </w:pPr>
      <w:r>
        <w:rPr>
          <w:rFonts w:ascii="Georgia" w:cs="Georgia" w:eastAsia="Georgia" w:hAnsi="Georgia"/>
          <w:sz w:val="22"/>
          <w:szCs w:val="22"/>
        </w:rPr>
        <w:t xml:space="preserve">Chapter 12, section IV, reads the Monroe Doctrine through Benjamin Bratton's gloss on Carl Schmitt. The original is now in the corpus: the Doctrine and the Western Hemisphere "encompass a space far exceeding the boundaries of the state proper — a Großraum in the sense of international law" (p. 281), and the three possibilities of a single world sovereign, a hegemonic balance, or "an equilibrium of several independent Großräume … rational, if the Großräume are differentiated meaningfully and are homogeneous internally" (pp. 354–55) — the last being the position your four-bloc prediction occupies. What travels with the citation is the provenance: Schmitt built the Großraum doctrine inside the Third Reich, in the 1939 </w:t>
      </w:r>
      <w:r>
        <w:rPr>
          <w:rFonts w:ascii="Georgia" w:cs="Georgia" w:eastAsia="Georgia" w:hAnsi="Georgia"/>
          <w:i/>
          <w:iCs/>
          <w:sz w:val="22"/>
          <w:szCs w:val="22"/>
        </w:rPr>
        <w:t xml:space="preserve">Völkerrechtliche Großraumordnung</w:t>
      </w:r>
      <w:r>
        <w:rPr>
          <w:rFonts w:ascii="Georgia" w:cs="Georgia" w:eastAsia="Georgia" w:hAnsi="Georgia"/>
          <w:sz w:val="22"/>
          <w:szCs w:val="22"/>
        </w:rPr>
        <w:t xml:space="preserve">, with the Reich as the intended ordering centre, and the 1950 </w:t>
      </w:r>
      <w:r>
        <w:rPr>
          <w:rFonts w:ascii="Georgia" w:cs="Georgia" w:eastAsia="Georgia" w:hAnsi="Georgia"/>
          <w:i/>
          <w:iCs/>
          <w:sz w:val="22"/>
          <w:szCs w:val="22"/>
        </w:rPr>
        <w:t xml:space="preserve">Nomos of the Earth</w:t>
      </w:r>
      <w:r>
        <w:rPr>
          <w:rFonts w:ascii="Georgia" w:cs="Georgia" w:eastAsia="Georgia" w:hAnsi="Georgia"/>
          <w:sz w:val="22"/>
          <w:szCs w:val="22"/>
        </w:rPr>
        <w:t xml:space="preserve"> re-grounds it without confessing the lineage. Chapter 10 is a separate matter: Schmitt's account of where the state came from is a rival cause, the bracketed-war order arising "solely from the emergence of a new spatial order" (p. 140), with no cannon and no fisc in it, so he belongs in that chapter's critiques file and not its text.</w:t>
      </w:r>
    </w:p>
    <w:p>
      <w:pPr>
        <w:spacing w:after="150" w:line="290"/>
      </w:pPr>
      <w:r>
        <w:rPr>
          <w:rFonts w:ascii="Georgia" w:cs="Georgia" w:eastAsia="Georgia" w:hAnsi="Georgia"/>
          <w:sz w:val="22"/>
          <w:szCs w:val="22"/>
        </w:rPr>
        <w:t xml:space="preserve">Chapter 12 uses the off-switch and the map without their owners' names, and Chapter 10, section VIII, uses "chokepoints" as ordinary language. The terms are Henry Farrell and Abraham Newman's, from "Weaponized Interdependence" (</w:t>
      </w:r>
      <w:r>
        <w:rPr>
          <w:rFonts w:ascii="Georgia" w:cs="Georgia" w:eastAsia="Georgia" w:hAnsi="Georgia"/>
          <w:i/>
          <w:iCs/>
          <w:sz w:val="22"/>
          <w:szCs w:val="22"/>
        </w:rPr>
        <w:t xml:space="preserve">International Security</w:t>
      </w:r>
      <w:r>
        <w:rPr>
          <w:rFonts w:ascii="Georgia" w:cs="Georgia" w:eastAsia="Georgia" w:hAnsi="Georgia"/>
          <w:sz w:val="22"/>
          <w:szCs w:val="22"/>
        </w:rPr>
        <w:t xml:space="preserve">, 2019): the panopticon effect, by which states with jurisdiction over network hubs "can use this influence to obtain information passing through the hubs", and the chokepoint effect, "privileged states' capacity to limit or penalize use of hubs by third parties" (pp. 55–56). Their scope condition is your mechanism in modern dress: "States need both leverage over network hubs and appropriate institutions" (p. 75). Their objection — two decades of coercion through deputised private hands with no absorption — cannot be answered away and should be staged as a wager for Appendix C to score.</w:t>
      </w:r>
    </w:p>
    <w:p>
      <w:pPr>
        <w:spacing w:after="150" w:line="290"/>
      </w:pPr>
      <w:r>
        <w:rPr>
          <w:rFonts w:ascii="Georgia" w:cs="Georgia" w:eastAsia="Georgia" w:hAnsi="Georgia"/>
          <w:sz w:val="22"/>
          <w:szCs w:val="22"/>
        </w:rPr>
        <w:t xml:space="preserve">Chapter 5, section VII, calls the minority council's position "the dignified pretence". The word is Walter Bagehot's, from </w:t>
      </w:r>
      <w:r>
        <w:rPr>
          <w:rFonts w:ascii="Georgia" w:cs="Georgia" w:eastAsia="Georgia" w:hAnsi="Georgia"/>
          <w:i/>
          <w:iCs/>
          <w:sz w:val="22"/>
          <w:szCs w:val="22"/>
        </w:rPr>
        <w:t xml:space="preserve">The English Constitution</w:t>
      </w:r>
      <w:r>
        <w:rPr>
          <w:rFonts w:ascii="Georgia" w:cs="Georgia" w:eastAsia="Georgia" w:hAnsi="Georgia"/>
          <w:sz w:val="22"/>
          <w:szCs w:val="22"/>
        </w:rPr>
        <w:t xml:space="preserve"> (1867): the "DIGNIFIED parts" that "excite and preserve the reverence of the population" against the "EFFICIENT parts — those by which it, in fact, works and rules" (PDF p. 21). His caveat — "I am not, of course, now speaking of the middle ages" (PDF p. 48) — must travel with any medieval use.</w:t>
      </w:r>
    </w:p>
    <w:p>
      <w:pPr>
        <w:spacing w:after="150" w:line="290"/>
      </w:pPr>
      <w:r>
        <w:rPr>
          <w:rFonts w:ascii="Georgia" w:cs="Georgia" w:eastAsia="Georgia" w:hAnsi="Georgia"/>
          <w:sz w:val="22"/>
          <w:szCs w:val="22"/>
        </w:rPr>
        <w:t xml:space="preserve">Chapter 3, section I, attributes to Charles Tilly "the protection-market frame". The market is Frederic Lane's; Tilly carries it and hardens it into a racket — "war making and state making — quintessential protection rackets with the advantage of legitimacy — qualify as our largest examples of organized crime". The chapter's conditional clause about weakening central capacity is the book's own and should be marked as such, and widened to cover capacity never formed. Chapter 3, section III, also refers to a "centuries-old taboo against mercenarism"; Ruggie, citing Thomson, dates it to the nation-state: "when the concept of state sovereignty expanded to become the concept of national sovereignty, the use of mercenaries in warfare declined and ultimately was eliminated altogether" (p. 163).</w:t>
      </w:r>
    </w:p>
    <w:p>
      <w:pPr>
        <w:spacing w:after="150" w:line="290"/>
      </w:pPr>
      <w:r>
        <w:rPr>
          <w:rFonts w:ascii="Georgia" w:cs="Georgia" w:eastAsia="Georgia" w:hAnsi="Georgia"/>
          <w:b/>
          <w:bCs/>
          <w:sz w:val="22"/>
          <w:szCs w:val="22"/>
        </w:rPr>
        <w:t xml:space="preserve">Why it matters.</w:t>
      </w:r>
      <w:r>
        <w:rPr>
          <w:rFonts w:ascii="Georgia" w:cs="Georgia" w:eastAsia="Georgia" w:hAnsi="Georgia"/>
          <w:sz w:val="22"/>
          <w:szCs w:val="22"/>
        </w:rPr>
        <w:t xml:space="preserve"> Individually these are footnotes. Together they decide whether a reviewer reads the book as commanding its field or as helping itself to it. Two carry real content: the Schmitt provenance, which omitted is the easiest available attack on Part III, and the mercenary date, which turns the return of contracted force from an aberration into a reversion.</w:t>
      </w:r>
    </w:p>
    <w:p>
      <w:pPr>
        <w:spacing w:after="150" w:line="290"/>
      </w:pPr>
      <w:r>
        <w:rPr>
          <w:rFonts w:ascii="Georgia" w:cs="Georgia" w:eastAsia="Georgia" w:hAnsi="Georgia"/>
          <w:b/>
          <w:bCs/>
          <w:sz w:val="22"/>
          <w:szCs w:val="22"/>
        </w:rPr>
        <w:t xml:space="preserve">Your choices.</w:t>
      </w:r>
      <w:r>
        <w:rPr>
          <w:rFonts w:ascii="Georgia" w:cs="Georgia" w:eastAsia="Georgia" w:hAnsi="Georgia"/>
          <w:sz w:val="22"/>
          <w:szCs w:val="22"/>
        </w:rPr>
        <w:t xml:space="preserve"> Choice A is to pay every debt as stated: "invitation" adopted with the extension acknowledged in a note; Schmitt cited directly for both passages with provenance and the substance disanalogy in one endnote, and kept out of Chapter 10's text; panopticon and chokepoint adopted by name with the deputisation objection staged as a wager; "dignified" attributed to Bagehot with his caveat in the note; Lane's market and Tilly's racket both named, with the conditional marked as yours; "centuries-old" cut and the taboo dated. This costs six or seven notes and a few reworded clauses, and buys every borrowed term cleanly acknowledged.</w:t>
      </w:r>
    </w:p>
    <w:p>
      <w:pPr>
        <w:spacing w:after="150" w:line="290"/>
      </w:pPr>
      <w:r>
        <w:rPr>
          <w:rFonts w:ascii="Georgia" w:cs="Georgia" w:eastAsia="Georgia" w:hAnsi="Georgia"/>
          <w:sz w:val="22"/>
          <w:szCs w:val="22"/>
        </w:rPr>
        <w:t xml:space="preserve">Choice B is to attribute only where the word is unavoidable and reword the rest: drop "invitation" for a plain description, replace "dignified pretence" with an unmarked phrase, keep "chokepoint" as ordinary English, and make only the Schmitt, Lane and mercenary corrections. This is cheaper by three notes and loses three genealogies that count in the book's favour, since Bagehot's distinction descends from the very fifteenth-century split Chapter 5 describes.</w:t>
      </w:r>
    </w:p>
    <w:p>
      <w:pPr>
        <w:spacing w:after="150" w:line="290"/>
      </w:pPr>
      <w:r>
        <w:rPr>
          <w:rFonts w:ascii="Georgia" w:cs="Georgia" w:eastAsia="Georgia" w:hAnsi="Georgia"/>
          <w:b/>
          <w:bCs/>
          <w:sz w:val="22"/>
          <w:szCs w:val="22"/>
        </w:rPr>
        <w:t xml:space="preserve">My view.</w:t>
      </w:r>
      <w:r>
        <w:rPr>
          <w:rFonts w:ascii="Georgia" w:cs="Georgia" w:eastAsia="Georgia" w:hAnsi="Georgia"/>
          <w:sz w:val="22"/>
          <w:szCs w:val="22"/>
        </w:rPr>
        <w:t xml:space="preserve"> Choice A, because each borrowed term arrives with a pedigree the book can use, and the notes cost less than the appearance of having coined freely.</w:t>
      </w:r>
    </w:p>
    <w:p>
      <w:pPr>
        <w:pBdr>
          <w:top w:val="single" w:color="C9A227" w:sz="6"/>
          <w:left w:val="single" w:color="C9A227" w:sz="6"/>
          <w:right w:val="single" w:color="C9A227" w:sz="6"/>
        </w:pBdr>
        <w:shd w:fill="FFF4D6" w:color="auto" w:val="clear"/>
        <w:spacing w:after="60" w:before="200"/>
      </w:pPr>
      <w:r>
        <w:rPr>
          <w:rFonts w:ascii="Georgia" w:cs="Georgia" w:eastAsia="Georgia" w:hAnsi="Georgia"/>
          <w:b/>
          <w:bCs/>
          <w:color w:val="8A6D00"/>
          <w:sz w:val="23"/>
          <w:szCs w:val="23"/>
        </w:rPr>
        <w:t xml:space="preserve">YOUR RULING:  </w:t>
      </w:r>
    </w:p>
    <w:p>
      <w:pPr>
        <w:pBdr>
          <w:left w:val="single" w:color="C9A227" w:sz="6"/>
          <w:right w:val="single" w:color="C9A227" w:sz="6"/>
        </w:pBdr>
        <w:shd w:fill="FFF4D6" w:color="auto" w:val="clear"/>
        <w:spacing w:after="40"/>
      </w:pPr>
      <w:r>
        <w:rPr>
          <w:sz w:val="22"/>
          <w:szCs w:val="22"/>
        </w:rPr>
        <w:t xml:space="preserve"> </w:t>
      </w:r>
    </w:p>
    <w:p>
      <w:pPr>
        <w:pBdr>
          <w:left w:val="single" w:color="C9A227" w:sz="6"/>
          <w:right w:val="single" w:color="C9A227" w:sz="6"/>
        </w:pBdr>
        <w:shd w:fill="FFF4D6" w:color="auto" w:val="clear"/>
        <w:spacing w:after="40"/>
      </w:pPr>
      <w:r>
        <w:rPr>
          <w:sz w:val="22"/>
          <w:szCs w:val="22"/>
        </w:rPr>
        <w:t xml:space="preserve"> </w:t>
      </w:r>
    </w:p>
    <w:p>
      <w:pPr>
        <w:pBdr>
          <w:bottom w:val="single" w:color="C9A227" w:sz="6"/>
          <w:left w:val="single" w:color="C9A227" w:sz="6"/>
          <w:right w:val="single" w:color="C9A227" w:sz="6"/>
        </w:pBdr>
        <w:shd w:fill="FFF4D6" w:color="auto" w:val="clear"/>
        <w:spacing w:after="60"/>
      </w:pPr>
      <w:r>
        <w:rPr>
          <w:sz w:val="22"/>
          <w:szCs w:val="22"/>
        </w:rPr>
        <w:t xml:space="preserve"> </w:t>
      </w:r>
    </w:p>
    <w:p>
      <w:pPr>
        <w:pStyle w:val="Heading1"/>
        <w:pageBreakBefore/>
        <w:spacing w:after="200" w:before="0"/>
      </w:pPr>
      <w:r>
        <w:rPr>
          <w:rFonts w:ascii="Georgia" w:cs="Georgia" w:eastAsia="Georgia" w:hAnsi="Georgia"/>
          <w:b/>
          <w:bCs/>
          <w:color w:val="1F3864"/>
          <w:sz w:val="32"/>
          <w:szCs w:val="32"/>
        </w:rPr>
        <w:t xml:space="preserve">Part Six — The new medieval scenes</w:t>
      </w:r>
    </w:p>
    <w:p>
      <w:pPr>
        <w:pStyle w:val="Heading2"/>
        <w:spacing w:after="120" w:before="260"/>
      </w:pPr>
      <w:r>
        <w:rPr>
          <w:rFonts w:ascii="Georgia" w:cs="Georgia" w:eastAsia="Georgia" w:hAnsi="Georgia"/>
          <w:b/>
          <w:bCs/>
          <w:color w:val="1F3864"/>
          <w:sz w:val="25"/>
          <w:szCs w:val="25"/>
        </w:rPr>
        <w:t xml:space="preserve">Decision 21 — The Alençon scene: what the crown took and what it left</w:t>
      </w:r>
    </w:p>
    <w:p>
      <w:pPr>
        <w:spacing w:after="140"/>
      </w:pPr>
      <w:r>
        <w:rPr>
          <w:rFonts w:ascii="Georgia" w:cs="Georgia" w:eastAsia="Georgia" w:hAnsi="Georgia"/>
          <w:i/>
          <w:iCs/>
          <w:color w:val="777777"/>
          <w:sz w:val="19"/>
          <w:szCs w:val="19"/>
        </w:rPr>
        <w:t xml:space="preserve">Covers rows: (gg)</w:t>
      </w:r>
    </w:p>
    <w:p>
      <w:pPr>
        <w:spacing w:after="150" w:line="290"/>
      </w:pPr>
      <w:r>
        <w:rPr>
          <w:rFonts w:ascii="Georgia" w:cs="Georgia" w:eastAsia="Georgia" w:hAnsi="Georgia"/>
          <w:b/>
          <w:bCs/>
          <w:sz w:val="22"/>
          <w:szCs w:val="22"/>
        </w:rPr>
        <w:t xml:space="preserve">The background.</w:t>
      </w:r>
      <w:r>
        <w:rPr>
          <w:rFonts w:ascii="Georgia" w:cs="Georgia" w:eastAsia="Georgia" w:hAnsi="Georgia"/>
          <w:sz w:val="22"/>
          <w:szCs w:val="22"/>
        </w:rPr>
        <w:t xml:space="preserve"> Your earlier ruling, filed as ruling (v), asked the book to itemise what an over-mighty subject loses and what he keeps when the crown breaks him. Chapter 11, section VII, is the place a medieval instance was flagged and left empty: the draft carries a gap marker, and the flag beside it paraphrases what the scene must show, "the crown retaining the artillery and the named fortresses and preserving the family's other interests". The passage does not yet exist.</w:t>
      </w:r>
    </w:p>
    <w:p>
      <w:pPr>
        <w:spacing w:after="150" w:line="290"/>
      </w:pPr>
      <w:r>
        <w:rPr>
          <w:rFonts w:ascii="Georgia" w:cs="Georgia" w:eastAsia="Georgia" w:hAnsi="Georgia"/>
          <w:sz w:val="22"/>
          <w:szCs w:val="22"/>
        </w:rPr>
        <w:t xml:space="preserve">The evidence is at T1 — the book's label for a primary source in a scholarly edition. Georges Chastellain, the Burgundian court chronicler, transcribes the sentence passed on the Duke of Alençon on 10 October 1458 in the chancellor's own words. Of the condemned peer's movable goods the king left everything to wife and children, "réservé au roy l'artillerie, harnois et autres habillemens de guerre" — reserved to the king the artillery, armour and other equipment of war (tome III, p. 486). The crown took Alençon, Domfront and Verneuil into the royal domain, and left Perche to one son "sans toutevoies aucune dignité ou prérogative de parrie" — without, however, any dignity or prerogative of the peerage (p. 487). The line the sentence draws is between appanage and patrimony: an appanage is land granted by the crown to a royal prince, and reverts to the crown; patrimony is the family's own inherited property. The crown resumed the whole appanage and left the family what was its own — with a single exception. The guns were the duke's own movable property, and were taken anyway.</w:t>
      </w:r>
    </w:p>
    <w:p>
      <w:pPr>
        <w:spacing w:after="150" w:line="290"/>
      </w:pPr>
      <w:r>
        <w:rPr>
          <w:rFonts w:ascii="Georgia" w:cs="Georgia" w:eastAsia="Georgia" w:hAnsi="Georgia"/>
          <w:sz w:val="22"/>
          <w:szCs w:val="22"/>
        </w:rPr>
        <w:t xml:space="preserve">Two cautions attach. The instrument is judicial, not military; the moderation of the sentence was obtained at the Duke of Brittany's petition; and execution was merely deferred, "jusques à son bon plaisir" — until the king's good pleasure (p. 484). A sentence that a successor may set aside is weaker than a list of transfers suggests. The sentence is also silent on the operational knowledge that went with the train — the gunners and their craft — and saying so costs nothing.</w:t>
      </w:r>
    </w:p>
    <w:p>
      <w:pPr>
        <w:spacing w:after="150" w:line="290"/>
      </w:pPr>
      <w:r>
        <w:rPr>
          <w:rFonts w:ascii="Georgia" w:cs="Georgia" w:eastAsia="Georgia" w:hAnsi="Georgia"/>
          <w:b/>
          <w:bCs/>
          <w:sz w:val="22"/>
          <w:szCs w:val="22"/>
        </w:rPr>
        <w:t xml:space="preserve">Why it matters.</w:t>
      </w:r>
      <w:r>
        <w:rPr>
          <w:rFonts w:ascii="Georgia" w:cs="Georgia" w:eastAsia="Georgia" w:hAnsi="Georgia"/>
          <w:sz w:val="22"/>
          <w:szCs w:val="22"/>
        </w:rPr>
        <w:t xml:space="preserve"> This is a placement of evidence rather than a change of argument, but it gives section VII its strongest sentence: of everything a condemned peer owned, the one thing the crown would not leave in private hands was his artillery. It is the mechanism stated in the crown's own voice. The risk is in overstatement. A reviewer who knows the reign will point out that the sentence was reversible, and if the chapter has not said so first the scene reads as more than it is.</w:t>
      </w:r>
    </w:p>
    <w:p>
      <w:pPr>
        <w:spacing w:after="150" w:line="290"/>
      </w:pPr>
      <w:r>
        <w:rPr>
          <w:rFonts w:ascii="Georgia" w:cs="Georgia" w:eastAsia="Georgia" w:hAnsi="Georgia"/>
          <w:b/>
          <w:bCs/>
          <w:sz w:val="22"/>
          <w:szCs w:val="22"/>
        </w:rPr>
        <w:t xml:space="preserve">Your choices.</w:t>
      </w:r>
      <w:r>
        <w:rPr>
          <w:rFonts w:ascii="Georgia" w:cs="Georgia" w:eastAsia="Georgia" w:hAnsi="Georgia"/>
          <w:sz w:val="22"/>
          <w:szCs w:val="22"/>
        </w:rPr>
        <w:t xml:space="preserve"> Choice A is to write the scene with the appanage-versus-patrimony precision, keep the Old French "réservé au roy l'artillerie" in the text with a translation beside it, and state the reversibility caveat in the same paragraph. The chapter gains a T1 anchor for the ruling it already made, and the caveat becomes a disanalogy the book carries proudly — a consolidation a succession could undo — rather than one produced against it. The cost is a paragraph, and a small loss of the clean list the flag imagined.</w:t>
      </w:r>
    </w:p>
    <w:p>
      <w:pPr>
        <w:spacing w:after="150" w:line="290"/>
      </w:pPr>
      <w:r>
        <w:rPr>
          <w:rFonts w:ascii="Georgia" w:cs="Georgia" w:eastAsia="Georgia" w:hAnsi="Georgia"/>
          <w:sz w:val="22"/>
          <w:szCs w:val="22"/>
        </w:rPr>
        <w:t xml:space="preserve">Choice B is the same scene with the caveat in an endnote and the Old French relegated to the note. This reads more smoothly and proves slightly less: the crown's own words are what make the sentence land, and a reviewer who finds the deferral in the note will ask why it was not in the text.</w:t>
      </w:r>
    </w:p>
    <w:p>
      <w:pPr>
        <w:spacing w:after="150" w:line="290"/>
      </w:pPr>
      <w:r>
        <w:rPr>
          <w:rFonts w:ascii="Georgia" w:cs="Georgia" w:eastAsia="Georgia" w:hAnsi="Georgia"/>
          <w:sz w:val="22"/>
          <w:szCs w:val="22"/>
        </w:rPr>
        <w:t xml:space="preserve">Choice C is to leave the gap. Section VII then has no medieval instance of ruling (v), and the chapter's list of what the crown took rests on paraphrase.</w:t>
      </w:r>
    </w:p>
    <w:p>
      <w:pPr>
        <w:spacing w:after="150" w:line="290"/>
      </w:pPr>
      <w:r>
        <w:rPr>
          <w:rFonts w:ascii="Georgia" w:cs="Georgia" w:eastAsia="Georgia" w:hAnsi="Georgia"/>
          <w:b/>
          <w:bCs/>
          <w:sz w:val="22"/>
          <w:szCs w:val="22"/>
        </w:rPr>
        <w:t xml:space="preserve">My view.</w:t>
      </w:r>
      <w:r>
        <w:rPr>
          <w:rFonts w:ascii="Georgia" w:cs="Georgia" w:eastAsia="Georgia" w:hAnsi="Georgia"/>
          <w:sz w:val="22"/>
          <w:szCs w:val="22"/>
        </w:rPr>
        <w:t xml:space="preserve"> Choice A, because the scene is only as strong as its concession, and the crown's own words are the point of using it at all.</w:t>
      </w:r>
    </w:p>
    <w:p>
      <w:pPr>
        <w:pBdr>
          <w:top w:val="single" w:color="C9A227" w:sz="6"/>
          <w:left w:val="single" w:color="C9A227" w:sz="6"/>
          <w:right w:val="single" w:color="C9A227" w:sz="6"/>
        </w:pBdr>
        <w:shd w:fill="FFF4D6" w:color="auto" w:val="clear"/>
        <w:spacing w:after="60" w:before="200"/>
      </w:pPr>
      <w:r>
        <w:rPr>
          <w:rFonts w:ascii="Georgia" w:cs="Georgia" w:eastAsia="Georgia" w:hAnsi="Georgia"/>
          <w:b/>
          <w:bCs/>
          <w:color w:val="8A6D00"/>
          <w:sz w:val="23"/>
          <w:szCs w:val="23"/>
        </w:rPr>
        <w:t xml:space="preserve">YOUR RULING:  </w:t>
      </w:r>
    </w:p>
    <w:p>
      <w:pPr>
        <w:pBdr>
          <w:left w:val="single" w:color="C9A227" w:sz="6"/>
          <w:right w:val="single" w:color="C9A227" w:sz="6"/>
        </w:pBdr>
        <w:shd w:fill="FFF4D6" w:color="auto" w:val="clear"/>
        <w:spacing w:after="40"/>
      </w:pPr>
      <w:r>
        <w:rPr>
          <w:sz w:val="22"/>
          <w:szCs w:val="22"/>
        </w:rPr>
        <w:t xml:space="preserve"> </w:t>
      </w:r>
    </w:p>
    <w:p>
      <w:pPr>
        <w:pBdr>
          <w:left w:val="single" w:color="C9A227" w:sz="6"/>
          <w:right w:val="single" w:color="C9A227" w:sz="6"/>
        </w:pBdr>
        <w:shd w:fill="FFF4D6" w:color="auto" w:val="clear"/>
        <w:spacing w:after="40"/>
      </w:pPr>
      <w:r>
        <w:rPr>
          <w:sz w:val="22"/>
          <w:szCs w:val="22"/>
        </w:rPr>
        <w:t xml:space="preserve"> </w:t>
      </w:r>
    </w:p>
    <w:p>
      <w:pPr>
        <w:pBdr>
          <w:bottom w:val="single" w:color="C9A227" w:sz="6"/>
          <w:left w:val="single" w:color="C9A227" w:sz="6"/>
          <w:right w:val="single" w:color="C9A227" w:sz="6"/>
        </w:pBdr>
        <w:shd w:fill="FFF4D6" w:color="auto" w:val="clear"/>
        <w:spacing w:after="60"/>
      </w:pPr>
      <w:r>
        <w:rPr>
          <w:sz w:val="22"/>
          <w:szCs w:val="22"/>
        </w:rPr>
        <w:t xml:space="preserve"> </w:t>
      </w:r>
    </w:p>
    <w:p>
      <w:pPr>
        <w:pStyle w:val="Heading2"/>
        <w:spacing w:after="120" w:before="260"/>
      </w:pPr>
      <w:r>
        <w:rPr>
          <w:rFonts w:ascii="Georgia" w:cs="Georgia" w:eastAsia="Georgia" w:hAnsi="Georgia"/>
          <w:b/>
          <w:bCs/>
          <w:color w:val="1F3864"/>
          <w:sz w:val="25"/>
          <w:szCs w:val="25"/>
        </w:rPr>
        <w:t xml:space="preserve">Decision 22 — The Lombards of Bruges, and the book's three words: command, dependence, capture</w:t>
      </w:r>
    </w:p>
    <w:p>
      <w:pPr>
        <w:spacing w:after="140"/>
      </w:pPr>
      <w:r>
        <w:rPr>
          <w:rFonts w:ascii="Georgia" w:cs="Georgia" w:eastAsia="Georgia" w:hAnsi="Georgia"/>
          <w:i/>
          <w:iCs/>
          <w:color w:val="777777"/>
          <w:sz w:val="19"/>
          <w:szCs w:val="19"/>
        </w:rPr>
        <w:t xml:space="preserve">Covers rows: (uuu), (aaaa)</w:t>
      </w:r>
    </w:p>
    <w:p>
      <w:pPr>
        <w:spacing w:after="150" w:line="290"/>
      </w:pPr>
      <w:r>
        <w:rPr>
          <w:rFonts w:ascii="Georgia" w:cs="Georgia" w:eastAsia="Georgia" w:hAnsi="Georgia"/>
          <w:b/>
          <w:bCs/>
          <w:sz w:val="22"/>
          <w:szCs w:val="22"/>
        </w:rPr>
        <w:t xml:space="preserve">The background.</w:t>
      </w:r>
      <w:r>
        <w:rPr>
          <w:rFonts w:ascii="Georgia" w:cs="Georgia" w:eastAsia="Georgia" w:hAnsi="Georgia"/>
          <w:sz w:val="22"/>
          <w:szCs w:val="22"/>
        </w:rPr>
        <w:t xml:space="preserve"> On 14 September you ruled (decision 3, filed as row (x)) that the book should distinguish three ways a state can stand towards the people who supply what it cannot make for itself: command, where the state can simply order; dependence, where it needs the supplier and knows it; and capture, where the supplier has got inside the state's own decision-making. Chapter 10 section VIII is where that triad is to be defined, and at present the section carries only a placeholder marker for the ruling. The chapter's footer ledger, the short record at the end of every draft that counts the chapter's coined concepts, metaphors and aphorisms against the voice rules (at most one of each per chapter), currently reads "none coined".</w:t>
      </w:r>
    </w:p>
    <w:p>
      <w:pPr>
        <w:spacing w:after="150" w:line="290"/>
      </w:pPr>
      <w:r>
        <w:rPr>
          <w:rFonts w:ascii="Georgia" w:cs="Georgia" w:eastAsia="Georgia" w:hAnsi="Georgia"/>
          <w:sz w:val="22"/>
          <w:szCs w:val="22"/>
        </w:rPr>
        <w:t xml:space="preserve">Two things have since been found. The first is a scene. Georges Chastellain, the official chronicler of the Burgundian court, whose third volume is now in the repository in Kervyn de Lettenhove's edition, records at chapter LXI (tome III, pages 314 to 316) what happened at Bruges in 1457 when three Piedmontese banking tables fled by night with their depositors' money. The duke inventoried the houses, confiscated the deposits of burgesses who had lent at interest, fined them, and put every bank in his lands to composition. Then the sentence the book wants: the towns were long without any Lombards to lend, "là où le peuple toutevoies, selon la nature de luy ancienne, se peut mal passer de eux. Et par ainsi, le duc enfin estoit constraint de les y remettre par la nécessité publique" (page 316) — the people could ill do without them, and so the duke was in the end constrained to restore them by public necessity. This is a source of the highest grade the book uses, what the doctrine calls T1, a primary document in a scholarly edition. The assessment attaches two cautions. The punishment was for a failure and a flight, not for lending as such; and it was fiscal in form, the state profiting from the seizure before dependence forced the restoration. Wherever the scene goes, the extraction must travel with the dependence, or the passage flatters the state.</w:t>
      </w:r>
    </w:p>
    <w:p>
      <w:pPr>
        <w:spacing w:after="150" w:line="290"/>
      </w:pPr>
      <w:r>
        <w:rPr>
          <w:rFonts w:ascii="Georgia" w:cs="Georgia" w:eastAsia="Georgia" w:hAnsi="Georgia"/>
          <w:sz w:val="22"/>
          <w:szCs w:val="22"/>
        </w:rPr>
        <w:t xml:space="preserve">The second is a check on the words. Your voice rule of 1 August requires any coined concept to be tested against existing scholarship before the ledger claims it. Colin Crouch, the British political scientist whose 2000 Fabian pamphlet </w:t>
      </w:r>
      <w:r>
        <w:rPr>
          <w:rFonts w:ascii="Georgia" w:cs="Georgia" w:eastAsia="Georgia" w:hAnsi="Georgia"/>
          <w:i/>
          <w:iCs/>
          <w:sz w:val="22"/>
          <w:szCs w:val="22"/>
        </w:rPr>
        <w:t xml:space="preserve">Coping with Post-Democracy</w:t>
      </w:r>
      <w:r>
        <w:rPr>
          <w:rFonts w:ascii="Georgia" w:cs="Georgia" w:eastAsia="Georgia" w:hAnsi="Georgia"/>
          <w:sz w:val="22"/>
          <w:szCs w:val="22"/>
        </w:rPr>
        <w:t xml:space="preserve"> is in the corpus, has two of the three in substance: dependence, where the state "loses touch with the knowledge necessary to understand certain activities" and "is therefore forced to sub-contract further" (Crouch, PDF page 17), and capture, where the state's policy-making machinery "has itself become endogenous to the problem of the power of the corporate elite". Command he lacks entirely; his state's only weapon is "a bluff which the political world is afraid to call". Henry Farrell and Abraham Newman, the two American political scientists whose 2019 article introduced "weaponized interdependence", own the word "chokepoint", which chapter 10 uses without attribution. Tai Ming Cheung's study of the Chinese defence industry supplies capture in state-owned form: the state monopolies "have so far successfully limited meaningful implementation of these market-opening measures" (page 172). And Jan Glete, a Swedish historian of early-modern navies, raises a question the same section cannot dodge: the earliest state-owned navies were "created by naval-minded kings for protection selling and as instruments of dynastic ambition" (page 39), where no wall was ever broken, so artillery against walls is one form of the book's capital-intensity mechanism rather than its only form.</w:t>
      </w:r>
    </w:p>
    <w:p>
      <w:pPr>
        <w:spacing w:after="150" w:line="290"/>
      </w:pPr>
      <w:r>
        <w:rPr>
          <w:rFonts w:ascii="Georgia" w:cs="Georgia" w:eastAsia="Georgia" w:hAnsi="Georgia"/>
          <w:sz w:val="22"/>
          <w:szCs w:val="22"/>
        </w:rPr>
        <w:t xml:space="preserve">Row (uuu) also asks whether Carl Schmitt should stand beside Otto Brunner in chapter 8 section III. The assessment places Schmitt at footnote level in chapters 1 and 2 and out of chapter 10's text; adding him to chapter 8 buys a jurist's confirmation at the cost of a name whose provenance then has to be stated.</w:t>
      </w:r>
    </w:p>
    <w:p>
      <w:pPr>
        <w:spacing w:after="150" w:line="290"/>
      </w:pPr>
      <w:r>
        <w:rPr>
          <w:rFonts w:ascii="Georgia" w:cs="Georgia" w:eastAsia="Georgia" w:hAnsi="Georgia"/>
          <w:b/>
          <w:bCs/>
          <w:sz w:val="22"/>
          <w:szCs w:val="22"/>
        </w:rPr>
        <w:t xml:space="preserve">Why it matters.</w:t>
      </w:r>
      <w:r>
        <w:rPr>
          <w:rFonts w:ascii="Georgia" w:cs="Georgia" w:eastAsia="Georgia" w:hAnsi="Georgia"/>
          <w:sz w:val="22"/>
          <w:szCs w:val="22"/>
        </w:rPr>
        <w:t xml:space="preserve"> This is a medium-sized point with one large consequence. The triad is the vocabulary chapter 12 uses to say what kind of settlement it predicts for the platforms (command with dependence), so the words need a firm definition and a firm historical anchor. If the ledger claims the triad as a coinage and a reviewer who knows Crouch finds two of its three terms in a 2000 pamphlet, the failure is on the record in the book's own apparatus. If the naval question is left unanswered in the very section that defines the mechanism's vocabulary, the chapter's one coinage rests on a claim its own cited authority contradicts.</w:t>
      </w:r>
    </w:p>
    <w:p>
      <w:pPr>
        <w:spacing w:after="150" w:line="290"/>
      </w:pPr>
      <w:r>
        <w:rPr>
          <w:rFonts w:ascii="Georgia" w:cs="Georgia" w:eastAsia="Georgia" w:hAnsi="Georgia"/>
          <w:b/>
          <w:bCs/>
          <w:sz w:val="22"/>
          <w:szCs w:val="22"/>
        </w:rPr>
        <w:t xml:space="preserve">Your choices.</w:t>
      </w:r>
      <w:r>
        <w:rPr>
          <w:rFonts w:ascii="Georgia" w:cs="Georgia" w:eastAsia="Georgia" w:hAnsi="Georgia"/>
          <w:sz w:val="22"/>
          <w:szCs w:val="22"/>
        </w:rPr>
        <w:t xml:space="preserve"> Choice A puts the Lombards at chapter 10 section VIII as the T1 anchor for dependence, claims the triad as the chapter's one coinage with the pedigree paid, and answers the naval question in the same section. The ledger line says plainly that dependence and capture have Crouch's pedigree and command is yours; "chokepoint" is footnoted to Farrell and Newman; chapter 8 section VII carries one cross-referring clause with the Burgundy caution, that here was a prince who enforced without a permanent fisc and financed the enforcement from the seizure; and one sentence concedes that the navy is a second form of the capital-intensity mechanism. The cost is a fuller section and a ledger line that admits two-thirds of the triad is inherited. What it buys is a phrase the century itself supplies, "nécessité publique", two hundred years before the Stationers or the Arsenal, and a coinage claim no reviewer can undo.</w:t>
      </w:r>
    </w:p>
    <w:p>
      <w:pPr>
        <w:spacing w:after="150" w:line="290"/>
      </w:pPr>
      <w:r>
        <w:rPr>
          <w:rFonts w:ascii="Georgia" w:cs="Georgia" w:eastAsia="Georgia" w:hAnsi="Georgia"/>
          <w:sz w:val="22"/>
          <w:szCs w:val="22"/>
        </w:rPr>
        <w:t xml:space="preserve">Choice B puts the Lombards in chapter 8 instead, at section V or section VII, as a case of enforcement, and leaves chapter 10 to define the triad without a fifteenth-century anchor in the same place. Chapter 8 is about enforcement, and a duke who enforces and then retreats is a genuine instance for it. The cost is that the scene becomes one more example in a chapter that has several, and that the definition in chapter 10 loses its best witness. A reviewer would not fault it, but the argument would be weaker where it needs to be strongest.</w:t>
      </w:r>
    </w:p>
    <w:p>
      <w:pPr>
        <w:spacing w:after="150" w:line="290"/>
      </w:pPr>
      <w:r>
        <w:rPr>
          <w:rFonts w:ascii="Georgia" w:cs="Georgia" w:eastAsia="Georgia" w:hAnsi="Georgia"/>
          <w:sz w:val="22"/>
          <w:szCs w:val="22"/>
        </w:rPr>
        <w:t xml:space="preserve">Choice C declines the coinage claim: the three words are used as ordinary vocabulary, Crouch is cited for the two that are his, and the ledger keeps "none coined", conserving chapter 10's allowance for something else. This is the safest position on originality and the weakest on force; the book's predictive vocabulary would then belong, on paper, to someone else.</w:t>
      </w:r>
    </w:p>
    <w:p>
      <w:pPr>
        <w:spacing w:after="150" w:line="290"/>
      </w:pPr>
      <w:r>
        <w:rPr>
          <w:rFonts w:ascii="Georgia" w:cs="Georgia" w:eastAsia="Georgia" w:hAnsi="Georgia"/>
          <w:sz w:val="22"/>
          <w:szCs w:val="22"/>
        </w:rPr>
        <w:t xml:space="preserve">On Schmitt in chapter 8 section III, the sub-choice is simply to add him or omit him; adding him costs a provenance note, omitting him costs nothing.</w:t>
      </w:r>
    </w:p>
    <w:p>
      <w:pPr>
        <w:spacing w:after="150" w:line="290"/>
      </w:pPr>
      <w:r>
        <w:rPr>
          <w:rFonts w:ascii="Georgia" w:cs="Georgia" w:eastAsia="Georgia" w:hAnsi="Georgia"/>
          <w:b/>
          <w:bCs/>
          <w:sz w:val="22"/>
          <w:szCs w:val="22"/>
        </w:rPr>
        <w:t xml:space="preserve">My view.</w:t>
      </w:r>
      <w:r>
        <w:rPr>
          <w:rFonts w:ascii="Georgia" w:cs="Georgia" w:eastAsia="Georgia" w:hAnsi="Georgia"/>
          <w:sz w:val="22"/>
          <w:szCs w:val="22"/>
        </w:rPr>
        <w:t xml:space="preserve"> Choice A, and omit Schmitt from chapter 8: the honest ledger line is the whole point of the 1 August rule, and the phrase at page 316 is worth more where the words are defined than where they are merely illustrated. This is a view.</w:t>
      </w:r>
    </w:p>
    <w:p>
      <w:pPr>
        <w:pBdr>
          <w:top w:val="single" w:color="C9A227" w:sz="6"/>
          <w:left w:val="single" w:color="C9A227" w:sz="6"/>
          <w:right w:val="single" w:color="C9A227" w:sz="6"/>
        </w:pBdr>
        <w:shd w:fill="FFF4D6" w:color="auto" w:val="clear"/>
        <w:spacing w:after="60" w:before="200"/>
      </w:pPr>
      <w:r>
        <w:rPr>
          <w:rFonts w:ascii="Georgia" w:cs="Georgia" w:eastAsia="Georgia" w:hAnsi="Georgia"/>
          <w:b/>
          <w:bCs/>
          <w:color w:val="8A6D00"/>
          <w:sz w:val="23"/>
          <w:szCs w:val="23"/>
        </w:rPr>
        <w:t xml:space="preserve">YOUR RULING:  </w:t>
      </w:r>
    </w:p>
    <w:p>
      <w:pPr>
        <w:pBdr>
          <w:left w:val="single" w:color="C9A227" w:sz="6"/>
          <w:right w:val="single" w:color="C9A227" w:sz="6"/>
        </w:pBdr>
        <w:shd w:fill="FFF4D6" w:color="auto" w:val="clear"/>
        <w:spacing w:after="40"/>
      </w:pPr>
      <w:r>
        <w:rPr>
          <w:sz w:val="22"/>
          <w:szCs w:val="22"/>
        </w:rPr>
        <w:t xml:space="preserve"> </w:t>
      </w:r>
    </w:p>
    <w:p>
      <w:pPr>
        <w:pBdr>
          <w:left w:val="single" w:color="C9A227" w:sz="6"/>
          <w:right w:val="single" w:color="C9A227" w:sz="6"/>
        </w:pBdr>
        <w:shd w:fill="FFF4D6" w:color="auto" w:val="clear"/>
        <w:spacing w:after="40"/>
      </w:pPr>
      <w:r>
        <w:rPr>
          <w:sz w:val="22"/>
          <w:szCs w:val="22"/>
        </w:rPr>
        <w:t xml:space="preserve"> </w:t>
      </w:r>
    </w:p>
    <w:p>
      <w:pPr>
        <w:pBdr>
          <w:bottom w:val="single" w:color="C9A227" w:sz="6"/>
          <w:left w:val="single" w:color="C9A227" w:sz="6"/>
          <w:right w:val="single" w:color="C9A227" w:sz="6"/>
        </w:pBdr>
        <w:shd w:fill="FFF4D6" w:color="auto" w:val="clear"/>
        <w:spacing w:after="60"/>
      </w:pPr>
      <w:r>
        <w:rPr>
          <w:sz w:val="22"/>
          <w:szCs w:val="22"/>
        </w:rPr>
        <w:t xml:space="preserve"> </w:t>
      </w:r>
    </w:p>
    <w:p>
      <w:pPr>
        <w:pStyle w:val="Heading2"/>
        <w:spacing w:after="120" w:before="260"/>
      </w:pPr>
      <w:r>
        <w:rPr>
          <w:rFonts w:ascii="Georgia" w:cs="Georgia" w:eastAsia="Georgia" w:hAnsi="Georgia"/>
          <w:b/>
          <w:bCs/>
          <w:color w:val="1F3864"/>
          <w:sz w:val="25"/>
          <w:szCs w:val="25"/>
        </w:rPr>
        <w:t xml:space="preserve">Decision 23 — Smaller medieval placements</w:t>
      </w:r>
    </w:p>
    <w:p>
      <w:pPr>
        <w:spacing w:after="140"/>
      </w:pPr>
      <w:r>
        <w:rPr>
          <w:rFonts w:ascii="Georgia" w:cs="Georgia" w:eastAsia="Georgia" w:hAnsi="Georgia"/>
          <w:i/>
          <w:iCs/>
          <w:color w:val="777777"/>
          <w:sz w:val="19"/>
          <w:szCs w:val="19"/>
        </w:rPr>
        <w:t xml:space="preserve">Covers rows: (lll), (ppp), (kkk), (jjjj), (qqqq)</w:t>
      </w:r>
    </w:p>
    <w:p>
      <w:pPr>
        <w:spacing w:after="150" w:line="290"/>
      </w:pPr>
      <w:r>
        <w:rPr>
          <w:rFonts w:ascii="Georgia" w:cs="Georgia" w:eastAsia="Georgia" w:hAnsi="Georgia"/>
          <w:b/>
          <w:bCs/>
          <w:sz w:val="22"/>
          <w:szCs w:val="22"/>
        </w:rPr>
        <w:t xml:space="preserve">The background.</w:t>
      </w:r>
      <w:r>
        <w:rPr>
          <w:rFonts w:ascii="Georgia" w:cs="Georgia" w:eastAsia="Georgia" w:hAnsi="Georgia"/>
          <w:sz w:val="22"/>
          <w:szCs w:val="22"/>
        </w:rPr>
        <w:t xml:space="preserve"> Five rows, all placement, none touching the argument's direction. I take them in order, and I note first that the Lepore rows of 28 September refer to chapter 9 sections VIII and IX where the September 16 rows refer to sections VI and VII, so the chapter's sections have evidently been renumbered in the renovated text; the substance is unchanged and I use the numbering each row uses.</w:t>
      </w:r>
    </w:p>
    <w:p>
      <w:pPr>
        <w:spacing w:after="150" w:line="290"/>
      </w:pPr>
      <w:r>
        <w:rPr>
          <w:rFonts w:ascii="Georgia" w:cs="Georgia" w:eastAsia="Georgia" w:hAnsi="Georgia"/>
          <w:sz w:val="22"/>
          <w:szCs w:val="22"/>
        </w:rPr>
        <w:t xml:space="preserve">First, Charles VII's court. Chapter 5 sections VI and VII close the French recovery without showing that the recovering monarchy was itself managing great subjects at the same moment. Chastellain's third volume, the Burgundian court chronicle now in the repository at T1 (a primary source in a scholarly edition), supplies the scenes for 1454 to 1458: the crown at Lyon in 1456 "pour mettre en son obéissance tout le pays du Dauphiné" after the dauphin's flight, the governor yielding on the view that the country could not resist "à l'encontre de sa puissance" (pages 225 to 226); the duke of Alençon arrested in Paris in 1456 for treating with the English and sentenced on 10 October 1458; and Burgundy, exempt under the treaty of Arras from personal summons, summoned "comme doien des pairs" regardless (page 417), the king crying the arrière-ban even in the pledged Somme towns (page 423), while Chastellain read the sentence on the lesser peer as meant to "donner fréeur au duc de Bourgongne" (page 422). Three of the row's pins, pages 178, 200 and 216 to 217, are not carried in the assessment and cannot be verified from what I have. Row (jjjj) offers the same court as a converse case in chapter 9 section III, where the two English designs "failed in opposite ways"; it would be a French comparator in an English chapter, and it would tell the Alençon story a second time, thinly, before chapter 11 tells it properly.</w:t>
      </w:r>
    </w:p>
    <w:p>
      <w:pPr>
        <w:spacing w:after="150" w:line="290"/>
      </w:pPr>
      <w:r>
        <w:rPr>
          <w:rFonts w:ascii="Georgia" w:cs="Georgia" w:eastAsia="Georgia" w:hAnsi="Georgia"/>
          <w:sz w:val="22"/>
          <w:szCs w:val="22"/>
        </w:rPr>
        <w:t xml:space="preserve">Second, chapter 7. Four small items. James C. Scott, the American political scientist whose </w:t>
      </w:r>
      <w:r>
        <w:rPr>
          <w:rFonts w:ascii="Georgia" w:cs="Georgia" w:eastAsia="Georgia" w:hAnsi="Georgia"/>
          <w:i/>
          <w:iCs/>
          <w:sz w:val="22"/>
          <w:szCs w:val="22"/>
        </w:rPr>
        <w:t xml:space="preserve">Seeing Like a State</w:t>
      </w:r>
      <w:r>
        <w:rPr>
          <w:rFonts w:ascii="Georgia" w:cs="Georgia" w:eastAsia="Georgia" w:hAnsi="Georgia"/>
          <w:sz w:val="22"/>
          <w:szCs w:val="22"/>
        </w:rPr>
        <w:t xml:space="preserve"> supplied the book's word "legibility", records that the rising of 1381 "is attributed to an unprecedented decade of registrations and assessments of poll taxes" (page 68), which makes it a rising against registration itself and completes the chapter's pattern at its most interesting point. David Stasavage, an American political scientist whose </w:t>
      </w:r>
      <w:r>
        <w:rPr>
          <w:rFonts w:ascii="Georgia" w:cs="Georgia" w:eastAsia="Georgia" w:hAnsi="Georgia"/>
          <w:i/>
          <w:iCs/>
          <w:sz w:val="22"/>
          <w:szCs w:val="22"/>
        </w:rPr>
        <w:t xml:space="preserve">States of Credit</w:t>
      </w:r>
      <w:r>
        <w:rPr>
          <w:rFonts w:ascii="Georgia" w:cs="Georgia" w:eastAsia="Georgia" w:hAnsi="Georgia"/>
          <w:sz w:val="22"/>
          <w:szCs w:val="22"/>
        </w:rPr>
        <w:t xml:space="preserve"> is the standard quantitative account of early public debt, names who paid: "merchants tended to own debt whereas members of the craft guilds bore a significant part of the tax burden necessary to service this debt" (chapter 1). Chastellain gives Alençon's arrest of 1456 at pages 100 to 101 and the sentence at pages 478 to 488, so that the chapter's existing note that the Praguerie rebels including Alençon "retired to their lordships unpunished" in 1440 can be bracketed with 1458 in one clause. And Chastellain gives Ghent's submission of 1458 at pages 412 to 413, the city meeting its prince in black with the keys under the legend "Veni nobis, pacificus dominus; utere servitio nostro". Ghent is the most vivid image on offer and genuinely evidenced, but it is a submission scene, not a rising, and the section it would enter is about resistance to fiscal legibility.</w:t>
      </w:r>
    </w:p>
    <w:p>
      <w:pPr>
        <w:spacing w:after="150" w:line="290"/>
      </w:pPr>
      <w:r>
        <w:rPr>
          <w:rFonts w:ascii="Georgia" w:cs="Georgia" w:eastAsia="Georgia" w:hAnsi="Georgia"/>
          <w:sz w:val="22"/>
          <w:szCs w:val="22"/>
        </w:rPr>
        <w:t xml:space="preserve">Third, chapter 5's bridge. Section I carries a paragraph flagged [BRIDGE], the marker for the joints between the medieval and the modern material that the doctrine reserves for your own hand. Kervyn's note at tome III page 7 confirms that the preceding volume of Chastellain's chronicle is lost, consistent with the break at the close of tome II. Concretely, the Burgundian chronicler's pages for 1453, the year of Castillon, the fall of Bordeaux and the king's collapse, are not in the corpus, and nothing in it replaces them. The question is whether the bridge tells the reader so.</w:t>
      </w:r>
    </w:p>
    <w:p>
      <w:pPr>
        <w:spacing w:after="150" w:line="290"/>
      </w:pPr>
      <w:r>
        <w:rPr>
          <w:rFonts w:ascii="Georgia" w:cs="Georgia" w:eastAsia="Georgia" w:hAnsi="Georgia"/>
          <w:sz w:val="22"/>
          <w:szCs w:val="22"/>
        </w:rPr>
        <w:t xml:space="preserve">Fourth, chapter 9's three footnotes. Walter Bagehot, the Victorian editor of </w:t>
      </w:r>
      <w:r>
        <w:rPr>
          <w:rFonts w:ascii="Georgia" w:cs="Georgia" w:eastAsia="Georgia" w:hAnsi="Georgia"/>
          <w:i/>
          <w:iCs/>
          <w:sz w:val="22"/>
          <w:szCs w:val="22"/>
        </w:rPr>
        <w:t xml:space="preserve">The Economist</w:t>
      </w:r>
      <w:r>
        <w:rPr>
          <w:rFonts w:ascii="Georgia" w:cs="Georgia" w:eastAsia="Georgia" w:hAnsi="Georgia"/>
          <w:sz w:val="22"/>
          <w:szCs w:val="22"/>
        </w:rPr>
        <w:t xml:space="preserve"> whose </w:t>
      </w:r>
      <w:r>
        <w:rPr>
          <w:rFonts w:ascii="Georgia" w:cs="Georgia" w:eastAsia="Georgia" w:hAnsi="Georgia"/>
          <w:i/>
          <w:iCs/>
          <w:sz w:val="22"/>
          <w:szCs w:val="22"/>
        </w:rPr>
        <w:t xml:space="preserve">English Constitution</w:t>
      </w:r>
      <w:r>
        <w:rPr>
          <w:rFonts w:ascii="Georgia" w:cs="Georgia" w:eastAsia="Georgia" w:hAnsi="Georgia"/>
          <w:sz w:val="22"/>
          <w:szCs w:val="22"/>
        </w:rPr>
        <w:t xml:space="preserve"> (1867, second edition 1872) is in the corpus, gives George III as the prototype of the returning personal ruler, "a secret power which is always eager, which is generally obstinate, which is often wrong … which is irresponsible because it is inscrutable, which cannot be prevented because it cannot be seen" (PDF page 46), for section VI's OpenAI passage. Stephen Krasner, the American political scientist of </w:t>
      </w:r>
      <w:r>
        <w:rPr>
          <w:rFonts w:ascii="Georgia" w:cs="Georgia" w:eastAsia="Georgia" w:hAnsi="Georgia"/>
          <w:i/>
          <w:iCs/>
          <w:sz w:val="22"/>
          <w:szCs w:val="22"/>
        </w:rPr>
        <w:t xml:space="preserve">Sovereignty: Organized Hypocrisy</w:t>
      </w:r>
      <w:r>
        <w:rPr>
          <w:rFonts w:ascii="Georgia" w:cs="Georgia" w:eastAsia="Georgia" w:hAnsi="Georgia"/>
          <w:sz w:val="22"/>
          <w:szCs w:val="22"/>
        </w:rPr>
        <w:t xml:space="preserve">, separates authority from control (pages 4 and 10), for a footnote at section I. Cheung supplies the Chinese commissions as "a personalistic symbol of Xi's command" (page 67), the triumvirate of commissions (page 284), and deputies who "lack the political qualifications to take over in anything more than a short-term acting capacity" (pages 285 to 286), for section V's Xi paragraph.</w:t>
      </w:r>
    </w:p>
    <w:p>
      <w:pPr>
        <w:spacing w:after="150" w:line="290"/>
      </w:pPr>
      <w:r>
        <w:rPr>
          <w:rFonts w:ascii="Georgia" w:cs="Georgia" w:eastAsia="Georgia" w:hAnsi="Georgia"/>
          <w:sz w:val="22"/>
          <w:szCs w:val="22"/>
        </w:rPr>
        <w:t xml:space="preserve">Fifth, the Lepore placements. Jill Lepore, the Harvard historian whose </w:t>
      </w:r>
      <w:r>
        <w:rPr>
          <w:rFonts w:ascii="Georgia" w:cs="Georgia" w:eastAsia="Georgia" w:hAnsi="Georgia"/>
          <w:i/>
          <w:iCs/>
          <w:sz w:val="22"/>
          <w:szCs w:val="22"/>
        </w:rPr>
        <w:t xml:space="preserve">Rise and Fall of the Artificial State</w:t>
      </w:r>
      <w:r>
        <w:rPr>
          <w:rFonts w:ascii="Georgia" w:cs="Georgia" w:eastAsia="Georgia" w:hAnsi="Georgia"/>
          <w:sz w:val="22"/>
          <w:szCs w:val="22"/>
        </w:rPr>
        <w:t xml:space="preserve"> arrived on 28 September without a title or copyright page (so no imprint or year may be cited, and every page reference is provisional), offers chapter 9 three things. A footnote illustration: her summary of Douglas Adams's Zaphod Beeblebrox as "a mere figurehead, chosen not by voters but by the government to serve as a diversion from its criminality" (printed page 210 / PDF page 224), which must be credited as her reading of a novel and never as evidence about a real constitution. A correction to the DOGE sentence at section VIII: the department "drew its inspiration from RAGE—Retire All Government Employees—by the neo-monarchist Curtis Yarvin", and "His aim was to replace humans with bots" (printed page 112 / PDF page 126). And a correction to section IX's claim that "the frontier labs have begun writing their own regency instruments" and that the substitutes are institutionalising: "No promised world governance board was ever assembled … no constitutional convention was ever held", and Anthropic's constitution "was written chiefly by a philosopher working for Anthropic" (printed pages 105 to 106 / PDF pages 119 to 120). She is graded T3, serious trade synthesis, so the labs' own documents must carry the correction, with her as the pointer.</w:t>
      </w:r>
    </w:p>
    <w:p>
      <w:pPr>
        <w:spacing w:after="150" w:line="290"/>
      </w:pPr>
      <w:r>
        <w:rPr>
          <w:rFonts w:ascii="Georgia" w:cs="Georgia" w:eastAsia="Georgia" w:hAnsi="Georgia"/>
          <w:b/>
          <w:bCs/>
          <w:sz w:val="22"/>
          <w:szCs w:val="22"/>
        </w:rPr>
        <w:t xml:space="preserve">Why it matters.</w:t>
      </w:r>
      <w:r>
        <w:rPr>
          <w:rFonts w:ascii="Georgia" w:cs="Georgia" w:eastAsia="Georgia" w:hAnsi="Georgia"/>
          <w:sz w:val="22"/>
          <w:szCs w:val="22"/>
        </w:rPr>
        <w:t xml:space="preserve"> Individually these are small. Together they decide whether Part II shows consolidation as contested management or as accomplished fact, whether chapter 9's modern paragraphs rest on pinned claims or assertions, and whether the book is caught saying the labs' constitutional instruments are institutionalising when the most recent account by a serious historian says the promised institutions were never built. That last is the only item a hostile reviewer would actually use.</w:t>
      </w:r>
    </w:p>
    <w:p>
      <w:pPr>
        <w:spacing w:after="150" w:line="290"/>
      </w:pPr>
      <w:r>
        <w:rPr>
          <w:rFonts w:ascii="Georgia" w:cs="Georgia" w:eastAsia="Georgia" w:hAnsi="Georgia"/>
          <w:b/>
          <w:bCs/>
          <w:sz w:val="22"/>
          <w:szCs w:val="22"/>
        </w:rPr>
        <w:t xml:space="preserve">Your choices.</w:t>
      </w:r>
      <w:r>
        <w:rPr>
          <w:rFonts w:ascii="Georgia" w:cs="Georgia" w:eastAsia="Georgia" w:hAnsi="Georgia"/>
          <w:sz w:val="22"/>
          <w:szCs w:val="22"/>
        </w:rPr>
        <w:t xml:space="preserve"> On Charles VII's court, choice A is one paragraph in chapter 5, built only on the pins the assessment verifies (pages 225 to 226, 417, 422, 423), and nothing in chapter 9; the cost is a paragraph and the acceptance that a partisan Burgundian is the witness, the gain a chapter that shows the recovering crown managing its own over-mighty subjects in the century's own words. Choice B places it in chapter 9 section III as well or instead, which makes the two-designs sentence less schematic at the price of a French comparator where the reader does not expect one and a rehearsal of Alençon before chapter 11.</w:t>
      </w:r>
    </w:p>
    <w:p>
      <w:pPr>
        <w:spacing w:after="150" w:line="290"/>
      </w:pPr>
      <w:r>
        <w:rPr>
          <w:rFonts w:ascii="Georgia" w:cs="Georgia" w:eastAsia="Georgia" w:hAnsi="Georgia"/>
          <w:sz w:val="22"/>
          <w:szCs w:val="22"/>
        </w:rPr>
        <w:t xml:space="preserve">On chapter 7, choice A takes 1381, the debt–tax cleavage and the Alençon bracket, at footnote scale, and leaves Ghent out; choice B takes Ghent too, at section V, where it would be the chapter's most memorable image and would prove less than it appears to.</w:t>
      </w:r>
    </w:p>
    <w:p>
      <w:pPr>
        <w:spacing w:after="150" w:line="290"/>
      </w:pPr>
      <w:r>
        <w:rPr>
          <w:rFonts w:ascii="Georgia" w:cs="Georgia" w:eastAsia="Georgia" w:hAnsi="Georgia"/>
          <w:sz w:val="22"/>
          <w:szCs w:val="22"/>
        </w:rPr>
        <w:t xml:space="preserve">On the bridge, choice A names the lost chronicle in the prose, which shows at the first weight-bearing point that you know where the corpus has holes and risks preciousness at a joint meant to move the reader forward; choice B puts the fact in the endnote to the bridge, doing the evidentiary work without slowing the passage; choice C says nothing. The bridge is yours to write whichever you choose.</w:t>
      </w:r>
    </w:p>
    <w:p>
      <w:pPr>
        <w:spacing w:after="150" w:line="290"/>
      </w:pPr>
      <w:r>
        <w:rPr>
          <w:rFonts w:ascii="Georgia" w:cs="Georgia" w:eastAsia="Georgia" w:hAnsi="Georgia"/>
          <w:sz w:val="22"/>
          <w:szCs w:val="22"/>
        </w:rPr>
        <w:t xml:space="preserve">On the three chapter 9 footnotes, choice A takes all three; choice B takes none. There is no real cost to taking them, and the Cheung note turns the Xi paragraph from an assertion into a pinned claim.</w:t>
      </w:r>
    </w:p>
    <w:p>
      <w:pPr>
        <w:spacing w:after="150" w:line="290"/>
      </w:pPr>
      <w:r>
        <w:rPr>
          <w:rFonts w:ascii="Georgia" w:cs="Georgia" w:eastAsia="Georgia" w:hAnsi="Georgia"/>
          <w:sz w:val="22"/>
          <w:szCs w:val="22"/>
        </w:rPr>
        <w:t xml:space="preserve">On Lepore, choice A takes the Zaphod footnote credited to her reading of Adams, adds RAGE and the bots aim to the DOGE sentence, and rewrites the section IX sentence so that it rests on no instrument whose constitutional character was announced and not built, with the labs' documents cited and Lepore as the signpost. Choice B takes the two corrections and drops the Zaphod footnote, on the ground that a novel's joke does not belong in the apparatus of a chapter about incapacity. Choice C leaves section IX as it stands, which a reviewer holding Lepore would mark as overtaken.</w:t>
      </w:r>
    </w:p>
    <w:p>
      <w:pPr>
        <w:spacing w:after="150" w:line="290"/>
      </w:pPr>
      <w:r>
        <w:rPr>
          <w:rFonts w:ascii="Georgia" w:cs="Georgia" w:eastAsia="Georgia" w:hAnsi="Georgia"/>
          <w:b/>
          <w:bCs/>
          <w:sz w:val="22"/>
          <w:szCs w:val="22"/>
        </w:rPr>
        <w:t xml:space="preserve">My view.</w:t>
      </w:r>
      <w:r>
        <w:rPr>
          <w:rFonts w:ascii="Georgia" w:cs="Georgia" w:eastAsia="Georgia" w:hAnsi="Georgia"/>
          <w:sz w:val="22"/>
          <w:szCs w:val="22"/>
        </w:rPr>
        <w:t xml:space="preserve"> Take choice A in every case except the bridge, where I would put the lacuna in the note and leave the sentence to you; and on Lepore I would drop the Zaphod footnote as a matter of taste and keep both corrections. This is a view.</w:t>
      </w:r>
    </w:p>
    <w:p>
      <w:pPr>
        <w:pBdr>
          <w:top w:val="single" w:color="C9A227" w:sz="6"/>
          <w:left w:val="single" w:color="C9A227" w:sz="6"/>
          <w:right w:val="single" w:color="C9A227" w:sz="6"/>
        </w:pBdr>
        <w:shd w:fill="FFF4D6" w:color="auto" w:val="clear"/>
        <w:spacing w:after="60" w:before="200"/>
      </w:pPr>
      <w:r>
        <w:rPr>
          <w:rFonts w:ascii="Georgia" w:cs="Georgia" w:eastAsia="Georgia" w:hAnsi="Georgia"/>
          <w:b/>
          <w:bCs/>
          <w:color w:val="8A6D00"/>
          <w:sz w:val="23"/>
          <w:szCs w:val="23"/>
        </w:rPr>
        <w:t xml:space="preserve">YOUR RULING:  </w:t>
      </w:r>
    </w:p>
    <w:p>
      <w:pPr>
        <w:pBdr>
          <w:left w:val="single" w:color="C9A227" w:sz="6"/>
          <w:right w:val="single" w:color="C9A227" w:sz="6"/>
        </w:pBdr>
        <w:shd w:fill="FFF4D6" w:color="auto" w:val="clear"/>
        <w:spacing w:after="40"/>
      </w:pPr>
      <w:r>
        <w:rPr>
          <w:sz w:val="22"/>
          <w:szCs w:val="22"/>
        </w:rPr>
        <w:t xml:space="preserve"> </w:t>
      </w:r>
    </w:p>
    <w:p>
      <w:pPr>
        <w:pBdr>
          <w:left w:val="single" w:color="C9A227" w:sz="6"/>
          <w:right w:val="single" w:color="C9A227" w:sz="6"/>
        </w:pBdr>
        <w:shd w:fill="FFF4D6" w:color="auto" w:val="clear"/>
        <w:spacing w:after="40"/>
      </w:pPr>
      <w:r>
        <w:rPr>
          <w:sz w:val="22"/>
          <w:szCs w:val="22"/>
        </w:rPr>
        <w:t xml:space="preserve"> </w:t>
      </w:r>
    </w:p>
    <w:p>
      <w:pPr>
        <w:pBdr>
          <w:bottom w:val="single" w:color="C9A227" w:sz="6"/>
          <w:left w:val="single" w:color="C9A227" w:sz="6"/>
          <w:right w:val="single" w:color="C9A227" w:sz="6"/>
        </w:pBdr>
        <w:shd w:fill="FFF4D6" w:color="auto" w:val="clear"/>
        <w:spacing w:after="60"/>
      </w:pPr>
      <w:r>
        <w:rPr>
          <w:sz w:val="22"/>
          <w:szCs w:val="22"/>
        </w:rPr>
        <w:t xml:space="preserve"> </w:t>
      </w:r>
    </w:p>
    <w:p>
      <w:pPr>
        <w:pStyle w:val="Heading2"/>
        <w:spacing w:after="120" w:before="260"/>
      </w:pPr>
      <w:r>
        <w:rPr>
          <w:rFonts w:ascii="Georgia" w:cs="Georgia" w:eastAsia="Georgia" w:hAnsi="Georgia"/>
          <w:b/>
          <w:bCs/>
          <w:color w:val="1F3864"/>
          <w:sz w:val="25"/>
          <w:szCs w:val="25"/>
        </w:rPr>
        <w:t xml:space="preserve">Decision 24 — Fornovo and the housekeeping corrections</w:t>
      </w:r>
    </w:p>
    <w:p>
      <w:pPr>
        <w:spacing w:after="140"/>
      </w:pPr>
      <w:r>
        <w:rPr>
          <w:rFonts w:ascii="Georgia" w:cs="Georgia" w:eastAsia="Georgia" w:hAnsi="Georgia"/>
          <w:i/>
          <w:iCs/>
          <w:color w:val="777777"/>
          <w:sz w:val="19"/>
          <w:szCs w:val="19"/>
        </w:rPr>
        <w:t xml:space="preserve">Covers rows: (nnn), (zzz), (rrr)</w:t>
      </w:r>
    </w:p>
    <w:p>
      <w:pPr>
        <w:spacing w:after="150" w:line="290"/>
      </w:pPr>
      <w:r>
        <w:rPr>
          <w:rFonts w:ascii="Georgia" w:cs="Georgia" w:eastAsia="Georgia" w:hAnsi="Georgia"/>
          <w:b/>
          <w:bCs/>
          <w:sz w:val="22"/>
          <w:szCs w:val="22"/>
        </w:rPr>
        <w:t xml:space="preserve">The background.</w:t>
      </w:r>
      <w:r>
        <w:rPr>
          <w:rFonts w:ascii="Georgia" w:cs="Georgia" w:eastAsia="Georgia" w:hAnsi="Georgia"/>
          <w:sz w:val="22"/>
          <w:szCs w:val="22"/>
        </w:rPr>
        <w:t xml:space="preserve"> Three rows of maintenance. First, Fornovo. Philippe de Commynes, the diplomat and memoirist who rode with Charles VIII into Italy, is in the repository in Calmette's 1925 edition, tome III, a primary source in a scholarly edition (the doctrine's T1 grade). Of the battle of Fornovo in 1495, the first time the French train was fired in the open field, he writes: "Je ne croy point que l'artillerie des deux costéz tuast dix hommes et ne dura point le combat ung quart d'heure" — I do not believe the artillery of the two sides killed ten men, and the fight did not last a quarter of an hour. Calmette's note reports Mandrot's explanation that the storm had wetted the powder. The row pins this at pages 210 to 211; the assessment pins it at page 192 (PDF 198), pages 210 to 211 carrying instead the Apennine recrossing and the line that "ne se perdit une seulle pierre ne une livre de pouldre". The pin must be corrected before the quotation is set in chapter 6 section V or VI.</w:t>
      </w:r>
    </w:p>
    <w:p>
      <w:pPr>
        <w:spacing w:after="150" w:line="290"/>
      </w:pPr>
      <w:r>
        <w:rPr>
          <w:rFonts w:ascii="Georgia" w:cs="Georgia" w:eastAsia="Georgia" w:hAnsi="Georgia"/>
          <w:sz w:val="22"/>
          <w:szCs w:val="22"/>
        </w:rPr>
        <w:t xml:space="preserve">Second, chapter 10 section VI's list. Chastellain places the Burgundian artillery office inside a general financial reform of 1457, not 1458, when after Rolin's fall the new men "créèrent six souverains gouverneurs sur le fait des finances" (page 335), and supplies two better passages for offices without a permanent fisc: the Franche-Comté nobles of 1454, "si francs que leur prince ne peut tailler leurs subgès sinon de leur consentement" (page 13), and the 1458 mobilisation raised as "point d'argent, ni finance, mais service corporel", the towns bringing their own artillery (page 451). William McNeill, the American world historian whose </w:t>
      </w:r>
      <w:r>
        <w:rPr>
          <w:rFonts w:ascii="Georgia" w:cs="Georgia" w:eastAsia="Georgia" w:hAnsi="Georgia"/>
          <w:i/>
          <w:iCs/>
          <w:sz w:val="22"/>
          <w:szCs w:val="22"/>
        </w:rPr>
        <w:t xml:space="preserve">Pursuit of Power</w:t>
      </w:r>
      <w:r>
        <w:rPr>
          <w:rFonts w:ascii="Georgia" w:cs="Georgia" w:eastAsia="Georgia" w:hAnsi="Georgia"/>
          <w:sz w:val="22"/>
          <w:szCs w:val="22"/>
        </w:rPr>
        <w:t xml:space="preserve"> (1982) the manuscript has not yet cited, dates the Franco-Swiss contract to 1479, citing Contamine, where the draft has 1521. Glete gives the French standing companies a nominal 14,000 to 17,000 (page 32), so the draft's "24,000 by 1483" now has two authorities against it and no source for it. Glete also restores Venice's "large permanent and state-administered navy" (page 13), so "without the apparatus" should become "without the fiscal-administrative penetration". Thomas Ertman, the American sociologist of </w:t>
      </w:r>
      <w:r>
        <w:rPr>
          <w:rFonts w:ascii="Georgia" w:cs="Georgia" w:eastAsia="Georgia" w:hAnsi="Georgia"/>
          <w:i/>
          <w:iCs/>
          <w:sz w:val="22"/>
          <w:szCs w:val="22"/>
        </w:rPr>
        <w:t xml:space="preserve">Birth of the Leviathan</w:t>
      </w:r>
      <w:r>
        <w:rPr>
          <w:rFonts w:ascii="Georgia" w:cs="Georgia" w:eastAsia="Georgia" w:hAnsi="Georgia"/>
          <w:sz w:val="22"/>
          <w:szCs w:val="22"/>
        </w:rPr>
        <w:t xml:space="preserve">, offers Matthias Corvinus of Hungary as a fifth counter-case, 28,000 men and a non-proprietary bureaucracy dismantled by the Diet in 1490 (page 31). And the chronicler's name is "Chastellain" throughout Kervyn's edition, not "Chastelain" as section V spells it; the 1467 ballade section V cites is not in the volume held and stands unpinned.</w:t>
      </w:r>
    </w:p>
    <w:p>
      <w:pPr>
        <w:spacing w:after="150" w:line="290"/>
      </w:pPr>
      <w:r>
        <w:rPr>
          <w:rFonts w:ascii="Georgia" w:cs="Georgia" w:eastAsia="Georgia" w:hAnsi="Georgia"/>
          <w:sz w:val="22"/>
          <w:szCs w:val="22"/>
        </w:rPr>
        <w:t xml:space="preserve">Third, chapter 3. Section V's inversion sentence, that the supplier can now hold the state to ransom, has no historical precedent named. McNeill's Liège supplies one: because the principality was weak and neutral, "Their very weakness thus allowed the Liégeois to set their own prices. Even the mightiest rulers had to pay what was asked, or do without" (pages 113 to 114), a condition that held only "As long as no single political command structure could reach out to every corner of Latin Christendom". Section IV states the dependence between state and supplier in one direction only. Glete's account of the Spanish asiento, the contract system by which the crown bought its naval and military services, runs the other way: contractors developed "skills so specialised that the state often had no realistic alternative but to negotiate new contracts with little competition" (page 131), and a navy run on contract "decade after decade" weakened the state's own organisation "as a social power container for skills" (page 134). The timetable consequence of Liège, that the gunmakers held their price for two centuries after the barons were beaten, is taken up as a separate matter at Decision 27; here the question is only whether the precedent enters chapter 3.</w:t>
      </w:r>
    </w:p>
    <w:p>
      <w:pPr>
        <w:spacing w:after="150" w:line="290"/>
      </w:pPr>
      <w:r>
        <w:rPr>
          <w:rFonts w:ascii="Georgia" w:cs="Georgia" w:eastAsia="Georgia" w:hAnsi="Georgia"/>
          <w:b/>
          <w:bCs/>
          <w:sz w:val="22"/>
          <w:szCs w:val="22"/>
        </w:rPr>
        <w:t xml:space="preserve">Why it matters.</w:t>
      </w:r>
      <w:r>
        <w:rPr>
          <w:rFonts w:ascii="Georgia" w:cs="Georgia" w:eastAsia="Georgia" w:hAnsi="Georgia"/>
          <w:sz w:val="22"/>
          <w:szCs w:val="22"/>
        </w:rPr>
        <w:t xml:space="preserve"> Small, but of the kind a specialist counts. An unsupported troop figure, a wrong date for the Swiss contract and a misspelled chronicler are the errors a reviewer uses to discount everything else. The Fornovo line is different in kind: it is the strongest apparent counter-evidence to the book's artillery claim, and the book's architecture is untouched by it, because the chapter locates decisiveness at the walls and not on the field; quoted first and proudly, it is a disanalogy the book owns rather than one produced against it.</w:t>
      </w:r>
    </w:p>
    <w:p>
      <w:pPr>
        <w:spacing w:after="150" w:line="290"/>
      </w:pPr>
      <w:r>
        <w:rPr>
          <w:rFonts w:ascii="Georgia" w:cs="Georgia" w:eastAsia="Georgia" w:hAnsi="Georgia"/>
          <w:b/>
          <w:bCs/>
          <w:sz w:val="22"/>
          <w:szCs w:val="22"/>
        </w:rPr>
        <w:t xml:space="preserve">Your choices.</w:t>
      </w:r>
      <w:r>
        <w:rPr>
          <w:rFonts w:ascii="Georgia" w:cs="Georgia" w:eastAsia="Georgia" w:hAnsi="Georgia"/>
          <w:sz w:val="22"/>
          <w:szCs w:val="22"/>
        </w:rPr>
        <w:t xml:space="preserve"> Choice A takes all of it: the Fornovo line quoted at page 192 with the wet-powder note; the 1457 reform, the two new Burgundian passages, 1479, the 24,000 cut or re-sourced, Venice's navy conceded, Matthias added and the name corrected; Liège in chapter 3 section V as the named precedent and the asiento in section IV as the reverse dependence. The cost is one unsupported figure, one date and a few sentences; the gain is three T1 passages, a fifth counter-case, and two precise statements of dependence in place of one loose one. Choice B takes the corrections and the Fornovo line but holds the chapter 3 additions until Decision 27 settles how the Liège lag is scored, so that the precedent and the risk enter together. That costs nothing now and avoids stating the precedent without its qualification.</w:t>
      </w:r>
    </w:p>
    <w:p>
      <w:pPr>
        <w:spacing w:after="150" w:line="290"/>
      </w:pPr>
      <w:r>
        <w:rPr>
          <w:rFonts w:ascii="Georgia" w:cs="Georgia" w:eastAsia="Georgia" w:hAnsi="Georgia"/>
          <w:b/>
          <w:bCs/>
          <w:sz w:val="22"/>
          <w:szCs w:val="22"/>
        </w:rPr>
        <w:t xml:space="preserve">My view.</w:t>
      </w:r>
      <w:r>
        <w:rPr>
          <w:rFonts w:ascii="Georgia" w:cs="Georgia" w:eastAsia="Georgia" w:hAnsi="Georgia"/>
          <w:sz w:val="22"/>
          <w:szCs w:val="22"/>
        </w:rPr>
        <w:t xml:space="preserve"> Choice A; the chapter 3 precedent reads perfectly well with a clause pointing forward to the risk, and there is no reason to hold maintenance hostage to a scoring decision. This is a view.</w:t>
      </w:r>
    </w:p>
    <w:p>
      <w:pPr>
        <w:pBdr>
          <w:top w:val="single" w:color="C9A227" w:sz="6"/>
          <w:left w:val="single" w:color="C9A227" w:sz="6"/>
          <w:right w:val="single" w:color="C9A227" w:sz="6"/>
        </w:pBdr>
        <w:shd w:fill="FFF4D6" w:color="auto" w:val="clear"/>
        <w:spacing w:after="60" w:before="200"/>
      </w:pPr>
      <w:r>
        <w:rPr>
          <w:rFonts w:ascii="Georgia" w:cs="Georgia" w:eastAsia="Georgia" w:hAnsi="Georgia"/>
          <w:b/>
          <w:bCs/>
          <w:color w:val="8A6D00"/>
          <w:sz w:val="23"/>
          <w:szCs w:val="23"/>
        </w:rPr>
        <w:t xml:space="preserve">YOUR RULING:  </w:t>
      </w:r>
    </w:p>
    <w:p>
      <w:pPr>
        <w:pBdr>
          <w:left w:val="single" w:color="C9A227" w:sz="6"/>
          <w:right w:val="single" w:color="C9A227" w:sz="6"/>
        </w:pBdr>
        <w:shd w:fill="FFF4D6" w:color="auto" w:val="clear"/>
        <w:spacing w:after="40"/>
      </w:pPr>
      <w:r>
        <w:rPr>
          <w:sz w:val="22"/>
          <w:szCs w:val="22"/>
        </w:rPr>
        <w:t xml:space="preserve"> </w:t>
      </w:r>
    </w:p>
    <w:p>
      <w:pPr>
        <w:pBdr>
          <w:left w:val="single" w:color="C9A227" w:sz="6"/>
          <w:right w:val="single" w:color="C9A227" w:sz="6"/>
        </w:pBdr>
        <w:shd w:fill="FFF4D6" w:color="auto" w:val="clear"/>
        <w:spacing w:after="40"/>
      </w:pPr>
      <w:r>
        <w:rPr>
          <w:sz w:val="22"/>
          <w:szCs w:val="22"/>
        </w:rPr>
        <w:t xml:space="preserve"> </w:t>
      </w:r>
    </w:p>
    <w:p>
      <w:pPr>
        <w:pBdr>
          <w:bottom w:val="single" w:color="C9A227" w:sz="6"/>
          <w:left w:val="single" w:color="C9A227" w:sz="6"/>
          <w:right w:val="single" w:color="C9A227" w:sz="6"/>
        </w:pBdr>
        <w:shd w:fill="FFF4D6" w:color="auto" w:val="clear"/>
        <w:spacing w:after="60"/>
      </w:pPr>
      <w:r>
        <w:rPr>
          <w:sz w:val="22"/>
          <w:szCs w:val="22"/>
        </w:rPr>
        <w:t xml:space="preserve"> </w:t>
      </w:r>
    </w:p>
    <w:p>
      <w:pPr>
        <w:pStyle w:val="Heading1"/>
        <w:pageBreakBefore/>
        <w:spacing w:after="200" w:before="0"/>
      </w:pPr>
      <w:r>
        <w:rPr>
          <w:rFonts w:ascii="Georgia" w:cs="Georgia" w:eastAsia="Georgia" w:hAnsi="Georgia"/>
          <w:b/>
          <w:bCs/>
          <w:color w:val="1F3864"/>
          <w:sz w:val="32"/>
          <w:szCs w:val="32"/>
        </w:rPr>
        <w:t xml:space="preserve">Part Seven — Chapter 9 and Bagehot</w:t>
      </w:r>
    </w:p>
    <w:p>
      <w:pPr>
        <w:pStyle w:val="Heading2"/>
        <w:spacing w:after="120" w:before="260"/>
      </w:pPr>
      <w:r>
        <w:rPr>
          <w:rFonts w:ascii="Georgia" w:cs="Georgia" w:eastAsia="Georgia" w:hAnsi="Georgia"/>
          <w:b/>
          <w:bCs/>
          <w:color w:val="1F3864"/>
          <w:sz w:val="25"/>
          <w:szCs w:val="25"/>
        </w:rPr>
        <w:t xml:space="preserve">Decision 25 — Chapter 9's subject, and the outline</w:t>
      </w:r>
    </w:p>
    <w:p>
      <w:pPr>
        <w:spacing w:after="140"/>
      </w:pPr>
      <w:r>
        <w:rPr>
          <w:rFonts w:ascii="Georgia" w:cs="Georgia" w:eastAsia="Georgia" w:hAnsi="Georgia"/>
          <w:i/>
          <w:iCs/>
          <w:color w:val="777777"/>
          <w:sz w:val="19"/>
          <w:szCs w:val="19"/>
        </w:rPr>
        <w:t xml:space="preserve">Covers rows: (kkkk)</w:t>
      </w:r>
    </w:p>
    <w:p>
      <w:pPr>
        <w:spacing w:after="150" w:line="290"/>
      </w:pPr>
      <w:r>
        <w:rPr>
          <w:rFonts w:ascii="Georgia" w:cs="Georgia" w:eastAsia="Georgia" w:hAnsi="Georgia"/>
          <w:b/>
          <w:bCs/>
          <w:sz w:val="22"/>
          <w:szCs w:val="22"/>
        </w:rPr>
        <w:t xml:space="preserve">The background.</w:t>
      </w:r>
      <w:r>
        <w:rPr>
          <w:rFonts w:ascii="Georgia" w:cs="Georgia" w:eastAsia="Georgia" w:hAnsi="Georgia"/>
          <w:sz w:val="22"/>
          <w:szCs w:val="22"/>
        </w:rPr>
        <w:t xml:space="preserve"> Two documents govern what chapter 9 is for, and they now say different things. The project's doctrine file makes outline.md the controlling document for the book's structure, and says that where doctrine and outline conflict the outline wins and the conflict must be flagged rather than resolved silently. The outline's chapter 9 structure, at items 6 and 7, tells the chapter to run from the personalisation of authority to the improvised substitutes that authority's failure produces, and then to indicators, the measurable signs that feed Appendix C. I have not had the outline itself in front of me; its wording is taken as the row states it.</w:t>
      </w:r>
    </w:p>
    <w:p>
      <w:pPr>
        <w:spacing w:after="150" w:line="290"/>
      </w:pPr>
      <w:r>
        <w:rPr>
          <w:rFonts w:ascii="Georgia" w:cs="Georgia" w:eastAsia="Georgia" w:hAnsi="Georgia"/>
          <w:sz w:val="22"/>
          <w:szCs w:val="22"/>
        </w:rPr>
        <w:t xml:space="preserve">Against that stands your own ruling of 14 September (decision 7, filed as row (bb)), that chapter 9 should take as its subject the difference between constitutional appearance and effective power, worked through the contrast between the English minority of 1422, an office temporarily filled by a council, and the incapacity of Henry VI after 1453, an office that could not be filled at all. The decision sheet recorded at the time that the outline conflict was to be flagged, not resolved. That ruling belongs with the larger one filed as spine §8(g) (the spine being the standing file of rulings that licence what the manuscript may say): that the barons' subordination is what the mechanism predicts, while the constitutional form of the state that subordinates them is an open question to be scored, with "ornamental democracy" one of the outcomes and Bagehot as the bridge between the medieval and modern halves.</w:t>
      </w:r>
    </w:p>
    <w:p>
      <w:pPr>
        <w:spacing w:after="150" w:line="290"/>
      </w:pPr>
      <w:r>
        <w:rPr>
          <w:rFonts w:ascii="Georgia" w:cs="Georgia" w:eastAsia="Georgia" w:hAnsi="Georgia"/>
          <w:sz w:val="22"/>
          <w:szCs w:val="22"/>
        </w:rPr>
        <w:t xml:space="preserve">What the chapter says now, in the sections the row cites. The pending-question section surveys the maturing substitutes for personal authority, the Digital Services Act's independent compliance function, the AI offices, Anthropic's Long-Term Benefit Trust, the SEC's treatment of chief-executive succession, and then the November 2023 OpenAI case, "the substitute existed, and acted, and could not hold — Charles VI's lucid interval in corporate form, the returning person re-personalising the constitution that had briefly operated without him"; then the sentence the row names, "Institutionalisation of the new political bodies is pending, not achieved; the two-bodies problem of the platform age is live, and Chapter 12 weighs it where it bears hardest"; and then the hand-off to chapter 10, "what forced that invention was not philosophy but pressure — the fiscal-military pressure of the gun and the payroll… The reader has already seen the machine at work; the next chapter opens its account books." The Lepore rows of 28 September number the close as section IX and add that it must now be written so that it rests on no instrument whose constitutional character was announced and not built.</w:t>
      </w:r>
    </w:p>
    <w:p>
      <w:pPr>
        <w:spacing w:after="150" w:line="290"/>
      </w:pPr>
      <w:r>
        <w:rPr>
          <w:rFonts w:ascii="Georgia" w:cs="Georgia" w:eastAsia="Georgia" w:hAnsi="Georgia"/>
          <w:sz w:val="22"/>
          <w:szCs w:val="22"/>
        </w:rPr>
        <w:t xml:space="preserve">Bagehot is what makes the ruled version possible. His distinction between the dignified parts of a constitution, "those which excite and preserve the reverence of the population", and the efficient parts, "those by which it, in fact, works and rules" (PDF page 21), is derived in his own conclusion from precisely the fifteenth-century case the chapter reconstructs: "The reverential associations upon which the government is built are transmitted according to one law, and the capacity needful to work the government is transmitted according to another law… But very soon that line comes to a child or an idiot, or one by some defect or other incapable" (PDF page 103). The bridge is his genealogy, not the book's invention. Crouch supplies a sentence the chapter may use to plant the modern question without spending chapter 12's coinage: "One cannot call this kind of politics non- or anti-democratic … At the same time it is difficult to dignify it as democracy itself" (Crouch, PDF page 8).</w:t>
      </w:r>
    </w:p>
    <w:p>
      <w:pPr>
        <w:spacing w:after="150" w:line="290"/>
      </w:pPr>
      <w:r>
        <w:rPr>
          <w:rFonts w:ascii="Georgia" w:cs="Georgia" w:eastAsia="Georgia" w:hAnsi="Georgia"/>
          <w:b/>
          <w:bCs/>
          <w:sz w:val="22"/>
          <w:szCs w:val="22"/>
        </w:rPr>
        <w:t xml:space="preserve">Why it matters.</w:t>
      </w:r>
      <w:r>
        <w:rPr>
          <w:rFonts w:ascii="Georgia" w:cs="Georgia" w:eastAsia="Georgia" w:hAnsi="Georgia"/>
          <w:sz w:val="22"/>
          <w:szCs w:val="22"/>
        </w:rPr>
        <w:t xml:space="preserve"> This is a large point, and it is a governance point before it is an argumentative one. The book's doctrine says the outline wins; a chapter rebuilt around a later ruling without the outline being amended is a silent override of the controlling document, which is the thing the doctrine forbids. Argumentatively, the ruled version gives chapter 9 a second, forward-pointing job, planting the question of what happens when the efficient part of a constitution migrates while the dignified part stays, so that chapter 12's constitutional close lands as the completion of something raised four chapters earlier from the medieval material rather than as a late arrival. Against that, the outline's version is load-bearing in its own right: the arc from personalisation to improvised substitutes is what earns the OpenAI case, and the indicators feed Appendix C, the book's list of dated, measurable predictions. And chapter 9 has one structural obligation it cannot fail whichever way you rule: it must open chapter 10, the fiscal chapter, and a close that turns toward Part III's constitutional question risks handing the reader to the wrong place.</w:t>
      </w:r>
    </w:p>
    <w:p>
      <w:pPr>
        <w:spacing w:after="150" w:line="290"/>
      </w:pPr>
      <w:r>
        <w:rPr>
          <w:rFonts w:ascii="Georgia" w:cs="Georgia" w:eastAsia="Georgia" w:hAnsi="Georgia"/>
          <w:b/>
          <w:bCs/>
          <w:sz w:val="22"/>
          <w:szCs w:val="22"/>
        </w:rPr>
        <w:t xml:space="preserve">Your choices.</w:t>
      </w:r>
      <w:r>
        <w:rPr>
          <w:rFonts w:ascii="Georgia" w:cs="Georgia" w:eastAsia="Georgia" w:hAnsi="Georgia"/>
          <w:sz w:val="22"/>
          <w:szCs w:val="22"/>
        </w:rPr>
        <w:t xml:space="preserve"> Choice A subordinates the outline's items 6 and 7 to the ruled close. Sections V and VI (or their renumbered equivalents) keep their material but are re-pointed, so that each improvised substitute is asked in the text whether it is a dignified part or an efficient one: the compliance function, the Long-Term Benefit Trust, the regency board that could not hold, each read against Bagehot's distinction; the close then plants Part III's question before turning to the account books. The cost is that the indicators material must compress or move to Appendix C, that the chapter carries a second forward-pointing beat where the voice rules ask for one close, and that you are overriding the controlling document, which must be recorded as an amendment to the outline rather than left as a standing conflict. What it buys is that chapter 9 becomes the chapter that makes the §8(g) split inevitable rather than optional; a reviewer reading the ending would find the question raised early and raised from the fifteenth century.</w:t>
      </w:r>
    </w:p>
    <w:p>
      <w:pPr>
        <w:spacing w:after="150" w:line="290"/>
      </w:pPr>
      <w:r>
        <w:rPr>
          <w:rFonts w:ascii="Georgia" w:cs="Georgia" w:eastAsia="Georgia" w:hAnsi="Georgia"/>
          <w:sz w:val="22"/>
          <w:szCs w:val="22"/>
        </w:rPr>
        <w:t xml:space="preserve">Choice B re-points rather than subordinates. The outline's structure stands, and the Bagehot engagement enters as a short passage before section IV (or at the close of section III, the placement Decision 26 weighs), so that the dignified-and-efficient question is planted in the chapter's analytical middle and sections V and VI proceed as the outline directs. The cost is a new passage and some rebalancing of the chapter's first half. What it buys is that nothing in the outline is overridden, the close keeps its clean hand-off to chapter 10, and the voice discipline of one forward-leaning close is preserved. A reviewer would find the bridge where it arguably belongs, since it is a claim about how the fifteenth-century split relates to the modern constitution, not a prediction.</w:t>
      </w:r>
    </w:p>
    <w:p>
      <w:pPr>
        <w:spacing w:after="150" w:line="290"/>
      </w:pPr>
      <w:r>
        <w:rPr>
          <w:rFonts w:ascii="Georgia" w:cs="Georgia" w:eastAsia="Georgia" w:hAnsi="Georgia"/>
          <w:sz w:val="22"/>
          <w:szCs w:val="22"/>
        </w:rPr>
        <w:t xml:space="preserve">Under either choice the section IX close must be rewritten to meet Lepore's correction (Decision 23), and the "ceremony" sentence in section V must be turned (Decision 26); neither depends on how this conflict is resolved.</w:t>
      </w:r>
    </w:p>
    <w:p>
      <w:pPr>
        <w:spacing w:after="150" w:line="290"/>
      </w:pPr>
      <w:r>
        <w:rPr>
          <w:rFonts w:ascii="Georgia" w:cs="Georgia" w:eastAsia="Georgia" w:hAnsi="Georgia"/>
          <w:b/>
          <w:bCs/>
          <w:sz w:val="22"/>
          <w:szCs w:val="22"/>
        </w:rPr>
        <w:t xml:space="preserve">My view.</w:t>
      </w:r>
      <w:r>
        <w:rPr>
          <w:rFonts w:ascii="Georgia" w:cs="Georgia" w:eastAsia="Georgia" w:hAnsi="Georgia"/>
          <w:sz w:val="22"/>
          <w:szCs w:val="22"/>
        </w:rPr>
        <w:t xml:space="preserve"> Choice B, because it does the ruled work without disturbing either the outline or the hand-off to chapter 10, and because a doctrine that says the outline wins is worth keeping intact where keeping it costs nothing. If you prefer choice A, amend the outline in the same commit so the conflict is closed rather than carried. This is a view.</w:t>
      </w:r>
    </w:p>
    <w:p>
      <w:pPr>
        <w:pBdr>
          <w:top w:val="single" w:color="C9A227" w:sz="6"/>
          <w:left w:val="single" w:color="C9A227" w:sz="6"/>
          <w:right w:val="single" w:color="C9A227" w:sz="6"/>
        </w:pBdr>
        <w:shd w:fill="FFF4D6" w:color="auto" w:val="clear"/>
        <w:spacing w:after="60" w:before="200"/>
      </w:pPr>
      <w:r>
        <w:rPr>
          <w:rFonts w:ascii="Georgia" w:cs="Georgia" w:eastAsia="Georgia" w:hAnsi="Georgia"/>
          <w:b/>
          <w:bCs/>
          <w:color w:val="8A6D00"/>
          <w:sz w:val="23"/>
          <w:szCs w:val="23"/>
        </w:rPr>
        <w:t xml:space="preserve">YOUR RULING:  </w:t>
      </w:r>
    </w:p>
    <w:p>
      <w:pPr>
        <w:pBdr>
          <w:left w:val="single" w:color="C9A227" w:sz="6"/>
          <w:right w:val="single" w:color="C9A227" w:sz="6"/>
        </w:pBdr>
        <w:shd w:fill="FFF4D6" w:color="auto" w:val="clear"/>
        <w:spacing w:after="40"/>
      </w:pPr>
      <w:r>
        <w:rPr>
          <w:sz w:val="22"/>
          <w:szCs w:val="22"/>
        </w:rPr>
        <w:t xml:space="preserve"> </w:t>
      </w:r>
    </w:p>
    <w:p>
      <w:pPr>
        <w:pBdr>
          <w:left w:val="single" w:color="C9A227" w:sz="6"/>
          <w:right w:val="single" w:color="C9A227" w:sz="6"/>
        </w:pBdr>
        <w:shd w:fill="FFF4D6" w:color="auto" w:val="clear"/>
        <w:spacing w:after="40"/>
      </w:pPr>
      <w:r>
        <w:rPr>
          <w:sz w:val="22"/>
          <w:szCs w:val="22"/>
        </w:rPr>
        <w:t xml:space="preserve"> </w:t>
      </w:r>
    </w:p>
    <w:p>
      <w:pPr>
        <w:pBdr>
          <w:bottom w:val="single" w:color="C9A227" w:sz="6"/>
          <w:left w:val="single" w:color="C9A227" w:sz="6"/>
          <w:right w:val="single" w:color="C9A227" w:sz="6"/>
        </w:pBdr>
        <w:shd w:fill="FFF4D6" w:color="auto" w:val="clear"/>
        <w:spacing w:after="60"/>
      </w:pPr>
      <w:r>
        <w:rPr>
          <w:sz w:val="22"/>
          <w:szCs w:val="22"/>
        </w:rPr>
        <w:t xml:space="preserve"> </w:t>
      </w:r>
    </w:p>
    <w:p>
      <w:pPr>
        <w:pStyle w:val="Heading2"/>
        <w:spacing w:after="120" w:before="260"/>
      </w:pPr>
      <w:r>
        <w:rPr>
          <w:rFonts w:ascii="Georgia" w:cs="Georgia" w:eastAsia="Georgia" w:hAnsi="Georgia"/>
          <w:b/>
          <w:bCs/>
          <w:color w:val="1F3864"/>
          <w:sz w:val="25"/>
          <w:szCs w:val="25"/>
        </w:rPr>
        <w:t xml:space="preserve">Decision 26 — Bagehot in chapter 9: where the bridge sits, and the "ceremony" sentence</w:t>
      </w:r>
    </w:p>
    <w:p>
      <w:pPr>
        <w:spacing w:after="140"/>
      </w:pPr>
      <w:r>
        <w:rPr>
          <w:rFonts w:ascii="Georgia" w:cs="Georgia" w:eastAsia="Georgia" w:hAnsi="Georgia"/>
          <w:i/>
          <w:iCs/>
          <w:color w:val="777777"/>
          <w:sz w:val="19"/>
          <w:szCs w:val="19"/>
        </w:rPr>
        <w:t xml:space="preserve">Covers rows: (hhhh), (gggg)</w:t>
      </w:r>
    </w:p>
    <w:p>
      <w:pPr>
        <w:spacing w:after="150" w:line="290"/>
      </w:pPr>
      <w:r>
        <w:rPr>
          <w:rFonts w:ascii="Georgia" w:cs="Georgia" w:eastAsia="Georgia" w:hAnsi="Georgia"/>
          <w:b/>
          <w:bCs/>
          <w:sz w:val="22"/>
          <w:szCs w:val="22"/>
        </w:rPr>
        <w:t xml:space="preserve">The background.</w:t>
      </w:r>
      <w:r>
        <w:rPr>
          <w:rFonts w:ascii="Georgia" w:cs="Georgia" w:eastAsia="Georgia" w:hAnsi="Georgia"/>
          <w:sz w:val="22"/>
          <w:szCs w:val="22"/>
        </w:rPr>
        <w:t xml:space="preserve"> Walter Bagehot's </w:t>
      </w:r>
      <w:r>
        <w:rPr>
          <w:rFonts w:ascii="Georgia" w:cs="Georgia" w:eastAsia="Georgia" w:hAnsi="Georgia"/>
          <w:i/>
          <w:iCs/>
          <w:sz w:val="22"/>
          <w:szCs w:val="22"/>
        </w:rPr>
        <w:t xml:space="preserve">English Constitution</w:t>
      </w:r>
      <w:r>
        <w:rPr>
          <w:rFonts w:ascii="Georgia" w:cs="Georgia" w:eastAsia="Georgia" w:hAnsi="Georgia"/>
          <w:sz w:val="22"/>
          <w:szCs w:val="22"/>
        </w:rPr>
        <w:t xml:space="preserve"> is now in the corpus, in the Project Gutenberg text, which carries no printed page numbers; references are to the PDF page of that text. He divides a constitution into its dignified parts, which "excite and preserve the reverence of the population", and its efficient parts, "those by which it, in fact, works and rules" (PDF page 21). Your ruling filed as spine §8(g), items 5 and 6, adopted that distinction as the bridge between the fifteenth-century separation of the king's two bodies and the modern question of where effective control sits, and ruled two conditions on its use: the dignified part must never be described as mere decoration, and the coinage "ornamental democracy" belongs to chapter 12, not chapter 9.</w:t>
      </w:r>
    </w:p>
    <w:p>
      <w:pPr>
        <w:spacing w:after="150" w:line="290"/>
      </w:pPr>
      <w:r>
        <w:rPr>
          <w:rFonts w:ascii="Georgia" w:cs="Georgia" w:eastAsia="Georgia" w:hAnsi="Georgia"/>
          <w:sz w:val="22"/>
          <w:szCs w:val="22"/>
        </w:rPr>
        <w:t xml:space="preserve">Row (hhhh) asks where the bridge sits. The passage is new. The genealogy is Bagehot's own and starts where the chapter starts: "The reverential associations upon which the government is built are transmitted according to one law, and the capacity needful to work the government is transmitted according to another law… But very soon that line comes to a child or an idiot, or one by some defect or other incapable" (PDF page 103). Three things must travel with it. His scope caveat, "I am not, of course, now speaking of the middle ages: I am not dealing with the embryo or the infant form of our Constitution" (PDF page 48), which answers the anachronism charge before it is made. The both-halves disanalogy: in the personal monarchy the two parts were one body (George III "was the Government"), 1422 to 1455 is the involuntary separation from which the designed one descends, and the lords' negative drafting of 1454 refused to make the split lawful. And his valuation, which the book must refuse: for Bagehot the separation is every constitution's condition and England's glory, "The apparent rulers of the English nation are like the most imposing personages of a splendid procession … The real rulers are secreted in second-rate carriages" (PDF page 101). The row offers two homes, the close of section III or a short section standing before section IV, and directs that the bridge plant the question with Crouch's "difficult to dignify it as democracy itself" (Crouch, PDF page 8) beside Bagehot, without naming the term.</w:t>
      </w:r>
    </w:p>
    <w:p>
      <w:pPr>
        <w:spacing w:after="150" w:line="290"/>
      </w:pPr>
      <w:r>
        <w:rPr>
          <w:rFonts w:ascii="Georgia" w:cs="Georgia" w:eastAsia="Georgia" w:hAnsi="Georgia"/>
          <w:sz w:val="22"/>
          <w:szCs w:val="22"/>
        </w:rPr>
        <w:t xml:space="preserve">Row (gggg) is a correction. Chapter 9 section V, at manuscript line 5575, reads "not in the residual monarchies, where the two bodies survive as ceremony". Bagehot's first page on the monarchy says the opposite: "The use of the Queen, in a dignified capacity, is incalculable. Without her in England, the present English Government would fail and pass away" (PDF page 30). His account of the dignified parts is functional, not ornamental: "The dignified parts of Government are those which bring it force—which attract its motive power. The efficient parts only employ that power" (PDF page 21); they "raise the army, though they do not win the battle". The assessment is blunt that the drafted sentence commits exactly the error your own ruling forbids.</w:t>
      </w:r>
    </w:p>
    <w:p>
      <w:pPr>
        <w:spacing w:after="150" w:line="290"/>
      </w:pPr>
      <w:r>
        <w:rPr>
          <w:rFonts w:ascii="Georgia" w:cs="Georgia" w:eastAsia="Georgia" w:hAnsi="Georgia"/>
          <w:b/>
          <w:bCs/>
          <w:sz w:val="22"/>
          <w:szCs w:val="22"/>
        </w:rPr>
        <w:t xml:space="preserve">Why it matters.</w:t>
      </w:r>
      <w:r>
        <w:rPr>
          <w:rFonts w:ascii="Georgia" w:cs="Georgia" w:eastAsia="Georgia" w:hAnsi="Georgia"/>
          <w:sz w:val="22"/>
          <w:szCs w:val="22"/>
        </w:rPr>
        <w:t xml:space="preserve"> A medium point on placement and a sharp one on the sentence. The placement decides whether the bridge reads as part of the incapacity argument or as a set piece announcing a concept whose home is three chapters away. The sentence is worse than an infelicity: it is the book contradicting, in its own voice, the authority it is about to borrow, on that authority's opening page, and it is the one thing a reviewer who knows Bagehot would quote back. It has to change whichever way anything else is ruled.</w:t>
      </w:r>
    </w:p>
    <w:p>
      <w:pPr>
        <w:spacing w:after="150" w:line="290"/>
      </w:pPr>
      <w:r>
        <w:rPr>
          <w:rFonts w:ascii="Georgia" w:cs="Georgia" w:eastAsia="Georgia" w:hAnsi="Georgia"/>
          <w:b/>
          <w:bCs/>
          <w:sz w:val="22"/>
          <w:szCs w:val="22"/>
        </w:rPr>
        <w:t xml:space="preserve">Your choices.</w:t>
      </w:r>
      <w:r>
        <w:rPr>
          <w:rFonts w:ascii="Georgia" w:cs="Georgia" w:eastAsia="Georgia" w:hAnsi="Georgia"/>
          <w:sz w:val="22"/>
          <w:szCs w:val="22"/>
        </w:rPr>
        <w:t xml:space="preserve"> On placement, choice A closes section III with the bridge, kept to one paragraph: the genealogy quoted, the caveat and the both-halves disanalogy stated, his valuation refused, Crouch's line planted, no new image of the book's own. It reads as the natural end of the incapacity argument and turns the chapter toward Part III without announcing itself. Choice B gives the bridge a short section of its own before section IV. It carries the same content with more weight, and the weight is the problem: a section invites the reader to expect the concept, and the concept is chapter 12's.</w:t>
      </w:r>
    </w:p>
    <w:p>
      <w:pPr>
        <w:spacing w:after="150" w:line="290"/>
      </w:pPr>
      <w:r>
        <w:rPr>
          <w:rFonts w:ascii="Georgia" w:cs="Georgia" w:eastAsia="Georgia" w:hAnsi="Georgia"/>
          <w:sz w:val="22"/>
          <w:szCs w:val="22"/>
        </w:rPr>
        <w:t xml:space="preserve">On the sentence, choice A makes the minimal repair, deleting "as ceremony" and saying that the dignified part in those monarchies still does the work of legitimation; it costs nothing and removes the exposure. Choice B turns the sentence: the residual monarchies are not the weak case but the demonstration, because they are where a separated dignified part is observably load-bearing, which is exactly what the modern prediction needs to be able to describe. The risk in choice B is that section V begins doing chapter 12's work, so it should stop short of naming the modern case.</w:t>
      </w:r>
    </w:p>
    <w:p>
      <w:pPr>
        <w:spacing w:after="150" w:line="290"/>
      </w:pPr>
      <w:r>
        <w:rPr>
          <w:rFonts w:ascii="Georgia" w:cs="Georgia" w:eastAsia="Georgia" w:hAnsi="Georgia"/>
          <w:b/>
          <w:bCs/>
          <w:sz w:val="22"/>
          <w:szCs w:val="22"/>
        </w:rPr>
        <w:t xml:space="preserve">My view.</w:t>
      </w:r>
      <w:r>
        <w:rPr>
          <w:rFonts w:ascii="Georgia" w:cs="Georgia" w:eastAsia="Georgia" w:hAnsi="Georgia"/>
          <w:sz w:val="22"/>
          <w:szCs w:val="22"/>
        </w:rPr>
        <w:t xml:space="preserve"> Close section III with the bridge in one paragraph, and turn the ceremony sentence rather than merely softening it, stopping before the modern case; the turned sentence is better material than the deleted one. This is a view.</w:t>
      </w:r>
    </w:p>
    <w:p>
      <w:pPr>
        <w:pBdr>
          <w:top w:val="single" w:color="C9A227" w:sz="6"/>
          <w:left w:val="single" w:color="C9A227" w:sz="6"/>
          <w:right w:val="single" w:color="C9A227" w:sz="6"/>
        </w:pBdr>
        <w:shd w:fill="FFF4D6" w:color="auto" w:val="clear"/>
        <w:spacing w:after="60" w:before="200"/>
      </w:pPr>
      <w:r>
        <w:rPr>
          <w:rFonts w:ascii="Georgia" w:cs="Georgia" w:eastAsia="Georgia" w:hAnsi="Georgia"/>
          <w:b/>
          <w:bCs/>
          <w:color w:val="8A6D00"/>
          <w:sz w:val="23"/>
          <w:szCs w:val="23"/>
        </w:rPr>
        <w:t xml:space="preserve">YOUR RULING:  </w:t>
      </w:r>
    </w:p>
    <w:p>
      <w:pPr>
        <w:pBdr>
          <w:left w:val="single" w:color="C9A227" w:sz="6"/>
          <w:right w:val="single" w:color="C9A227" w:sz="6"/>
        </w:pBdr>
        <w:shd w:fill="FFF4D6" w:color="auto" w:val="clear"/>
        <w:spacing w:after="40"/>
      </w:pPr>
      <w:r>
        <w:rPr>
          <w:sz w:val="22"/>
          <w:szCs w:val="22"/>
        </w:rPr>
        <w:t xml:space="preserve"> </w:t>
      </w:r>
    </w:p>
    <w:p>
      <w:pPr>
        <w:pBdr>
          <w:left w:val="single" w:color="C9A227" w:sz="6"/>
          <w:right w:val="single" w:color="C9A227" w:sz="6"/>
        </w:pBdr>
        <w:shd w:fill="FFF4D6" w:color="auto" w:val="clear"/>
        <w:spacing w:after="40"/>
      </w:pPr>
      <w:r>
        <w:rPr>
          <w:sz w:val="22"/>
          <w:szCs w:val="22"/>
        </w:rPr>
        <w:t xml:space="preserve"> </w:t>
      </w:r>
    </w:p>
    <w:p>
      <w:pPr>
        <w:pBdr>
          <w:bottom w:val="single" w:color="C9A227" w:sz="6"/>
          <w:left w:val="single" w:color="C9A227" w:sz="6"/>
          <w:right w:val="single" w:color="C9A227" w:sz="6"/>
        </w:pBdr>
        <w:shd w:fill="FFF4D6" w:color="auto" w:val="clear"/>
        <w:spacing w:after="60"/>
      </w:pPr>
      <w:r>
        <w:rPr>
          <w:sz w:val="22"/>
          <w:szCs w:val="22"/>
        </w:rPr>
        <w:t xml:space="preserve"> </w:t>
      </w:r>
    </w:p>
    <w:p>
      <w:pPr>
        <w:pStyle w:val="Heading1"/>
        <w:pageBreakBefore/>
        <w:spacing w:after="200" w:before="0"/>
      </w:pPr>
      <w:r>
        <w:rPr>
          <w:rFonts w:ascii="Georgia" w:cs="Georgia" w:eastAsia="Georgia" w:hAnsi="Georgia"/>
          <w:b/>
          <w:bCs/>
          <w:color w:val="1F3864"/>
          <w:sz w:val="32"/>
          <w:szCs w:val="32"/>
        </w:rPr>
        <w:t xml:space="preserve">Part Eight — The forecast and its scoring</w:t>
      </w:r>
    </w:p>
    <w:p>
      <w:pPr>
        <w:pStyle w:val="Heading2"/>
        <w:spacing w:after="120" w:before="260"/>
      </w:pPr>
      <w:r>
        <w:rPr>
          <w:rFonts w:ascii="Georgia" w:cs="Georgia" w:eastAsia="Georgia" w:hAnsi="Georgia"/>
          <w:b/>
          <w:bCs/>
          <w:color w:val="1F3864"/>
          <w:sz w:val="25"/>
          <w:szCs w:val="25"/>
        </w:rPr>
        <w:t xml:space="preserve">Decision 27 — Making the forecast harder to wriggle out of</w:t>
      </w:r>
    </w:p>
    <w:p>
      <w:pPr>
        <w:spacing w:after="140"/>
      </w:pPr>
      <w:r>
        <w:rPr>
          <w:rFonts w:ascii="Georgia" w:cs="Georgia" w:eastAsia="Georgia" w:hAnsi="Georgia"/>
          <w:i/>
          <w:iCs/>
          <w:color w:val="777777"/>
          <w:sz w:val="19"/>
          <w:szCs w:val="19"/>
        </w:rPr>
        <w:t xml:space="preserve">Covers rows: (jj), (oo), (ss), (uu), (ffff)</w:t>
      </w:r>
    </w:p>
    <w:p>
      <w:pPr>
        <w:spacing w:after="150" w:line="290"/>
      </w:pPr>
      <w:r>
        <w:rPr>
          <w:rFonts w:ascii="Georgia" w:cs="Georgia" w:eastAsia="Georgia" w:hAnsi="Georgia"/>
          <w:b/>
          <w:bCs/>
          <w:sz w:val="22"/>
          <w:szCs w:val="22"/>
        </w:rPr>
        <w:t xml:space="preserve">The background.</w:t>
      </w:r>
      <w:r>
        <w:rPr>
          <w:rFonts w:ascii="Georgia" w:cs="Georgia" w:eastAsia="Georgia" w:hAnsi="Georgia"/>
          <w:sz w:val="22"/>
          <w:szCs w:val="22"/>
        </w:rPr>
        <w:t xml:space="preserve"> Five rows, each of which tightens the book's predictions in a different place. The common thread is your ruling of 14 September (decision 8, row (cc)): the sentence "critics can only refine" is cut, the four blocs are scored separately, and a failed American prediction counts as a failure. Appendix C is the book's instrument for this, a list of ten to fifteen dated, measurable indicators, each with a baseline and a stated direction.</w:t>
      </w:r>
    </w:p>
    <w:p>
      <w:pPr>
        <w:spacing w:after="150" w:line="290"/>
      </w:pPr>
      <w:r>
        <w:rPr>
          <w:rFonts w:ascii="Georgia" w:cs="Georgia" w:eastAsia="Georgia" w:hAnsi="Georgia"/>
          <w:sz w:val="22"/>
          <w:szCs w:val="22"/>
        </w:rPr>
        <w:t xml:space="preserve">First, the Liège lag. McNeill records that the gunfounders of Liège, in a weak and neutral principality, could "set their own prices. Even the mightiest rulers had to pay what was asked, or do without" (page 113), and that this held "As long as no single political command structure could reach out to every corner of Latin Christendom … the sovereignty of the market over even the greatest ruler of the age remained an ultimate reality" (page 114). Philip II "knew how to tax and how to confiscate just as effectively as Chinese and Islamic officials did… But alas for the command principle!": his own cannon factories "always failed to flourish" (page 113). The timetable point is the sharpest internal objection the book has: the barons were subordinated first and the gunmakers held out for two centuries after, so if the mechanism runs true, the compute-foundry layer keeps its pricing power long after the private-force layer has been commissioned. Chapter 12's per-bloc verdicts do not state the lag; the Coda's limits paragraph (section V) is the other candidate home, and row (ffff) notes that the Coda and Appendix C are not equivalent, because a limit confessed is something the reader weighs and an indicator scored is something that can move.</w:t>
      </w:r>
    </w:p>
    <w:p>
      <w:pPr>
        <w:spacing w:after="150" w:line="290"/>
      </w:pPr>
      <w:r>
        <w:rPr>
          <w:rFonts w:ascii="Georgia" w:cs="Georgia" w:eastAsia="Georgia" w:hAnsi="Georgia"/>
          <w:sz w:val="22"/>
          <w:szCs w:val="22"/>
        </w:rPr>
        <w:t xml:space="preserve">Second, the AT&amp;T pattern. Chapter 12 section IV says "Twelve times between 1887 and 2002 … in no verified case did it confiscate", and summarises that the republic "takes the same thing into public keeping, and keeps it". Tim Wu, the American legal scholar of </w:t>
      </w:r>
      <w:r>
        <w:rPr>
          <w:rFonts w:ascii="Georgia" w:cs="Georgia" w:eastAsia="Georgia" w:hAnsi="Georgia"/>
          <w:i/>
          <w:iCs/>
          <w:sz w:val="22"/>
          <w:szCs w:val="22"/>
        </w:rPr>
        <w:t xml:space="preserve">The Master Switch</w:t>
      </w:r>
      <w:r>
        <w:rPr>
          <w:rFonts w:ascii="Georgia" w:cs="Georgia" w:eastAsia="Georgia" w:hAnsi="Georgia"/>
          <w:sz w:val="22"/>
          <w:szCs w:val="22"/>
        </w:rPr>
        <w:t xml:space="preserve">, records a case inside the date range that the series skips: the Kingsbury Commitment of 1913, whose "trick … was to make relatively painless concessions that preempted more severe actions", and whose "greatest achievement was to free Bell to consolidate the industry unmolested" (chapter 3). It included a structural act, since "Bell made one big concession: it agreed to sell Western Union", but its net effect was consolidation, the reverse of the pattern. Wu also records the sequel: after 1996 the Bell companies reconsolidated with federal approval and were rewarded with retroactive immunity for surveillance, so that the giants are "closer to possessing a master switch than Vail himself could have dreamed" (chapter 18). The row dates the reconstitution to 2008, and the primaries it names, the Mann-Elkins Act, the Kingsbury letter and the FISA Amendments Act of 2008, are not yet in the corpus.</w:t>
      </w:r>
    </w:p>
    <w:p>
      <w:pPr>
        <w:spacing w:after="150" w:line="290"/>
      </w:pPr>
      <w:r>
        <w:rPr>
          <w:rFonts w:ascii="Georgia" w:cs="Georgia" w:eastAsia="Georgia" w:hAnsi="Georgia"/>
          <w:sz w:val="22"/>
          <w:szCs w:val="22"/>
        </w:rPr>
        <w:t xml:space="preserve">Third, the European sentence. Chapter 12 section IV decides Europe's casting on one conditional: "either the assertion-to-enforcement lag closes … or the Union completes its century as the American bloc's canonical province". Four witnesses now bear on it. John Ruggie, the international-relations theorist whose 1993 article supplied the neomedieval literature's vocabulary, states the null: the Community "may constitute the first 'multiperspectival polity' to emerge since the advent of the modern era", but "There is no indication, however, that this reimagining will result in a federal state of Europe" (page 172). Schmitt gives the rehearsal: American co-determination of League policy meant that "In 1930, when this shadow fell on Europe, it was sufficient to transform all plans for a European Union into empty discourse" (page 258). Ertman excludes confederal entities by rule, as bodies "in which sovereignty rested with the constituent territories … rather than with the center" (page 5 note 13). And Glete offers a third reading the conditional cannot presently express: the Dutch route to a fiscal-military state ran "from below (induced by demand)" (page 149), and after 1652 the Republic kept two navies, "the battle fleet, paid for by taxes… and the cruiser fleet, paid for by customs duties and serving the interests of trade" (page 171), that is, consolidation by member demand with the strategic layer financed apart from the commercial one.</w:t>
      </w:r>
    </w:p>
    <w:p>
      <w:pPr>
        <w:spacing w:after="150" w:line="290"/>
      </w:pPr>
      <w:r>
        <w:rPr>
          <w:rFonts w:ascii="Georgia" w:cs="Georgia" w:eastAsia="Georgia" w:hAnsi="Georgia"/>
          <w:sz w:val="22"/>
          <w:szCs w:val="22"/>
        </w:rPr>
        <w:t xml:space="preserve">Fourth, the cut and the specimen. Chapter 12 section VI, lines 549 to 552, carries the "critics can only refine" formulation that ruling (cc) removes. The ruling also called for a specimen from Chastellain of prophecy done badly. The assessment corrects the attribution: the failed prediction of Charles VII's death in the winter of 1457 to 1458 was the astrologers' and the princes', not the chronicler's. "Couroit la voix par diverses terres que dedens terme préfix et par jugement d'astronomie il devoit mourir et ne passeroit point le mois de mars" (tome III, page 444); the dauphin and the duke of Burgundy "furent trompés tous deux, car vesqui le roy encore longs jours depuis en haut règne" (page 446). The better specimen is Chastellain's own forecasting. Of the comet of 1456 he writes that one judges from it "guerre, tribulation et mort de hauts princes, lesquelles choses, posé que elles ne soient approuvées, ne tenues à nécessaires, sont toutevoies apparues droit-cy assez depuis" (page 117), and he later cashes the forecast on whichever princes had died (page 387). The same writer who mocks a fixed term that failed keeps his own forecast alive by hedging its necessity and changing its referent. Three homes are on offer: the Introduction's wager, chapter 12 section VII beside the four-bloc frame, or the Coda section IV.</w:t>
      </w:r>
    </w:p>
    <w:p>
      <w:pPr>
        <w:spacing w:after="150" w:line="290"/>
      </w:pPr>
      <w:r>
        <w:rPr>
          <w:rFonts w:ascii="Georgia" w:cs="Georgia" w:eastAsia="Georgia" w:hAnsi="Georgia"/>
          <w:b/>
          <w:bCs/>
          <w:sz w:val="22"/>
          <w:szCs w:val="22"/>
        </w:rPr>
        <w:t xml:space="preserve">Why it matters.</w:t>
      </w:r>
      <w:r>
        <w:rPr>
          <w:rFonts w:ascii="Georgia" w:cs="Georgia" w:eastAsia="Georgia" w:hAnsi="Georgia"/>
          <w:sz w:val="22"/>
          <w:szCs w:val="22"/>
        </w:rPr>
        <w:t xml:space="preserve"> Large. The book's claim to be falsifiable is what separates it from the resemblance-mongering it positions against, and every one of these five is a place where a reviewer can say the prediction was written so that it could not lose. "And keeps it" is false on the AT&amp;T record within twenty-one years. A European conditional with two branches cannot score the outcome its own T2 authority describes. A lag confessed in the Coda but not scored is a limit the author can always invoke after the fact. And the Chastellain specimen cuts both ways: a chronicler who keeps his comet alive by hedging is the charge a reviewer will make against Appendix C the moment one indicator is re-dated, so the sentence citing him must say that the indicators are dated and directional and are not re-dated after the fact.</w:t>
      </w:r>
    </w:p>
    <w:p>
      <w:pPr>
        <w:spacing w:after="150" w:line="290"/>
      </w:pPr>
      <w:r>
        <w:rPr>
          <w:rFonts w:ascii="Georgia" w:cs="Georgia" w:eastAsia="Georgia" w:hAnsi="Georgia"/>
          <w:b/>
          <w:bCs/>
          <w:sz w:val="22"/>
          <w:szCs w:val="22"/>
        </w:rPr>
        <w:t xml:space="preserve">Your choices.</w:t>
      </w:r>
      <w:r>
        <w:rPr>
          <w:rFonts w:ascii="Georgia" w:cs="Georgia" w:eastAsia="Georgia" w:hAnsi="Georgia"/>
          <w:sz w:val="22"/>
          <w:szCs w:val="22"/>
        </w:rPr>
        <w:t xml:space="preserve"> Choice A tightens everything. The Liège lag is stated as a risk in chapter 12's per-bloc verdicts, named in one clause in the Coda's limits paragraph, and scored separately in Appendix C, so that contractor subordination and foundry pricing power become two indicators that may move in opposite directions; your own answer, that the bloc settlement is precisely the closure of the refuge Liège depended on, stands beside the risk and not instead of it. "Twelve times" is kept, with Kingsbury in the note as the acknowledged counter-directional case, and "and keeps it" is cut or qualified against the reconstitution, with a scoring rule for Appendix C that reconsolidation with the state as client registers as failure. Glete's from-below reading enters the European sentence as a named third branch, with Ruggie, Ertman and Schmitt in the endnote. The "critics can only refine" cut is made, and the prophecy specimen goes to the Introduction's wager with the corrected attribution, so that the discipline is declared before any prediction is made; the Coda does not carry it. The cost is several qualified sentences in the book's most rhetorically loaded chapter, one Appendix C indicator added, and the loss of "and keeps it", which is a good line. What it buys is a forecast a hostile reviewer cannot say was written to survive.</w:t>
      </w:r>
    </w:p>
    <w:p>
      <w:pPr>
        <w:spacing w:after="150" w:line="290"/>
      </w:pPr>
      <w:r>
        <w:rPr>
          <w:rFonts w:ascii="Georgia" w:cs="Georgia" w:eastAsia="Georgia" w:hAnsi="Georgia"/>
          <w:sz w:val="22"/>
          <w:szCs w:val="22"/>
        </w:rPr>
        <w:t xml:space="preserve">Choice B takes the corrections that are strictly factual, Kingsbury, the reconstitution and the cut, and carries the rest in the critiques files: the lag confessed in the Coda but not scored, the European sentence left binary with Glete in a note, the specimen placed at chapter 12 section VII where the predictions are. This costs less on the page and keeps the ending's momentum. It leaves the wager softer at exactly the points the book claims to be hard, and a reviewer with Glete and McNeill in hand would notice.</w:t>
      </w:r>
    </w:p>
    <w:p>
      <w:pPr>
        <w:spacing w:after="150" w:line="290"/>
      </w:pPr>
      <w:r>
        <w:rPr>
          <w:rFonts w:ascii="Georgia" w:cs="Georgia" w:eastAsia="Georgia" w:hAnsi="Georgia"/>
          <w:sz w:val="22"/>
          <w:szCs w:val="22"/>
        </w:rPr>
        <w:t xml:space="preserve">There is one place the rows pull against each other. Row (ffff) would let the Coda confess the lag; row (jj) would score it. Doing both in full risks the same concession twice in a book that ends quietly; the clause-in-the-Coda, score-in-the-Appendix split above is the compromise.</w:t>
      </w:r>
    </w:p>
    <w:p>
      <w:pPr>
        <w:spacing w:after="150" w:line="290"/>
      </w:pPr>
      <w:r>
        <w:rPr>
          <w:rFonts w:ascii="Georgia" w:cs="Georgia" w:eastAsia="Georgia" w:hAnsi="Georgia"/>
          <w:b/>
          <w:bCs/>
          <w:sz w:val="22"/>
          <w:szCs w:val="22"/>
        </w:rPr>
        <w:t xml:space="preserve">My view.</w:t>
      </w:r>
      <w:r>
        <w:rPr>
          <w:rFonts w:ascii="Georgia" w:cs="Georgia" w:eastAsia="Georgia" w:hAnsi="Georgia"/>
          <w:sz w:val="22"/>
          <w:szCs w:val="22"/>
        </w:rPr>
        <w:t xml:space="preserve"> Choice A, and of its parts the separate Appendix C score for the foundry is the one that matters most, because it is the only version of the concession that can be proved wrong. This is a view.</w:t>
      </w:r>
    </w:p>
    <w:p>
      <w:pPr>
        <w:pBdr>
          <w:top w:val="single" w:color="C9A227" w:sz="6"/>
          <w:left w:val="single" w:color="C9A227" w:sz="6"/>
          <w:right w:val="single" w:color="C9A227" w:sz="6"/>
        </w:pBdr>
        <w:shd w:fill="FFF4D6" w:color="auto" w:val="clear"/>
        <w:spacing w:after="60" w:before="200"/>
      </w:pPr>
      <w:r>
        <w:rPr>
          <w:rFonts w:ascii="Georgia" w:cs="Georgia" w:eastAsia="Georgia" w:hAnsi="Georgia"/>
          <w:b/>
          <w:bCs/>
          <w:color w:val="8A6D00"/>
          <w:sz w:val="23"/>
          <w:szCs w:val="23"/>
        </w:rPr>
        <w:t xml:space="preserve">YOUR RULING:  </w:t>
      </w:r>
    </w:p>
    <w:p>
      <w:pPr>
        <w:pBdr>
          <w:left w:val="single" w:color="C9A227" w:sz="6"/>
          <w:right w:val="single" w:color="C9A227" w:sz="6"/>
        </w:pBdr>
        <w:shd w:fill="FFF4D6" w:color="auto" w:val="clear"/>
        <w:spacing w:after="40"/>
      </w:pPr>
      <w:r>
        <w:rPr>
          <w:sz w:val="22"/>
          <w:szCs w:val="22"/>
        </w:rPr>
        <w:t xml:space="preserve"> </w:t>
      </w:r>
    </w:p>
    <w:p>
      <w:pPr>
        <w:pBdr>
          <w:left w:val="single" w:color="C9A227" w:sz="6"/>
          <w:right w:val="single" w:color="C9A227" w:sz="6"/>
        </w:pBdr>
        <w:shd w:fill="FFF4D6" w:color="auto" w:val="clear"/>
        <w:spacing w:after="40"/>
      </w:pPr>
      <w:r>
        <w:rPr>
          <w:sz w:val="22"/>
          <w:szCs w:val="22"/>
        </w:rPr>
        <w:t xml:space="preserve"> </w:t>
      </w:r>
    </w:p>
    <w:p>
      <w:pPr>
        <w:pBdr>
          <w:bottom w:val="single" w:color="C9A227" w:sz="6"/>
          <w:left w:val="single" w:color="C9A227" w:sz="6"/>
          <w:right w:val="single" w:color="C9A227" w:sz="6"/>
        </w:pBdr>
        <w:shd w:fill="FFF4D6" w:color="auto" w:val="clear"/>
        <w:spacing w:after="60"/>
      </w:pPr>
      <w:r>
        <w:rPr>
          <w:sz w:val="22"/>
          <w:szCs w:val="22"/>
        </w:rPr>
        <w:t xml:space="preserve"> </w:t>
      </w:r>
    </w:p>
    <w:p>
      <w:pPr>
        <w:pStyle w:val="Heading2"/>
        <w:spacing w:after="120" w:before="260"/>
      </w:pPr>
      <w:r>
        <w:rPr>
          <w:rFonts w:ascii="Georgia" w:cs="Georgia" w:eastAsia="Georgia" w:hAnsi="Georgia"/>
          <w:b/>
          <w:bCs/>
          <w:color w:val="1F3864"/>
          <w:sz w:val="25"/>
          <w:szCs w:val="25"/>
        </w:rPr>
        <w:t xml:space="preserve">Decision 28 — Appendix C: what Lepore adds to the democratic-control scoring</w:t>
      </w:r>
    </w:p>
    <w:p>
      <w:pPr>
        <w:spacing w:after="140"/>
      </w:pPr>
      <w:r>
        <w:rPr>
          <w:rFonts w:ascii="Georgia" w:cs="Georgia" w:eastAsia="Georgia" w:hAnsi="Georgia"/>
          <w:i/>
          <w:iCs/>
          <w:color w:val="777777"/>
          <w:sz w:val="19"/>
          <w:szCs w:val="19"/>
        </w:rPr>
        <w:t xml:space="preserve">Covers rows: (rrrr), (ssss)</w:t>
      </w:r>
    </w:p>
    <w:p>
      <w:pPr>
        <w:spacing w:after="150" w:line="290"/>
      </w:pPr>
      <w:r>
        <w:rPr>
          <w:rFonts w:ascii="Georgia" w:cs="Georgia" w:eastAsia="Georgia" w:hAnsi="Georgia"/>
          <w:b/>
          <w:bCs/>
          <w:sz w:val="22"/>
          <w:szCs w:val="22"/>
        </w:rPr>
        <w:t xml:space="preserve">The background.</w:t>
      </w:r>
      <w:r>
        <w:rPr>
          <w:rFonts w:ascii="Georgia" w:cs="Georgia" w:eastAsia="Georgia" w:hAnsi="Georgia"/>
          <w:sz w:val="22"/>
          <w:szCs w:val="22"/>
        </w:rPr>
        <w:t xml:space="preserve"> Appendix C carries a set of indicators, numbered DC-1 to DC-6, for the democratic-control sub-wager: the open question ruled at spine §8(g) whether the consolidated state remains under the effective control of its legitimating institutions or only under their appearance. Four falsifiers were defined, the things that, if observed operating on one of the state's strategic commitments, would count against the ornamental reading: elections (DC-1), legislation (DC-2), judicial enforcement (DC-3), and a public institution capable of replacing an essential supplier (DC-4).</w:t>
      </w:r>
    </w:p>
    <w:p>
      <w:pPr>
        <w:spacing w:after="150" w:line="290"/>
      </w:pPr>
      <w:r>
        <w:rPr>
          <w:rFonts w:ascii="Georgia" w:cs="Georgia" w:eastAsia="Georgia" w:hAnsi="Georgia"/>
          <w:sz w:val="22"/>
          <w:szCs w:val="22"/>
        </w:rPr>
        <w:t xml:space="preserve">Jill Lepore's </w:t>
      </w:r>
      <w:r>
        <w:rPr>
          <w:rFonts w:ascii="Georgia" w:cs="Georgia" w:eastAsia="Georgia" w:hAnsi="Georgia"/>
          <w:i/>
          <w:iCs/>
          <w:sz w:val="22"/>
          <w:szCs w:val="22"/>
        </w:rPr>
        <w:t xml:space="preserve">Rise and Fall of the Artificial State</w:t>
      </w:r>
      <w:r>
        <w:rPr>
          <w:rFonts w:ascii="Georgia" w:cs="Georgia" w:eastAsia="Georgia" w:hAnsi="Georgia"/>
          <w:sz w:val="22"/>
          <w:szCs w:val="22"/>
        </w:rPr>
        <w:t xml:space="preserve"> was retrieved to test them. The capture has no title or copyright page, so no imprint, place or year may be cited, every page reference is provisional, and she is graded T3, serious trade synthesis whose contemporary chapters rest on journalism and public statements rather than archival work; she may supply colour and reporting, never sole support for a structural claim. Her epilogue is the whole of her answer to what citizens can do, and it is four pages. Its mechanisms are the first three falsifiers named as rights: "everything destructive that they have done can be undone by voters, elections, legislation, and judicial enforcement" (printed page 226 / PDF page 242); "That rock is the right of the people to elect a government by consent and not by automation"; technologies "can be held to publicly defined standards, answerable to voters and not to corporations" (printed page 227 / PDF page 243). She gives no worked instance of any of the three operating on a stack commitment; the live resistance she documents is local and individual, "Grow tomatoes, not data centers" and "Unplug" (printed pages 227 to 228). Of the fourth falsifier there is nothing: searches of all 306 pages return no nationalisation, no state capacity, no procurement, no licensing, no public ownership of anything but nineteenth-century land. The row proposes recording that zero as a design note.</w:t>
      </w:r>
    </w:p>
    <w:p>
      <w:pPr>
        <w:spacing w:after="150" w:line="290"/>
      </w:pPr>
      <w:r>
        <w:rPr>
          <w:rFonts w:ascii="Georgia" w:cs="Georgia" w:eastAsia="Georgia" w:hAnsi="Georgia"/>
          <w:sz w:val="22"/>
          <w:szCs w:val="22"/>
        </w:rPr>
        <w:t xml:space="preserve">Her one institutional proposal is restorative and dated by its own loss. The Office of Technology Assessment, "formed in 1972", whose "mandate included assessing the implications of any new technology supported by the federal government" (printed page 70, head illegible / PDF page 81), is offered as an anti-baseline for DC-2, the point from which legislative capacity has since declined. The intake audit found that her text dates its closure only by Newt Gingrich's arrival as Speaker; the year 1995, which the assessment gave, is asserted nowhere at the pin, so the row marks it NEEDS PRIMARY FOR THE DATE and enters it as a candidate, not scored. Her assessment questions at printed page 227 (six, not seven, on the audit's count) would enter DC-2 as a coding rubric only.</w:t>
      </w:r>
    </w:p>
    <w:p>
      <w:pPr>
        <w:spacing w:after="150" w:line="290"/>
      </w:pPr>
      <w:r>
        <w:rPr>
          <w:rFonts w:ascii="Georgia" w:cs="Georgia" w:eastAsia="Georgia" w:hAnsi="Georgia"/>
          <w:sz w:val="22"/>
          <w:szCs w:val="22"/>
        </w:rPr>
        <w:t xml:space="preserve">Two dated figures she gives are proposed for exclusion. Her 2025 opinion series, "a mere 9 percent of Americans and only 11 percent of 'AI experts'" expecting a positive effect on elections and "61 percent of Americans wanted more control over AI" (printed page 227), measure consent, not control, and are baselines for a different series. Her 2026 survey, "80 percent of them reported gaining nothing from using AI" (printed page 223 / PDF page 239), names no survey in text; a probable carrier was found in the notes but the association is an inference in damaged OCR, so it stays unscored and marked NEEDS VERIFICATION.</w:t>
      </w:r>
    </w:p>
    <w:p>
      <w:pPr>
        <w:spacing w:after="150" w:line="290"/>
      </w:pPr>
      <w:r>
        <w:rPr>
          <w:rFonts w:ascii="Georgia" w:cs="Georgia" w:eastAsia="Georgia" w:hAnsi="Georgia"/>
          <w:b/>
          <w:bCs/>
          <w:sz w:val="22"/>
          <w:szCs w:val="22"/>
        </w:rPr>
        <w:t xml:space="preserve">Why it matters.</w:t>
      </w:r>
      <w:r>
        <w:rPr>
          <w:rFonts w:ascii="Georgia" w:cs="Georgia" w:eastAsia="Georgia" w:hAnsi="Georgia"/>
          <w:sz w:val="22"/>
          <w:szCs w:val="22"/>
        </w:rPr>
        <w:t xml:space="preserve"> Medium, and mostly a matter of keeping the appendix honest. The value of what she gives is negative and precise: the strongest recent statement of the optimistic case, by a serious historian who read the same 2025 to 2026 record, names the remedies as rights and shows none of them working, and proposes no public substitute for any supplier at all. That is the answer DC-4 needed, and it should be on the record before a reviewer says the falsifier was set where nobody would look. The risk in the other direction is small but real: if her opinion series or her unverified survey were scored, Appendix C would be carrying a T3 number as a baseline, which the doctrine forbids and a reviewer would find.</w:t>
      </w:r>
    </w:p>
    <w:p>
      <w:pPr>
        <w:spacing w:after="150" w:line="290"/>
      </w:pPr>
      <w:r>
        <w:rPr>
          <w:rFonts w:ascii="Georgia" w:cs="Georgia" w:eastAsia="Georgia" w:hAnsi="Georgia"/>
          <w:b/>
          <w:bCs/>
          <w:sz w:val="22"/>
          <w:szCs w:val="22"/>
        </w:rPr>
        <w:t xml:space="preserve">Your choices.</w:t>
      </w:r>
      <w:r>
        <w:rPr>
          <w:rFonts w:ascii="Georgia" w:cs="Georgia" w:eastAsia="Georgia" w:hAnsi="Georgia"/>
          <w:sz w:val="22"/>
          <w:szCs w:val="22"/>
        </w:rPr>
        <w:t xml:space="preserve"> Choice A records the DC-4 zero as a design note; adds one line to each of DC-1, DC-2 and DC-3 saying that the strongest recent statement of the optimistic case names the remedy as a right and produces no worked instance of it operating on a stack commitment; enters the Office of Technology Assessment in DC-2 as a candidate anti-baseline, unscored, with the abolition date to come from a primary and the six questions as a coding rubric; and leaves both surveys unscored. No indicator is added or re-coded. The cost is a few lines of apparatus and one retrieval errand. What it buys is that the appendix's own design shows it looked for the falsifiers where the optimists say they are.</w:t>
      </w:r>
    </w:p>
    <w:p>
      <w:pPr>
        <w:spacing w:after="150" w:line="290"/>
      </w:pPr>
      <w:r>
        <w:rPr>
          <w:rFonts w:ascii="Georgia" w:cs="Georgia" w:eastAsia="Georgia" w:hAnsi="Georgia"/>
          <w:sz w:val="22"/>
          <w:szCs w:val="22"/>
        </w:rPr>
        <w:t xml:space="preserve">Choice B takes only the DC-4 zero and the three design lines, and leaves the Office of Technology Assessment out until the primary arrives. This is cleaner and loses only a candidate; the candidate is worth having, because it is the one institutional instrument on her side of the argument, and a baseline recorded as pending is more honest than one omitted.</w:t>
      </w:r>
    </w:p>
    <w:p>
      <w:pPr>
        <w:spacing w:after="150" w:line="290"/>
      </w:pPr>
      <w:r>
        <w:rPr>
          <w:rFonts w:ascii="Georgia" w:cs="Georgia" w:eastAsia="Georgia" w:hAnsi="Georgia"/>
          <w:b/>
          <w:bCs/>
          <w:sz w:val="22"/>
          <w:szCs w:val="22"/>
        </w:rPr>
        <w:t xml:space="preserve">My view.</w:t>
      </w:r>
      <w:r>
        <w:rPr>
          <w:rFonts w:ascii="Georgia" w:cs="Georgia" w:eastAsia="Georgia" w:hAnsi="Georgia"/>
          <w:sz w:val="22"/>
          <w:szCs w:val="22"/>
        </w:rPr>
        <w:t xml:space="preserve"> Choice A, with the date retrieved before the row carries anything. This is a view.</w:t>
      </w:r>
    </w:p>
    <w:p>
      <w:pPr>
        <w:pBdr>
          <w:top w:val="single" w:color="C9A227" w:sz="6"/>
          <w:left w:val="single" w:color="C9A227" w:sz="6"/>
          <w:right w:val="single" w:color="C9A227" w:sz="6"/>
        </w:pBdr>
        <w:shd w:fill="FFF4D6" w:color="auto" w:val="clear"/>
        <w:spacing w:after="60" w:before="200"/>
      </w:pPr>
      <w:r>
        <w:rPr>
          <w:rFonts w:ascii="Georgia" w:cs="Georgia" w:eastAsia="Georgia" w:hAnsi="Georgia"/>
          <w:b/>
          <w:bCs/>
          <w:color w:val="8A6D00"/>
          <w:sz w:val="23"/>
          <w:szCs w:val="23"/>
        </w:rPr>
        <w:t xml:space="preserve">YOUR RULING:  </w:t>
      </w:r>
    </w:p>
    <w:p>
      <w:pPr>
        <w:pBdr>
          <w:left w:val="single" w:color="C9A227" w:sz="6"/>
          <w:right w:val="single" w:color="C9A227" w:sz="6"/>
        </w:pBdr>
        <w:shd w:fill="FFF4D6" w:color="auto" w:val="clear"/>
        <w:spacing w:after="40"/>
      </w:pPr>
      <w:r>
        <w:rPr>
          <w:sz w:val="22"/>
          <w:szCs w:val="22"/>
        </w:rPr>
        <w:t xml:space="preserve"> </w:t>
      </w:r>
    </w:p>
    <w:p>
      <w:pPr>
        <w:pBdr>
          <w:left w:val="single" w:color="C9A227" w:sz="6"/>
          <w:right w:val="single" w:color="C9A227" w:sz="6"/>
        </w:pBdr>
        <w:shd w:fill="FFF4D6" w:color="auto" w:val="clear"/>
        <w:spacing w:after="40"/>
      </w:pPr>
      <w:r>
        <w:rPr>
          <w:sz w:val="22"/>
          <w:szCs w:val="22"/>
        </w:rPr>
        <w:t xml:space="preserve"> </w:t>
      </w:r>
    </w:p>
    <w:p>
      <w:pPr>
        <w:pBdr>
          <w:bottom w:val="single" w:color="C9A227" w:sz="6"/>
          <w:left w:val="single" w:color="C9A227" w:sz="6"/>
          <w:right w:val="single" w:color="C9A227" w:sz="6"/>
        </w:pBdr>
        <w:shd w:fill="FFF4D6" w:color="auto" w:val="clear"/>
        <w:spacing w:after="60"/>
      </w:pPr>
      <w:r>
        <w:rPr>
          <w:sz w:val="22"/>
          <w:szCs w:val="22"/>
        </w:rPr>
        <w:t xml:space="preserve"> </w:t>
      </w:r>
    </w:p>
    <w:p>
      <w:pPr>
        <w:pStyle w:val="Heading1"/>
        <w:spacing w:after="180" w:before="300"/>
      </w:pPr>
      <w:r>
        <w:rPr>
          <w:rFonts w:ascii="Georgia" w:cs="Georgia" w:eastAsia="Georgia" w:hAnsi="Georgia"/>
          <w:b/>
          <w:bCs/>
          <w:color w:val="1F3864"/>
          <w:sz w:val="30"/>
          <w:szCs w:val="30"/>
        </w:rPr>
        <w:t xml:space="preserve">Record corrections — no decision needed</w:t>
      </w:r>
    </w:p>
    <w:p>
      <w:pPr>
        <w:spacing w:after="140"/>
      </w:pPr>
      <w:r>
        <w:rPr>
          <w:rFonts w:ascii="Georgia" w:cs="Georgia" w:eastAsia="Georgia" w:hAnsi="Georgia"/>
          <w:i/>
          <w:iCs/>
          <w:color w:val="777777"/>
          <w:sz w:val="19"/>
          <w:szCs w:val="19"/>
        </w:rPr>
        <w:t xml:space="preserve">Covers rows: (tttt)</w:t>
      </w:r>
    </w:p>
    <w:p>
      <w:pPr>
        <w:spacing w:after="150" w:line="290"/>
      </w:pPr>
      <w:r>
        <w:rPr>
          <w:rFonts w:ascii="Georgia" w:cs="Georgia" w:eastAsia="Georgia" w:hAnsi="Georgia"/>
          <w:sz w:val="22"/>
          <w:szCs w:val="22"/>
        </w:rPr>
        <w:t xml:space="preserve">Five corrections are owed to the master retrieval ledger, retrieval-master.md, which the Lepore intake unit was not permitted to edit. The Part Two opener is "What Robots Want" at printed pages 117 to 130. The Epilogue runs printed pages 225 to 228, and the main text ends at printed page 228 (PDF page 246), not "about printed page 237" as the ledger has it. The Acknowledgments are at PDF page 247 and the Notes title page at PDF page 249 (printed page 231), with printed page 232 confirmed at PDF page 250. Finally, the search claim for CHIPS, chip and export control is "zero in the main text" only; the words occur in an endnote quotation at printed page 256 (PDF pages 274 to 275).</w:t>
      </w:r>
    </w:p>
    <w:p>
      <w:pPr>
        <w:pStyle w:val="Heading1"/>
        <w:pageBreakBefore/>
        <w:spacing w:after="200" w:before="0"/>
      </w:pPr>
      <w:r>
        <w:rPr>
          <w:rFonts w:ascii="Georgia" w:cs="Georgia" w:eastAsia="Georgia" w:hAnsi="Georgia"/>
          <w:b/>
          <w:bCs/>
          <w:color w:val="1F3864"/>
          <w:sz w:val="32"/>
          <w:szCs w:val="32"/>
        </w:rPr>
        <w:t xml:space="preserve">Part Nine — Executing two earlier rulings, and the account books</w:t>
      </w:r>
    </w:p>
    <w:p>
      <w:pPr>
        <w:pStyle w:val="Heading2"/>
        <w:spacing w:after="120" w:before="260"/>
      </w:pPr>
      <w:r>
        <w:rPr>
          <w:rFonts w:ascii="Georgia" w:cs="Georgia" w:eastAsia="Georgia" w:hAnsi="Georgia"/>
          <w:b/>
          <w:bCs/>
          <w:color w:val="1F3864"/>
          <w:sz w:val="25"/>
          <w:szCs w:val="25"/>
        </w:rPr>
        <w:t xml:space="preserve">Decision 29 — Cadillac and Castillon, as Leseur has them</w:t>
      </w:r>
    </w:p>
    <w:p>
      <w:pPr>
        <w:spacing w:after="140"/>
      </w:pPr>
      <w:r>
        <w:rPr>
          <w:rFonts w:ascii="Georgia" w:cs="Georgia" w:eastAsia="Georgia" w:hAnsi="Georgia"/>
          <w:i/>
          <w:iCs/>
          <w:color w:val="777777"/>
          <w:sz w:val="19"/>
          <w:szCs w:val="19"/>
        </w:rPr>
        <w:t xml:space="preserve">Covers rows: L-a, L-b, L-c, L-d, L-e, L-f, L-g, L-h, L-i, L-j; the chapter 6 [RE-CHECK AT PRESS] flag on Cadillac; executes your "resolve" ruling of 16 September on row R7</w:t>
      </w:r>
    </w:p>
    <w:p>
      <w:pPr>
        <w:spacing w:after="150" w:line="290"/>
      </w:pPr>
      <w:r>
        <w:rPr>
          <w:rFonts w:ascii="Georgia" w:cs="Georgia" w:eastAsia="Georgia" w:hAnsi="Georgia"/>
          <w:b/>
          <w:bCs/>
          <w:sz w:val="22"/>
          <w:szCs w:val="22"/>
        </w:rPr>
        <w:t xml:space="preserve">The background.</w:t>
      </w:r>
      <w:r>
        <w:rPr>
          <w:rFonts w:ascii="Georgia" w:cs="Georgia" w:eastAsia="Georgia" w:hAnsi="Georgia"/>
          <w:sz w:val="22"/>
          <w:szCs w:val="22"/>
        </w:rPr>
        <w:t xml:space="preserve"> On 16 September you ruled one word on row R7, "Cadillac's storming": resolve. The row asked whether chapter 6 could keep calling Cadillac "the only storming in the record", and your answer was that the claim stands only once the sources have been settled. The sources have now been read, and this decision is the execution of that ruling. What made it possible is Guillaume Leseur's </w:t>
      </w:r>
      <w:r>
        <w:rPr>
          <w:rFonts w:ascii="Georgia" w:cs="Georgia" w:eastAsia="Georgia" w:hAnsi="Georgia"/>
          <w:i/>
          <w:iCs/>
          <w:sz w:val="22"/>
          <w:szCs w:val="22"/>
        </w:rPr>
        <w:t xml:space="preserve">Histoire de Gaston IV, comte de Foix</w:t>
      </w:r>
      <w:r>
        <w:rPr>
          <w:rFonts w:ascii="Georgia" w:cs="Georgia" w:eastAsia="Georgia" w:hAnsi="Georgia"/>
          <w:sz w:val="22"/>
          <w:szCs w:val="22"/>
        </w:rPr>
        <w:t xml:space="preserve">, a fifteenth-century chronicle written by the count's household servant of thirty years, in Henri Courteault's two-volume edition of 1893 to 1896. It was sitting in the repository and entered nowhere. In the book's grading it is T1, a primary source in a scholarly edition; Courteault's notes beneath it are T2, the work of a modern scholar, and in places the more useful half.</w:t>
      </w:r>
    </w:p>
    <w:p>
      <w:pPr>
        <w:spacing w:after="150" w:line="290"/>
      </w:pPr>
      <w:r>
        <w:rPr>
          <w:rFonts w:ascii="Georgia" w:cs="Georgia" w:eastAsia="Georgia" w:hAnsi="Georgia"/>
          <w:sz w:val="22"/>
          <w:szCs w:val="22"/>
        </w:rPr>
        <w:t xml:space="preserve">Chapter 6, section VI, currently says of the 1453 mopping-up that "Cadillac, held against the king after the revolt, is the only place in the whole record taken by storm through a breach", that the storm was "a bombardment wearing an assault's clothes", and that "it was reserved for a place under punitive terms, whose captain the king had executed", with a flag recording that Michael Vale dates the execution 17 September and the chronicler Escouchy dates the storm 19 September. Leseur adjudicates this. The town was carried by storm after Jean Bureau, the crown's master of artillery, "faisoit tyrer l'artillerie jour et nuyt, tant la grosse que la menue" — kept the guns firing night and day, great and small (tome II, p. 24). The castle composed the next day. The garrison were taken prisoner, except the captain, Gaillardet, who "se rendit à la volunté de mondit sieur de Foix" — surrendered to the count of Foix's will — and whom the count "pour ses desmerites luy fist trencher la teste comme à ung traystre", had beheaded as a traitor for his misdeeds, because he was the count's own perjured liegeman (tome II, pp. 25–26). Courteault adds that at the moment Cadillac capitulated "Charles VII était devant Bordeaux" (p. 22 n. 2). So Escouchy is right on the mode and the date and wrong on the command: Courteault says of his attributing the siege to Dunois, "c'est une erreur" (p. 22 n. 2). Hall's 27 September, which the evidence file had treated as a third date for Cadillac, is the fall of Bénauges, a different place. And Vale's sentence, "on his arrival at the place, they surrendered", is the reverse of what stands at the page he cites: tome II, p. 19 carries the aftermath of Castillon, and on Gaston's arrival Cadillac did not surrender. No date for the storm appears anywhere in Leseur's narrative, which is why the flag can be narrowed but not closed: the 17 September date stays for press.</w:t>
      </w:r>
    </w:p>
    <w:p>
      <w:pPr>
        <w:spacing w:after="150" w:line="290"/>
      </w:pPr>
      <w:r>
        <w:rPr>
          <w:rFonts w:ascii="Georgia" w:cs="Georgia" w:eastAsia="Georgia" w:hAnsi="Georgia"/>
          <w:sz w:val="22"/>
          <w:szCs w:val="22"/>
        </w:rPr>
        <w:t xml:space="preserve">Leseur also corrects and adds around Castillon itself. The draft says "The town of Castillon surrendered two days later under the continuing fire"; Leseur has "troys jours après" (tome II, p. 19), and Courteault's note dates the capitulation to 20 July, three days after the battle of the 17th. The draft attributes the false report that drew Talbot out of Bordeaux to camp-followers on the move; Leseur has the garrison inside the town send to Talbot that the French were loading their guns to flee (p. 16), and Courteault prefers his version to Escouchy's (p. 14 n. 2). And Leseur, who was not at the battle, credits the decision to a charge of fresh Breton cavalry after an hour of hand-to-hand fighting, not to the guns (pp. 17–18); the intake grades this a real qualification the chapter must carry in the text rather than in a note. Three further passages are on offer for other sections: Dunois's empty field at Fronsac in 1451, held all day for an English relief that never came, after which "toutes les villes et places, réservé Bayonne" composed (tome I, p. 205); Bureau and the finance general Le Boursier left behind to begin the citadels of Hâ and Trompette at Bordeaux (tome II, p. 29), with the royal muster and 10,000 francs paid to the count of Foix's private levy from Courteault's notes (p. 8 n. 1); and the storm and sack of Blaye in 1451 (tome I, p. 202). Two cautions travel with all of it. Courteault calls Leseur a panegyrist who "grossit volontiers les chiffres", inflates figures readily, and says no chronicler stands in greater need of correction from the documents. And Courteault's own notes disagree about which Cadillac is meant, the one on the Garonne or the one in the Fronsadais; that question is newly open.</w:t>
      </w:r>
    </w:p>
    <w:p>
      <w:pPr>
        <w:spacing w:after="150" w:line="290"/>
      </w:pPr>
      <w:r>
        <w:rPr>
          <w:rFonts w:ascii="Georgia" w:cs="Georgia" w:eastAsia="Georgia" w:hAnsi="Georgia"/>
          <w:b/>
          <w:bCs/>
          <w:sz w:val="22"/>
          <w:szCs w:val="22"/>
        </w:rPr>
        <w:t xml:space="preserve">Why it matters.</w:t>
      </w:r>
      <w:r>
        <w:rPr>
          <w:rFonts w:ascii="Georgia" w:cs="Georgia" w:eastAsia="Georgia" w:hAnsi="Georgia"/>
          <w:sz w:val="22"/>
          <w:szCs w:val="22"/>
        </w:rPr>
        <w:t xml:space="preserve"> This is a medium point with one large consequence. The chapter's census of 1449 to 1453 rests on the claim that places fell to composition, not to storm, and Cadillac is its stated single exception; a hostile reviewer who opened Leseur would find the exception mis-commanded, mis-dated and mis-executed in the draft, and would use it to doubt the census. The Breton charge is the sharper danger: the book's cleanest exhibit of artillery decisiveness has a primary witness who gives the day to cavalry, and a chapter that does not say so invites the accusation that it read only the sources that agreed with it. Everything else here is precision the chapter gains for nothing.</w:t>
      </w:r>
    </w:p>
    <w:p>
      <w:pPr>
        <w:spacing w:after="150" w:line="290"/>
      </w:pPr>
      <w:r>
        <w:rPr>
          <w:rFonts w:ascii="Georgia" w:cs="Georgia" w:eastAsia="Georgia" w:hAnsi="Georgia"/>
          <w:b/>
          <w:bCs/>
          <w:sz w:val="22"/>
          <w:szCs w:val="22"/>
        </w:rPr>
        <w:t xml:space="preserve">Your choices.</w:t>
      </w:r>
      <w:r>
        <w:rPr>
          <w:rFonts w:ascii="Georgia" w:cs="Georgia" w:eastAsia="Georgia" w:hAnsi="Georgia"/>
          <w:sz w:val="22"/>
          <w:szCs w:val="22"/>
        </w:rPr>
        <w:t xml:space="preserve"> Choice A rewrites the Cadillac paragraph around Leseur's sequence: the town stormed after battery night and day under Bureau, the castle composing the next day, the captain beheaded by Gaston IV for perjured homage; the sentence "whose captain the king had executed" corrected in the text, not silently in a note; the "three accounts set down as they stand" display demoted to a note with Courteault's "c'est une erreur" quoted there; the Castillon surrender corrected to three days; the false report rewritten to name two traditions, camp-followers and garrison, with the gap flag closed on that basis; the Breton charge stated in one sentence in the dissent paragraph beside Howard, DeVries and Hall; the Fronsac empty field entering section V in summary with one short quotation; Blaye's sack stated in section V with a clause noting the census is Normandy-scoped; and Leseur named in the text once, as the fullest narrative of the Gascon campaign and not as an authority. The Hâ-and-Trompette commission and the Foix muster go to chapter 7. This costs a rewritten paragraph, perhaps two hundred words across the chapter, and one small loss of rhetorical force, because "the king had executed" was doing the work of showing the crown's punitive reach and Gaston's execution of his own vassal does that work less directly. It buys a settled exception, a closed gap, and a dissent the chapter owns before a reviewer produces it.</w:t>
      </w:r>
    </w:p>
    <w:p>
      <w:pPr>
        <w:spacing w:after="150" w:line="290"/>
      </w:pPr>
      <w:r>
        <w:rPr>
          <w:rFonts w:ascii="Georgia" w:cs="Georgia" w:eastAsia="Georgia" w:hAnsi="Georgia"/>
          <w:sz w:val="22"/>
          <w:szCs w:val="22"/>
        </w:rPr>
        <w:t xml:space="preserve">Choice B takes the corrections that cannot be avoided and holds the rest. The executioner, the three days and the false report are corrected; Leseur enters as a fourth voice inside the existing three-account display rather than replacing it; the Breton charge, Fronsac, Blaye and the naming of Leseur are deferred until the Escouchy re-check and the second-Cadillac question are settled. This is cheaper and keeps the chapter's present shape. The cost is that the display the chapter calls "three accounts set down as they stand" would now stand beside an editor's flat verdict that one of them is wrong, and the Breton charge would remain uncarried in a chapter whose intake says it must be carried.</w:t>
      </w:r>
    </w:p>
    <w:p>
      <w:pPr>
        <w:spacing w:after="150" w:line="290"/>
      </w:pPr>
      <w:r>
        <w:rPr>
          <w:rFonts w:ascii="Georgia" w:cs="Georgia" w:eastAsia="Georgia" w:hAnsi="Georgia"/>
          <w:b/>
          <w:bCs/>
          <w:sz w:val="22"/>
          <w:szCs w:val="22"/>
        </w:rPr>
        <w:t xml:space="preserve">My view.</w:t>
      </w:r>
      <w:r>
        <w:rPr>
          <w:rFonts w:ascii="Georgia" w:cs="Georgia" w:eastAsia="Georgia" w:hAnsi="Georgia"/>
          <w:sz w:val="22"/>
          <w:szCs w:val="22"/>
        </w:rPr>
        <w:t xml:space="preserve"> Choice A, with one exception: keep Leseur out of the running text if you find naming a panegyrist beside Basin and Escouchy crowds the section, and let the note carry him. The Breton charge is the item I would not defer under any choice. This is a view.</w:t>
      </w:r>
    </w:p>
    <w:p>
      <w:pPr>
        <w:pBdr>
          <w:top w:val="single" w:color="C9A227" w:sz="6"/>
          <w:left w:val="single" w:color="C9A227" w:sz="6"/>
          <w:right w:val="single" w:color="C9A227" w:sz="6"/>
        </w:pBdr>
        <w:shd w:fill="FFF4D6" w:color="auto" w:val="clear"/>
        <w:spacing w:after="60" w:before="200"/>
      </w:pPr>
      <w:r>
        <w:rPr>
          <w:rFonts w:ascii="Georgia" w:cs="Georgia" w:eastAsia="Georgia" w:hAnsi="Georgia"/>
          <w:b/>
          <w:bCs/>
          <w:color w:val="8A6D00"/>
          <w:sz w:val="23"/>
          <w:szCs w:val="23"/>
        </w:rPr>
        <w:t xml:space="preserve">YOUR RULING:  </w:t>
      </w:r>
    </w:p>
    <w:p>
      <w:pPr>
        <w:pBdr>
          <w:left w:val="single" w:color="C9A227" w:sz="6"/>
          <w:right w:val="single" w:color="C9A227" w:sz="6"/>
        </w:pBdr>
        <w:shd w:fill="FFF4D6" w:color="auto" w:val="clear"/>
        <w:spacing w:after="40"/>
      </w:pPr>
      <w:r>
        <w:rPr>
          <w:sz w:val="22"/>
          <w:szCs w:val="22"/>
        </w:rPr>
        <w:t xml:space="preserve"> </w:t>
      </w:r>
    </w:p>
    <w:p>
      <w:pPr>
        <w:pBdr>
          <w:left w:val="single" w:color="C9A227" w:sz="6"/>
          <w:right w:val="single" w:color="C9A227" w:sz="6"/>
        </w:pBdr>
        <w:shd w:fill="FFF4D6" w:color="auto" w:val="clear"/>
        <w:spacing w:after="40"/>
      </w:pPr>
      <w:r>
        <w:rPr>
          <w:sz w:val="22"/>
          <w:szCs w:val="22"/>
        </w:rPr>
        <w:t xml:space="preserve"> </w:t>
      </w:r>
    </w:p>
    <w:p>
      <w:pPr>
        <w:pBdr>
          <w:bottom w:val="single" w:color="C9A227" w:sz="6"/>
          <w:left w:val="single" w:color="C9A227" w:sz="6"/>
          <w:right w:val="single" w:color="C9A227" w:sz="6"/>
        </w:pBdr>
        <w:shd w:fill="FFF4D6" w:color="auto" w:val="clear"/>
        <w:spacing w:after="60"/>
      </w:pPr>
      <w:r>
        <w:rPr>
          <w:sz w:val="22"/>
          <w:szCs w:val="22"/>
        </w:rPr>
        <w:t xml:space="preserve"> </w:t>
      </w:r>
    </w:p>
    <w:p>
      <w:pPr>
        <w:pStyle w:val="Heading2"/>
        <w:spacing w:after="120" w:before="260"/>
      </w:pPr>
      <w:r>
        <w:rPr>
          <w:rFonts w:ascii="Georgia" w:cs="Georgia" w:eastAsia="Georgia" w:hAnsi="Georgia"/>
          <w:b/>
          <w:bCs/>
          <w:color w:val="1F3864"/>
          <w:sz w:val="25"/>
          <w:szCs w:val="25"/>
        </w:rPr>
        <w:t xml:space="preserve">Decision 30 — Belloc and the knock-out blow, as Holman has them</w:t>
      </w:r>
    </w:p>
    <w:p>
      <w:pPr>
        <w:spacing w:after="140"/>
      </w:pPr>
      <w:r>
        <w:rPr>
          <w:rFonts w:ascii="Georgia" w:cs="Georgia" w:eastAsia="Georgia" w:hAnsi="Georgia"/>
          <w:i/>
          <w:iCs/>
          <w:color w:val="777777"/>
          <w:sz w:val="19"/>
          <w:szCs w:val="19"/>
        </w:rPr>
        <w:t xml:space="preserve">Covers rows: H14-a, H14-b, H14-c, H14-d, H14-e, H14-f, H14-g; executes ruling (r) on Belloc</w:t>
      </w:r>
    </w:p>
    <w:p>
      <w:pPr>
        <w:spacing w:after="150" w:line="290"/>
      </w:pPr>
      <w:r>
        <w:rPr>
          <w:rFonts w:ascii="Georgia" w:cs="Georgia" w:eastAsia="Georgia" w:hAnsi="Georgia"/>
          <w:b/>
          <w:bCs/>
          <w:sz w:val="22"/>
          <w:szCs w:val="22"/>
        </w:rPr>
        <w:t xml:space="preserve">The background.</w:t>
      </w:r>
      <w:r>
        <w:rPr>
          <w:rFonts w:ascii="Georgia" w:cs="Georgia" w:eastAsia="Georgia" w:hAnsi="Georgia"/>
          <w:sz w:val="22"/>
          <w:szCs w:val="22"/>
        </w:rPr>
        <w:t xml:space="preserve"> On 16 September you ruled YES on row (r): chapter 6 may cite Belloc's Maxim-gun couplet for the syndrome of faith in the weapon detached from the process that makes it decisive, with Freedman and Holman carrying the twentieth-century genealogy of the "knock-out blow", the interwar belief that a single aerial bombardment would end a war in days. That ruling assumed Holman would be read. He has been, and this decision executes it. Brett Holman's </w:t>
      </w:r>
      <w:r>
        <w:rPr>
          <w:rFonts w:ascii="Georgia" w:cs="Georgia" w:eastAsia="Georgia" w:hAnsi="Georgia"/>
          <w:i/>
          <w:iCs/>
          <w:sz w:val="22"/>
          <w:szCs w:val="22"/>
        </w:rPr>
        <w:t xml:space="preserve">The Next War in the Air: Britain's Fear of the Bomber, 1908–1941</w:t>
      </w:r>
      <w:r>
        <w:rPr>
          <w:rFonts w:ascii="Georgia" w:cs="Georgia" w:eastAsia="Georgia" w:hAnsi="Georgia"/>
          <w:sz w:val="22"/>
          <w:szCs w:val="22"/>
        </w:rPr>
        <w:t xml:space="preserve"> (Ashgate, 2014) is the book Lawrence Freedman cited when the chapter borrowed the genealogy from him at second hand.</w:t>
      </w:r>
    </w:p>
    <w:p>
      <w:pPr>
        <w:spacing w:after="150" w:line="290"/>
      </w:pPr>
      <w:r>
        <w:rPr>
          <w:rFonts w:ascii="Georgia" w:cs="Georgia" w:eastAsia="Georgia" w:hAnsi="Georgia"/>
          <w:sz w:val="22"/>
          <w:szCs w:val="22"/>
        </w:rPr>
        <w:t xml:space="preserve">Chapter 6, section VI, closes Talbot's death with a mirror: he "attacked the weapon, when what was defeating England was the process", and "a later chapter meets the same mistake with its sign reversed, in the prophets of the knock-out blow, for whom the weapon was over- rather than under-estimated". In its renovated form the passage speaks of "the interwar orthodoxy that a single blow from the air would end a war" and cites Freedman for a genealogy he "traces through Holman (Freedman 2017: 55–57)". Holman's own sentence, at page 23, reads: "This theory of the knock-out blow solidified into a near-consensus among military intellectuals during the 1920s and by the 1930s had almost become an orthodoxy, accepted and promoted by pacifists and militarists alike." Freedman dropped the word "almost", and the chapter inherited the stronger form. Holman's scope is Britain, not the century: "The knock-out blow was practically paradigmatic in interwar Britain" (p. 252). He names the lineage, which the chapter presently leaves unnamed: first articulated by Claude Grahame-White and Harry Harper in 1916, popularised by P. R. C. Groves from 1922, canonised by Baldwin's "the bomber will always get through" in November 1932 (pp. 57, 247–48); and he warns that Douhet, whom a general reader expects at the head of the line, was little known in Britain before the mid-1930s (p. 12). His diagnosis of the prophets' error is not what the chapter implies: they feared the collapse of an interdependent industrial society more than the collapse of morale (p. 53), and what they never theorised was the defender's capacity to absorb, repair and re-house, so that the Blitz was, in his phrase, "best defeated with better bureaucracy" (p. 238). He also supplies the instrument creating the institution: the Gotha raids of 1917 produced the Smuts reports and, through them, the Air Ministry and the RAF (pp. 232–33).</w:t>
      </w:r>
    </w:p>
    <w:p>
      <w:pPr>
        <w:spacing w:after="150" w:line="290"/>
      </w:pPr>
      <w:r>
        <w:rPr>
          <w:rFonts w:ascii="Georgia" w:cs="Georgia" w:eastAsia="Georgia" w:hAnsi="Georgia"/>
          <w:sz w:val="22"/>
          <w:szCs w:val="22"/>
        </w:rPr>
        <w:t xml:space="preserve">The negative finding is the one ruling (r) was waiting for. Belloc occurs nowhere in Holman, not in text, notes, bibliography or index. The two halves of the chapter's mirror, the 1898 couplet and the bomber prophets, cannot be joined at one source; the couplet is not part of the knock-out-blow lineage. That does not disturb the ruling, because the chapter already segregates the prophets as "a different lineage"; it means the segregation must be kept and the apparatus must say why.</w:t>
      </w:r>
    </w:p>
    <w:p>
      <w:pPr>
        <w:spacing w:after="150" w:line="290"/>
      </w:pPr>
      <w:r>
        <w:rPr>
          <w:rFonts w:ascii="Georgia" w:cs="Georgia" w:eastAsia="Georgia" w:hAnsi="Georgia"/>
          <w:b/>
          <w:bCs/>
          <w:sz w:val="22"/>
          <w:szCs w:val="22"/>
        </w:rPr>
        <w:t xml:space="preserve">Why it matters.</w:t>
      </w:r>
      <w:r>
        <w:rPr>
          <w:rFonts w:ascii="Georgia" w:cs="Georgia" w:eastAsia="Georgia" w:hAnsi="Georgia"/>
          <w:sz w:val="22"/>
          <w:szCs w:val="22"/>
        </w:rPr>
        <w:t xml:space="preserve"> A small point in the argument and a real one in the manners. The mirror is a closing flourish, not a load-bearing claim, but a reviewer who knows Holman would see a hedge silently removed, a British finding stated as a century's, and Douhet implied where Holman's whole book argues against him. Citing at second hand what is now on the shelf would be noticed. The interdependence point cuts the other way and helps: it is the book's mechanism arriving from the defending side, and it is Holman's finding rather than the book's imposition.</w:t>
      </w:r>
    </w:p>
    <w:p>
      <w:pPr>
        <w:spacing w:after="150" w:line="290"/>
      </w:pPr>
      <w:r>
        <w:rPr>
          <w:rFonts w:ascii="Georgia" w:cs="Georgia" w:eastAsia="Georgia" w:hAnsi="Georgia"/>
          <w:b/>
          <w:bCs/>
          <w:sz w:val="22"/>
          <w:szCs w:val="22"/>
        </w:rPr>
        <w:t xml:space="preserve">Your choices.</w:t>
      </w:r>
      <w:r>
        <w:rPr>
          <w:rFonts w:ascii="Georgia" w:cs="Georgia" w:eastAsia="Georgia" w:hAnsi="Georgia"/>
          <w:sz w:val="22"/>
          <w:szCs w:val="22"/>
        </w:rPr>
        <w:t xml:space="preserve"> Choice A cites Holman 2014: 23 directly and drops the Freedman relay, Freedman staying only for the Tokyo exchange of 1941; restores the hedge, so the sentence reads "had almost become an orthodoxy" or "a near-orthodoxy"; qualifies the phrase to interwar Britain in the text; names Grahame-White and Harper, Groves and Baldwin in the note with the Douhet caution beside them; adds one clause carrying Holman's diagnosis, interdependence over morale, at the cost of a longer sentence in a paragraph the voice ledger already counts as dense; reserves the Smuts-to-RAF pin and the 1940 administrative resolution for chapter 12, where the process point is at home; and states the negative finding on Belloc in the chapter's apparatus, in one sentence, so that a reader who checks finds the book checked first. Choice B does the same but keeps the genealogy's names and the Douhet caution out of the chapter entirely, in sources.md only, and leaves the Belloc finding there too. It costs less space and one fewer note; a reviewer would then find the negative finding in the working files and not on the page, which is defensible but not generous.</w:t>
      </w:r>
    </w:p>
    <w:p>
      <w:pPr>
        <w:spacing w:after="150" w:line="290"/>
      </w:pPr>
      <w:r>
        <w:rPr>
          <w:rFonts w:ascii="Georgia" w:cs="Georgia" w:eastAsia="Georgia" w:hAnsi="Georgia"/>
          <w:b/>
          <w:bCs/>
          <w:sz w:val="22"/>
          <w:szCs w:val="22"/>
        </w:rPr>
        <w:t xml:space="preserve">My view.</w:t>
      </w:r>
      <w:r>
        <w:rPr>
          <w:rFonts w:ascii="Georgia" w:cs="Georgia" w:eastAsia="Georgia" w:hAnsi="Georgia"/>
          <w:sz w:val="22"/>
          <w:szCs w:val="22"/>
        </w:rPr>
        <w:t xml:space="preserve"> Choice A; the clause on interdependence is the only item that costs anything, and it is worth the length because it turns a decorative mirror into a second instance of the mechanism. This is a view.</w:t>
      </w:r>
    </w:p>
    <w:p>
      <w:pPr>
        <w:pBdr>
          <w:top w:val="single" w:color="C9A227" w:sz="6"/>
          <w:left w:val="single" w:color="C9A227" w:sz="6"/>
          <w:right w:val="single" w:color="C9A227" w:sz="6"/>
        </w:pBdr>
        <w:shd w:fill="FFF4D6" w:color="auto" w:val="clear"/>
        <w:spacing w:after="60" w:before="200"/>
      </w:pPr>
      <w:r>
        <w:rPr>
          <w:rFonts w:ascii="Georgia" w:cs="Georgia" w:eastAsia="Georgia" w:hAnsi="Georgia"/>
          <w:b/>
          <w:bCs/>
          <w:color w:val="8A6D00"/>
          <w:sz w:val="23"/>
          <w:szCs w:val="23"/>
        </w:rPr>
        <w:t xml:space="preserve">YOUR RULING:  </w:t>
      </w:r>
    </w:p>
    <w:p>
      <w:pPr>
        <w:pBdr>
          <w:left w:val="single" w:color="C9A227" w:sz="6"/>
          <w:right w:val="single" w:color="C9A227" w:sz="6"/>
        </w:pBdr>
        <w:shd w:fill="FFF4D6" w:color="auto" w:val="clear"/>
        <w:spacing w:after="40"/>
      </w:pPr>
      <w:r>
        <w:rPr>
          <w:sz w:val="22"/>
          <w:szCs w:val="22"/>
        </w:rPr>
        <w:t xml:space="preserve"> </w:t>
      </w:r>
    </w:p>
    <w:p>
      <w:pPr>
        <w:pBdr>
          <w:left w:val="single" w:color="C9A227" w:sz="6"/>
          <w:right w:val="single" w:color="C9A227" w:sz="6"/>
        </w:pBdr>
        <w:shd w:fill="FFF4D6" w:color="auto" w:val="clear"/>
        <w:spacing w:after="40"/>
      </w:pPr>
      <w:r>
        <w:rPr>
          <w:sz w:val="22"/>
          <w:szCs w:val="22"/>
        </w:rPr>
        <w:t xml:space="preserve"> </w:t>
      </w:r>
    </w:p>
    <w:p>
      <w:pPr>
        <w:pBdr>
          <w:bottom w:val="single" w:color="C9A227" w:sz="6"/>
          <w:left w:val="single" w:color="C9A227" w:sz="6"/>
          <w:right w:val="single" w:color="C9A227" w:sz="6"/>
        </w:pBdr>
        <w:shd w:fill="FFF4D6" w:color="auto" w:val="clear"/>
        <w:spacing w:after="60"/>
      </w:pPr>
      <w:r>
        <w:rPr>
          <w:sz w:val="22"/>
          <w:szCs w:val="22"/>
        </w:rPr>
        <w:t xml:space="preserve"> </w:t>
      </w:r>
    </w:p>
    <w:p>
      <w:pPr>
        <w:pStyle w:val="Heading2"/>
        <w:spacing w:after="120" w:before="260"/>
      </w:pPr>
      <w:r>
        <w:rPr>
          <w:rFonts w:ascii="Georgia" w:cs="Georgia" w:eastAsia="Georgia" w:hAnsi="Georgia"/>
          <w:b/>
          <w:bCs/>
          <w:color w:val="1F3864"/>
          <w:sz w:val="25"/>
          <w:szCs w:val="25"/>
        </w:rPr>
        <w:t xml:space="preserve">Decision 31 — The Burgundian artillery accounts, as Perroy has them</w:t>
      </w:r>
    </w:p>
    <w:p>
      <w:pPr>
        <w:spacing w:after="140"/>
      </w:pPr>
      <w:r>
        <w:rPr>
          <w:rFonts w:ascii="Georgia" w:cs="Georgia" w:eastAsia="Georgia" w:hAnsi="Georgia"/>
          <w:i/>
          <w:iCs/>
          <w:color w:val="777777"/>
          <w:sz w:val="19"/>
          <w:szCs w:val="19"/>
        </w:rPr>
        <w:t xml:space="preserve">Covers rows: P43-a, P43-b, P43-c, P43-d, P43-e, P43-f, P43-g, P43-h</w:t>
      </w:r>
    </w:p>
    <w:p>
      <w:pPr>
        <w:spacing w:after="150" w:line="290"/>
      </w:pPr>
      <w:r>
        <w:rPr>
          <w:rFonts w:ascii="Georgia" w:cs="Georgia" w:eastAsia="Georgia" w:hAnsi="Georgia"/>
          <w:b/>
          <w:bCs/>
          <w:sz w:val="22"/>
          <w:szCs w:val="22"/>
        </w:rPr>
        <w:t xml:space="preserve">The background.</w:t>
      </w:r>
      <w:r>
        <w:rPr>
          <w:rFonts w:ascii="Georgia" w:cs="Georgia" w:eastAsia="Georgia" w:hAnsi="Georgia"/>
          <w:sz w:val="22"/>
          <w:szCs w:val="22"/>
        </w:rPr>
        <w:t xml:space="preserve"> Édouard Perroy's two-part article, "L'artillerie de Louis XI dans la campagne d'Artois (1477)", in the </w:t>
      </w:r>
      <w:r>
        <w:rPr>
          <w:rFonts w:ascii="Georgia" w:cs="Georgia" w:eastAsia="Georgia" w:hAnsi="Georgia"/>
          <w:i/>
          <w:iCs/>
          <w:sz w:val="22"/>
          <w:szCs w:val="22"/>
        </w:rPr>
        <w:t xml:space="preserve">Revue du Nord</w:t>
      </w:r>
      <w:r>
        <w:rPr>
          <w:rFonts w:ascii="Georgia" w:cs="Georgia" w:eastAsia="Georgia" w:hAnsi="Georgia"/>
          <w:sz w:val="22"/>
          <w:szCs w:val="22"/>
        </w:rPr>
        <w:t xml:space="preserve"> for 1943, edits the only surviving accounts of the French royal artillery office, found by Robert Fawtier in a binding at the John Rylands Library. It was in the repository, cited twice in chapter 10 and entered nowhere. Chapter 10, section IV, currently says the accounts were recovered "from the binding of a 1721 book", and that the train's guns and tools "required 521 horses" while the stores "required 1,009 more". Perroy, checked on the page image because the text layer misreads digits, says 1,609, and gives the total the draft omits: "ce qui portait le convoi au total de 2.130 chevaux" (p. 294), at a forecast cost of 355 livres a day for the horses and 14,010 livres a month for the whole establishment (p. 302). The chapter has been six hundred horses short. The 1721 date is not in Perroy, who dates the binding to nothing; it must be cut or sourced elsewhere.</w:t>
      </w:r>
    </w:p>
    <w:p>
      <w:pPr>
        <w:spacing w:after="150" w:line="290"/>
      </w:pPr>
      <w:r>
        <w:rPr>
          <w:rFonts w:ascii="Georgia" w:cs="Georgia" w:eastAsia="Georgia" w:hAnsi="Georgia"/>
          <w:sz w:val="22"/>
          <w:szCs w:val="22"/>
        </w:rPr>
        <w:t xml:space="preserve">He adds the wage line, "les vingt-deux autres … se contentent de 60 l. annuelles, ce qui représente les gages d'un modeste ouvrier, maçon ou charron" (pp. 191–92), twenty-two gunners paid as a mason or wheelwright; the audit that withheld Bureau's discharge for 28,704 livres owing (p. 177 n. 24); and a chronology the book should adopt rather than argue with: the organised artillery service belongs to Bournel and Louis XI, and of one under Charles VII "il ne reste aucune trace" (p. 175). For section VI he supplies the </w:t>
      </w:r>
      <w:r>
        <w:rPr>
          <w:rFonts w:ascii="Georgia" w:cs="Georgia" w:eastAsia="Georgia" w:hAnsi="Georgia"/>
          <w:i/>
          <w:iCs/>
          <w:sz w:val="22"/>
          <w:szCs w:val="22"/>
        </w:rPr>
        <w:t xml:space="preserve">bande de Bourgogne</w:t>
      </w:r>
      <w:r>
        <w:rPr>
          <w:rFonts w:ascii="Georgia" w:cs="Georgia" w:eastAsia="Georgia" w:hAnsi="Georgia"/>
          <w:sz w:val="22"/>
          <w:szCs w:val="22"/>
        </w:rPr>
        <w:t xml:space="preserve">, a fourth unit Louis XI raised for the conquest of the duchy and paid through the ducal accounts in the Côte-d'Or archives (p. 196), so that part of the Burgundian office passed to the king and not only to Mary and Maximilian; and, as anti-determinist ballast beside Grandson and Morat, the seven great culverins lost at Dole and the failure before Saint-Omer (pp. 173 n. 10, 299). Cazelles's review of Contamine reminds the chapter that the 1445 ordinance rests, like 1439, on a lost text.</w:t>
      </w:r>
    </w:p>
    <w:p>
      <w:pPr>
        <w:spacing w:after="150" w:line="290"/>
      </w:pPr>
      <w:r>
        <w:rPr>
          <w:rFonts w:ascii="Georgia" w:cs="Georgia" w:eastAsia="Georgia" w:hAnsi="Georgia"/>
          <w:sz w:val="22"/>
          <w:szCs w:val="22"/>
        </w:rPr>
        <w:t xml:space="preserve">P43-h is different in kind. The intake found that chapter 10's sources file had carried since July a Cazelles sentence that is not in his review; it came from the "short quotation bank" in the acquisition dossier, a list of quotable lines compiled before the works were in hand. All eight lines were opened at the page. Six verified; two were withdrawn, both reviewers' verdicts paraphrased into quotation marks. Neither carried an argument.</w:t>
      </w:r>
    </w:p>
    <w:p>
      <w:pPr>
        <w:spacing w:after="150" w:line="290"/>
      </w:pPr>
      <w:r>
        <w:rPr>
          <w:rFonts w:ascii="Georgia" w:cs="Georgia" w:eastAsia="Georgia" w:hAnsi="Georgia"/>
          <w:b/>
          <w:bCs/>
          <w:sz w:val="22"/>
          <w:szCs w:val="22"/>
        </w:rPr>
        <w:t xml:space="preserve">Why it matters.</w:t>
      </w:r>
      <w:r>
        <w:rPr>
          <w:rFonts w:ascii="Georgia" w:cs="Georgia" w:eastAsia="Georgia" w:hAnsi="Georgia"/>
          <w:sz w:val="22"/>
          <w:szCs w:val="22"/>
        </w:rPr>
        <w:t xml:space="preserve"> Housekeeping, except for the last item. A wrong horse count and an unsourced date are what a specialist uses to discount the chapter's whole fiscal register. P43-h is a discipline decision: the doctrine says no quotation without a page, and the bank is not a source.</w:t>
      </w:r>
    </w:p>
    <w:p>
      <w:pPr>
        <w:spacing w:after="150" w:line="290"/>
      </w:pPr>
      <w:r>
        <w:rPr>
          <w:rFonts w:ascii="Georgia" w:cs="Georgia" w:eastAsia="Georgia" w:hAnsi="Georgia"/>
          <w:b/>
          <w:bCs/>
          <w:sz w:val="22"/>
          <w:szCs w:val="22"/>
        </w:rPr>
        <w:t xml:space="preserve">Your choices.</w:t>
      </w:r>
      <w:r>
        <w:rPr>
          <w:rFonts w:ascii="Georgia" w:cs="Georgia" w:eastAsia="Georgia" w:hAnsi="Georgia"/>
          <w:sz w:val="22"/>
          <w:szCs w:val="22"/>
        </w:rPr>
        <w:t xml:space="preserve"> Choice A takes all of P43-a to g: the 2,130 total with the monthly cost, the 1721 cut, the wage line and the audit each as one sentence, Perroy's chronology adopted and chapter 6 amended to match, the </w:t>
      </w:r>
      <w:r>
        <w:rPr>
          <w:rFonts w:ascii="Georgia" w:cs="Georgia" w:eastAsia="Georgia" w:hAnsi="Georgia"/>
          <w:i/>
          <w:iCs/>
          <w:sz w:val="22"/>
          <w:szCs w:val="22"/>
        </w:rPr>
        <w:t xml:space="preserve">bande de Bourgogne</w:t>
      </w:r>
      <w:r>
        <w:rPr>
          <w:rFonts w:ascii="Georgia" w:cs="Georgia" w:eastAsia="Georgia" w:hAnsi="Georgia"/>
          <w:sz w:val="22"/>
          <w:szCs w:val="22"/>
        </w:rPr>
        <w:t xml:space="preserve">, Dole and Saint-Omer at footnote length, and the 1445 caution stated. Choice B takes the corrections only and leaves the additions for the post-retrieval upgrade pass. Either way, P43-h is put to you separately as a rule: every quotation still standing in the manuscript from a source not in the corpus is re-verified at the page before press, or the bank is retired as a source.</w:t>
      </w:r>
    </w:p>
    <w:p>
      <w:pPr>
        <w:spacing w:after="150" w:line="290"/>
      </w:pPr>
      <w:r>
        <w:rPr>
          <w:rFonts w:ascii="Georgia" w:cs="Georgia" w:eastAsia="Georgia" w:hAnsi="Georgia"/>
          <w:b/>
          <w:bCs/>
          <w:sz w:val="22"/>
          <w:szCs w:val="22"/>
        </w:rPr>
        <w:t xml:space="preserve">My view.</w:t>
      </w:r>
      <w:r>
        <w:rPr>
          <w:rFonts w:ascii="Georgia" w:cs="Georgia" w:eastAsia="Georgia" w:hAnsi="Georgia"/>
          <w:sz w:val="22"/>
          <w:szCs w:val="22"/>
        </w:rPr>
        <w:t xml:space="preserve"> Choice A, and the P43-h rule adopted as written; the two failures had the same shape and the third will too. This is a view.</w:t>
      </w:r>
    </w:p>
    <w:p>
      <w:pPr>
        <w:pBdr>
          <w:top w:val="single" w:color="C9A227" w:sz="6"/>
          <w:left w:val="single" w:color="C9A227" w:sz="6"/>
          <w:right w:val="single" w:color="C9A227" w:sz="6"/>
        </w:pBdr>
        <w:shd w:fill="FFF4D6" w:color="auto" w:val="clear"/>
        <w:spacing w:after="60" w:before="200"/>
      </w:pPr>
      <w:r>
        <w:rPr>
          <w:rFonts w:ascii="Georgia" w:cs="Georgia" w:eastAsia="Georgia" w:hAnsi="Georgia"/>
          <w:b/>
          <w:bCs/>
          <w:color w:val="8A6D00"/>
          <w:sz w:val="23"/>
          <w:szCs w:val="23"/>
        </w:rPr>
        <w:t xml:space="preserve">YOUR RULING:  </w:t>
      </w:r>
    </w:p>
    <w:p>
      <w:pPr>
        <w:pBdr>
          <w:left w:val="single" w:color="C9A227" w:sz="6"/>
          <w:right w:val="single" w:color="C9A227" w:sz="6"/>
        </w:pBdr>
        <w:shd w:fill="FFF4D6" w:color="auto" w:val="clear"/>
        <w:spacing w:after="40"/>
      </w:pPr>
      <w:r>
        <w:rPr>
          <w:sz w:val="22"/>
          <w:szCs w:val="22"/>
        </w:rPr>
        <w:t xml:space="preserve"> </w:t>
      </w:r>
    </w:p>
    <w:p>
      <w:pPr>
        <w:pBdr>
          <w:left w:val="single" w:color="C9A227" w:sz="6"/>
          <w:right w:val="single" w:color="C9A227" w:sz="6"/>
        </w:pBdr>
        <w:shd w:fill="FFF4D6" w:color="auto" w:val="clear"/>
        <w:spacing w:after="40"/>
      </w:pPr>
      <w:r>
        <w:rPr>
          <w:sz w:val="22"/>
          <w:szCs w:val="22"/>
        </w:rPr>
        <w:t xml:space="preserve"> </w:t>
      </w:r>
    </w:p>
    <w:p>
      <w:pPr>
        <w:pBdr>
          <w:bottom w:val="single" w:color="C9A227" w:sz="6"/>
          <w:left w:val="single" w:color="C9A227" w:sz="6"/>
          <w:right w:val="single" w:color="C9A227" w:sz="6"/>
        </w:pBdr>
        <w:shd w:fill="FFF4D6" w:color="auto" w:val="clear"/>
        <w:spacing w:after="60"/>
      </w:pPr>
      <w:r>
        <w:rPr>
          <w:sz w:val="22"/>
          <w:szCs w:val="22"/>
        </w:rPr>
        <w:t xml:space="preserve"> </w:t>
      </w:r>
    </w:p>
    <w:p>
      <w:pPr>
        <w:pStyle w:val="Heading2"/>
        <w:spacing w:after="120" w:before="260"/>
      </w:pPr>
      <w:r>
        <w:rPr>
          <w:rFonts w:ascii="Georgia" w:cs="Georgia" w:eastAsia="Georgia" w:hAnsi="Georgia"/>
          <w:b/>
          <w:bCs/>
          <w:color w:val="1F3864"/>
          <w:sz w:val="25"/>
          <w:szCs w:val="25"/>
        </w:rPr>
        <w:t xml:space="preserve">Decision 32 — Two small additions from Tilly's 1975 volume</w:t>
      </w:r>
    </w:p>
    <w:p>
      <w:pPr>
        <w:spacing w:after="140"/>
      </w:pPr>
      <w:r>
        <w:rPr>
          <w:rFonts w:ascii="Georgia" w:cs="Georgia" w:eastAsia="Georgia" w:hAnsi="Georgia"/>
          <w:i/>
          <w:iCs/>
          <w:color w:val="777777"/>
          <w:sz w:val="19"/>
          <w:szCs w:val="19"/>
        </w:rPr>
        <w:t xml:space="preserve">Covers rows: 3-f, T75-c; T75-a, T75-b and T75-d are carried at Decision 10 and are not repeated here</w:t>
      </w:r>
    </w:p>
    <w:p>
      <w:pPr>
        <w:spacing w:after="150" w:line="290"/>
      </w:pPr>
      <w:r>
        <w:rPr>
          <w:rFonts w:ascii="Georgia" w:cs="Georgia" w:eastAsia="Georgia" w:hAnsi="Georgia"/>
          <w:b/>
          <w:bCs/>
          <w:sz w:val="22"/>
          <w:szCs w:val="22"/>
        </w:rPr>
        <w:t xml:space="preserve">The background.</w:t>
      </w:r>
      <w:r>
        <w:rPr>
          <w:rFonts w:ascii="Georgia" w:cs="Georgia" w:eastAsia="Georgia" w:hAnsi="Georgia"/>
          <w:sz w:val="22"/>
          <w:szCs w:val="22"/>
        </w:rPr>
        <w:t xml:space="preserve"> Charles Tilly's edited volume </w:t>
      </w:r>
      <w:r>
        <w:rPr>
          <w:rFonts w:ascii="Georgia" w:cs="Georgia" w:eastAsia="Georgia" w:hAnsi="Georgia"/>
          <w:i/>
          <w:iCs/>
          <w:sz w:val="22"/>
          <w:szCs w:val="22"/>
        </w:rPr>
        <w:t xml:space="preserve">The Formation of National States in Western Europe</w:t>
      </w:r>
      <w:r>
        <w:rPr>
          <w:rFonts w:ascii="Georgia" w:cs="Georgia" w:eastAsia="Georgia" w:hAnsi="Georgia"/>
          <w:sz w:val="22"/>
          <w:szCs w:val="22"/>
        </w:rPr>
        <w:t xml:space="preserve"> (Princeton, 1975) was read in full in September. Its main consequences for chapter 10, the concession to Samuel Finer's chapter two, the three-verb formula "abridging, destroying or absorbing", and Tilly's warning against inferring modern sequences from European ones, are handled at Decision 10. Two items remain.</w:t>
      </w:r>
    </w:p>
    <w:p>
      <w:pPr>
        <w:spacing w:after="150" w:line="290"/>
      </w:pPr>
      <w:r>
        <w:rPr>
          <w:rFonts w:ascii="Georgia" w:cs="Georgia" w:eastAsia="Georgia" w:hAnsi="Georgia"/>
          <w:sz w:val="22"/>
          <w:szCs w:val="22"/>
        </w:rPr>
        <w:t xml:space="preserve">The first is chapter 3. Section I states the chapter's thesis as "a composite, and this book marks it as its own synthesis rather than anyone's consensus", assembled from Tilly, Kaminsky and McFarlane. Finer's chapter offers a named frame for the same question: a ruler choosing a military format weighs three considerations, "the effectiveness of the force", "its expense", and "would it be loyal to the ruler?" (pp. 91, 95). Restating the composite on those three lets the synthesis stand visibly as an extension of a named work rather than an unattributed assembly, and the same sentence would take the correction to its conditional clause proposed under item 3-a, whose text I do not have and cannot quote.</w:t>
      </w:r>
    </w:p>
    <w:p>
      <w:pPr>
        <w:spacing w:after="150" w:line="290"/>
      </w:pPr>
      <w:r>
        <w:rPr>
          <w:rFonts w:ascii="Georgia" w:cs="Georgia" w:eastAsia="Georgia" w:hAnsi="Georgia"/>
          <w:sz w:val="22"/>
          <w:szCs w:val="22"/>
        </w:rPr>
        <w:t xml:space="preserve">The second is chapter 10, section VI, the counter-cases. Finer supplies Brandenburg-Prussia, where the Great Elector's excise of 1680 was "indefinitely expansible" and "led to the euthanasia of the Estates" (p. 138): a polity where the tax made the assembly redundant with no artillery in the story at all, the fisc without the gun. Decision 24 already offers Matthias Corvinus as a fifth counter-case, so Brandenburg would be a sixth.</w:t>
      </w:r>
    </w:p>
    <w:p>
      <w:pPr>
        <w:spacing w:after="150" w:line="290"/>
      </w:pPr>
      <w:r>
        <w:rPr>
          <w:rFonts w:ascii="Georgia" w:cs="Georgia" w:eastAsia="Georgia" w:hAnsi="Georgia"/>
          <w:b/>
          <w:bCs/>
          <w:sz w:val="22"/>
          <w:szCs w:val="22"/>
        </w:rPr>
        <w:t xml:space="preserve">Why it matters.</w:t>
      </w:r>
      <w:r>
        <w:rPr>
          <w:rFonts w:ascii="Georgia" w:cs="Georgia" w:eastAsia="Georgia" w:hAnsi="Georgia"/>
          <w:sz w:val="22"/>
          <w:szCs w:val="22"/>
        </w:rPr>
        <w:t xml:space="preserve"> Small. Both are questions of manners: whether a synthesis names the frame it extends, and whether the comparative register carries the one case that isolates the fiscal limb from the military one. A reviewer who knows Finer would notice the first; the second strengthens the book's own discipline.</w:t>
      </w:r>
    </w:p>
    <w:p>
      <w:pPr>
        <w:spacing w:after="150" w:line="290"/>
      </w:pPr>
      <w:r>
        <w:rPr>
          <w:rFonts w:ascii="Georgia" w:cs="Georgia" w:eastAsia="Georgia" w:hAnsi="Georgia"/>
          <w:b/>
          <w:bCs/>
          <w:sz w:val="22"/>
          <w:szCs w:val="22"/>
        </w:rPr>
        <w:t xml:space="preserve">Your choices.</w:t>
      </w:r>
      <w:r>
        <w:rPr>
          <w:rFonts w:ascii="Georgia" w:cs="Georgia" w:eastAsia="Georgia" w:hAnsi="Georgia"/>
          <w:sz w:val="22"/>
          <w:szCs w:val="22"/>
        </w:rPr>
        <w:t xml:space="preserve"> Choice A takes both: the composite restated on effectiveness, expense and loyalty, and Brandenburg added at footnote length. Choice B takes the chapter 3 restatement and declines Brandenburg, leaving section VI at its present number, on the ground that a case without guns tests the fisc and not the mechanism.</w:t>
      </w:r>
    </w:p>
    <w:p>
      <w:pPr>
        <w:spacing w:after="150" w:line="290"/>
      </w:pPr>
      <w:r>
        <w:rPr>
          <w:rFonts w:ascii="Georgia" w:cs="Georgia" w:eastAsia="Georgia" w:hAnsi="Georgia"/>
          <w:b/>
          <w:bCs/>
          <w:sz w:val="22"/>
          <w:szCs w:val="22"/>
        </w:rPr>
        <w:t xml:space="preserve">My view.</w:t>
      </w:r>
      <w:r>
        <w:rPr>
          <w:rFonts w:ascii="Georgia" w:cs="Georgia" w:eastAsia="Georgia" w:hAnsi="Georgia"/>
          <w:sz w:val="22"/>
          <w:szCs w:val="22"/>
        </w:rPr>
        <w:t xml:space="preserve"> Choice A; the Brandenburg footnote is the cheapest honest test the section can carry. This is a view.</w:t>
      </w:r>
    </w:p>
    <w:p>
      <w:pPr>
        <w:pBdr>
          <w:top w:val="single" w:color="C9A227" w:sz="6"/>
          <w:left w:val="single" w:color="C9A227" w:sz="6"/>
          <w:right w:val="single" w:color="C9A227" w:sz="6"/>
        </w:pBdr>
        <w:shd w:fill="FFF4D6" w:color="auto" w:val="clear"/>
        <w:spacing w:after="60" w:before="200"/>
      </w:pPr>
      <w:r>
        <w:rPr>
          <w:rFonts w:ascii="Georgia" w:cs="Georgia" w:eastAsia="Georgia" w:hAnsi="Georgia"/>
          <w:b/>
          <w:bCs/>
          <w:color w:val="8A6D00"/>
          <w:sz w:val="23"/>
          <w:szCs w:val="23"/>
        </w:rPr>
        <w:t xml:space="preserve">YOUR RULING:  </w:t>
      </w:r>
    </w:p>
    <w:p>
      <w:pPr>
        <w:pBdr>
          <w:left w:val="single" w:color="C9A227" w:sz="6"/>
          <w:right w:val="single" w:color="C9A227" w:sz="6"/>
        </w:pBdr>
        <w:shd w:fill="FFF4D6" w:color="auto" w:val="clear"/>
        <w:spacing w:after="40"/>
      </w:pPr>
      <w:r>
        <w:rPr>
          <w:sz w:val="22"/>
          <w:szCs w:val="22"/>
        </w:rPr>
        <w:t xml:space="preserve"> </w:t>
      </w:r>
    </w:p>
    <w:p>
      <w:pPr>
        <w:pBdr>
          <w:left w:val="single" w:color="C9A227" w:sz="6"/>
          <w:right w:val="single" w:color="C9A227" w:sz="6"/>
        </w:pBdr>
        <w:shd w:fill="FFF4D6" w:color="auto" w:val="clear"/>
        <w:spacing w:after="40"/>
      </w:pPr>
      <w:r>
        <w:rPr>
          <w:sz w:val="22"/>
          <w:szCs w:val="22"/>
        </w:rPr>
        <w:t xml:space="preserve"> </w:t>
      </w:r>
    </w:p>
    <w:p>
      <w:pPr>
        <w:pBdr>
          <w:bottom w:val="single" w:color="C9A227" w:sz="6"/>
          <w:left w:val="single" w:color="C9A227" w:sz="6"/>
          <w:right w:val="single" w:color="C9A227" w:sz="6"/>
        </w:pBdr>
        <w:shd w:fill="FFF4D6" w:color="auto" w:val="clear"/>
        <w:spacing w:after="60"/>
      </w:pPr>
      <w:r>
        <w:rPr>
          <w:sz w:val="22"/>
          <w:szCs w:val="22"/>
        </w:rPr>
        <w:t xml:space="preserve"> </w:t>
      </w:r>
    </w:p>
    <w:p>
      <w:pPr>
        <w:pStyle w:val="Heading1"/>
        <w:pageBreakBefore/>
        <w:spacing w:after="200" w:before="0"/>
      </w:pPr>
      <w:r>
        <w:rPr>
          <w:rFonts w:ascii="Georgia" w:cs="Georgia" w:eastAsia="Georgia" w:hAnsi="Georgia"/>
          <w:b/>
          <w:bCs/>
          <w:color w:val="1F3864"/>
          <w:sz w:val="32"/>
          <w:szCs w:val="32"/>
        </w:rPr>
        <w:t xml:space="preserve">Your answers at a glance</w:t>
      </w:r>
    </w:p>
    <w:p>
      <w:pPr>
        <w:spacing w:after="150" w:line="290"/>
      </w:pPr>
      <w:r>
        <w:rPr>
          <w:rFonts w:ascii="Georgia" w:cs="Georgia" w:eastAsia="Georgia" w:hAnsi="Georgia"/>
          <w:sz w:val="22"/>
          <w:szCs w:val="22"/>
        </w:rPr>
        <w:t xml:space="preserve">If you would rather answer in one place, write each ruling here. The letter of the choice is enough; add words where you want to.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5300"/>
        <w:gridCol w:w="3000"/>
      </w:tblGrid>
      <w:tr>
        <w:trPr>
          <w:tblHeader/>
        </w:trPr>
        <w:tc>
          <w:tcPr>
            <w:tcW w:type="dxa" w:w="900"/>
            <w:shd w:fill="E8EDF5" w:color="auto" w:val="clear"/>
            <w:tcMar>
              <w:top w:type="dxa" w:w="80"/>
              <w:left w:type="dxa" w:w="100"/>
              <w:bottom w:type="dxa" w:w="80"/>
              <w:right w:type="dxa" w:w="100"/>
            </w:tcMar>
          </w:tcPr>
          <w:p>
            <w:r>
              <w:rPr>
                <w:rFonts w:ascii="Georgia" w:cs="Georgia" w:eastAsia="Georgia" w:hAnsi="Georgia"/>
                <w:b/>
                <w:bCs/>
                <w:sz w:val="19"/>
                <w:szCs w:val="19"/>
              </w:rPr>
              <w:t xml:space="preserve">No.</w:t>
            </w:r>
          </w:p>
        </w:tc>
        <w:tc>
          <w:tcPr>
            <w:tcW w:type="dxa" w:w="5300"/>
            <w:shd w:fill="E8EDF5" w:color="auto" w:val="clear"/>
            <w:tcMar>
              <w:top w:type="dxa" w:w="80"/>
              <w:left w:type="dxa" w:w="100"/>
              <w:bottom w:type="dxa" w:w="80"/>
              <w:right w:type="dxa" w:w="100"/>
            </w:tcMar>
          </w:tcPr>
          <w:p>
            <w:r>
              <w:rPr>
                <w:rFonts w:ascii="Georgia" w:cs="Georgia" w:eastAsia="Georgia" w:hAnsi="Georgia"/>
                <w:b/>
                <w:bCs/>
                <w:sz w:val="19"/>
                <w:szCs w:val="19"/>
              </w:rPr>
              <w:t xml:space="preserve">Decision</w:t>
            </w:r>
          </w:p>
        </w:tc>
        <w:tc>
          <w:tcPr>
            <w:tcW w:type="dxa" w:w="3000"/>
            <w:shd w:fill="E8EDF5" w:color="auto" w:val="clear"/>
            <w:tcMar>
              <w:top w:type="dxa" w:w="80"/>
              <w:left w:type="dxa" w:w="100"/>
              <w:bottom w:type="dxa" w:w="80"/>
              <w:right w:type="dxa" w:w="100"/>
            </w:tcMar>
          </w:tcPr>
          <w:p>
            <w:r>
              <w:rPr>
                <w:rFonts w:ascii="Georgia" w:cs="Georgia" w:eastAsia="Georgia" w:hAnsi="Georgia"/>
                <w:b/>
                <w:bCs/>
                <w:sz w:val="19"/>
                <w:szCs w:val="19"/>
              </w:rPr>
              <w:t xml:space="preserve">Your ruling</w:t>
            </w:r>
          </w:p>
        </w:tc>
      </w:tr>
      <w:tr>
        <w:tc>
          <w:tcPr>
            <w:tcW w:type="dxa" w:w="900"/>
            <w:tcMar>
              <w:top w:type="dxa" w:w="80"/>
              <w:left w:type="dxa" w:w="100"/>
              <w:bottom w:type="dxa" w:w="80"/>
              <w:right w:type="dxa" w:w="100"/>
            </w:tcMar>
          </w:tcPr>
          <w:p>
            <w:r>
              <w:rPr>
                <w:rFonts w:ascii="Georgia" w:cs="Georgia" w:eastAsia="Georgia" w:hAnsi="Georgia"/>
                <w:sz w:val="19"/>
                <w:szCs w:val="19"/>
              </w:rPr>
              <w:t xml:space="preserve">1</w:t>
            </w:r>
          </w:p>
        </w:tc>
        <w:tc>
          <w:tcPr>
            <w:tcW w:type="dxa" w:w="5300"/>
            <w:tcMar>
              <w:top w:type="dxa" w:w="80"/>
              <w:left w:type="dxa" w:w="100"/>
              <w:bottom w:type="dxa" w:w="80"/>
              <w:right w:type="dxa" w:w="100"/>
            </w:tcMar>
          </w:tcPr>
          <w:p>
            <w:r>
              <w:rPr>
                <w:rFonts w:ascii="Georgia" w:cs="Georgia" w:eastAsia="Georgia" w:hAnsi="Georgia"/>
                <w:sz w:val="19"/>
                <w:szCs w:val="19"/>
              </w:rPr>
              <w:t xml:space="preserve">The name "ornamental democracy": whose idea it is, and how to introduce it</w:t>
            </w:r>
          </w:p>
        </w:tc>
        <w:tc>
          <w:tcPr>
            <w:tcW w:type="dxa" w:w="3000"/>
            <w:shd w:fill="FFF4D6" w:color="auto" w:val="clear"/>
            <w:tcMar>
              <w:top w:type="dxa" w:w="80"/>
              <w:left w:type="dxa" w:w="100"/>
              <w:bottom w:type="dxa" w:w="80"/>
              <w:right w:type="dxa" w:w="100"/>
            </w:tcMar>
          </w:tcPr>
          <w:p>
            <w:r>
              <w:rPr>
                <w:rFonts w:ascii="Georgia" w:cs="Georgia" w:eastAsia="Georgia" w:hAnsi="Georgia"/>
                <w:sz w:val="19"/>
                <w:szCs w:val="19"/>
              </w:rPr>
              <w:t xml:space="preserve"/>
            </w:r>
          </w:p>
        </w:tc>
      </w:tr>
      <w:tr>
        <w:tc>
          <w:tcPr>
            <w:tcW w:type="dxa" w:w="900"/>
            <w:tcMar>
              <w:top w:type="dxa" w:w="80"/>
              <w:left w:type="dxa" w:w="100"/>
              <w:bottom w:type="dxa" w:w="80"/>
              <w:right w:type="dxa" w:w="100"/>
            </w:tcMar>
          </w:tcPr>
          <w:p>
            <w:r>
              <w:rPr>
                <w:rFonts w:ascii="Georgia" w:cs="Georgia" w:eastAsia="Georgia" w:hAnsi="Georgia"/>
                <w:sz w:val="19"/>
                <w:szCs w:val="19"/>
              </w:rPr>
              <w:t xml:space="preserve">2</w:t>
            </w:r>
          </w:p>
        </w:tc>
        <w:tc>
          <w:tcPr>
            <w:tcW w:type="dxa" w:w="5300"/>
            <w:tcMar>
              <w:top w:type="dxa" w:w="80"/>
              <w:left w:type="dxa" w:w="100"/>
              <w:bottom w:type="dxa" w:w="80"/>
              <w:right w:type="dxa" w:w="100"/>
            </w:tcMar>
          </w:tcPr>
          <w:p>
            <w:r>
              <w:rPr>
                <w:rFonts w:ascii="Georgia" w:cs="Georgia" w:eastAsia="Georgia" w:hAnsi="Georgia"/>
                <w:sz w:val="19"/>
                <w:szCs w:val="19"/>
              </w:rPr>
              <w:t xml:space="preserve">Where the book's real ending lives in chapter 12</w:t>
            </w:r>
          </w:p>
        </w:tc>
        <w:tc>
          <w:tcPr>
            <w:tcW w:type="dxa" w:w="3000"/>
            <w:shd w:fill="FFF4D6" w:color="auto" w:val="clear"/>
            <w:tcMar>
              <w:top w:type="dxa" w:w="80"/>
              <w:left w:type="dxa" w:w="100"/>
              <w:bottom w:type="dxa" w:w="80"/>
              <w:right w:type="dxa" w:w="100"/>
            </w:tcMar>
          </w:tcPr>
          <w:p>
            <w:r>
              <w:rPr>
                <w:rFonts w:ascii="Georgia" w:cs="Georgia" w:eastAsia="Georgia" w:hAnsi="Georgia"/>
                <w:sz w:val="19"/>
                <w:szCs w:val="19"/>
              </w:rPr>
              <w:t xml:space="preserve"/>
            </w:r>
          </w:p>
        </w:tc>
      </w:tr>
      <w:tr>
        <w:tc>
          <w:tcPr>
            <w:tcW w:type="dxa" w:w="900"/>
            <w:tcMar>
              <w:top w:type="dxa" w:w="80"/>
              <w:left w:type="dxa" w:w="100"/>
              <w:bottom w:type="dxa" w:w="80"/>
              <w:right w:type="dxa" w:w="100"/>
            </w:tcMar>
          </w:tcPr>
          <w:p>
            <w:r>
              <w:rPr>
                <w:rFonts w:ascii="Georgia" w:cs="Georgia" w:eastAsia="Georgia" w:hAnsi="Georgia"/>
                <w:sz w:val="19"/>
                <w:szCs w:val="19"/>
              </w:rPr>
              <w:t xml:space="preserve">3</w:t>
            </w:r>
          </w:p>
        </w:tc>
        <w:tc>
          <w:tcPr>
            <w:tcW w:type="dxa" w:w="5300"/>
            <w:tcMar>
              <w:top w:type="dxa" w:w="80"/>
              <w:left w:type="dxa" w:w="100"/>
              <w:bottom w:type="dxa" w:w="80"/>
              <w:right w:type="dxa" w:w="100"/>
            </w:tcMar>
          </w:tcPr>
          <w:p>
            <w:r>
              <w:rPr>
                <w:rFonts w:ascii="Georgia" w:cs="Georgia" w:eastAsia="Georgia" w:hAnsi="Georgia"/>
                <w:sz w:val="19"/>
                <w:szCs w:val="19"/>
              </w:rPr>
              <w:t xml:space="preserve">The Coda's fifth disclaimer</w:t>
            </w:r>
          </w:p>
        </w:tc>
        <w:tc>
          <w:tcPr>
            <w:tcW w:type="dxa" w:w="3000"/>
            <w:shd w:fill="FFF4D6" w:color="auto" w:val="clear"/>
            <w:tcMar>
              <w:top w:type="dxa" w:w="80"/>
              <w:left w:type="dxa" w:w="100"/>
              <w:bottom w:type="dxa" w:w="80"/>
              <w:right w:type="dxa" w:w="100"/>
            </w:tcMar>
          </w:tcPr>
          <w:p>
            <w:r>
              <w:rPr>
                <w:rFonts w:ascii="Georgia" w:cs="Georgia" w:eastAsia="Georgia" w:hAnsi="Georgia"/>
                <w:sz w:val="19"/>
                <w:szCs w:val="19"/>
              </w:rPr>
              <w:t xml:space="preserve"/>
            </w:r>
          </w:p>
        </w:tc>
      </w:tr>
      <w:tr>
        <w:tc>
          <w:tcPr>
            <w:tcW w:type="dxa" w:w="900"/>
            <w:tcMar>
              <w:top w:type="dxa" w:w="80"/>
              <w:left w:type="dxa" w:w="100"/>
              <w:bottom w:type="dxa" w:w="80"/>
              <w:right w:type="dxa" w:w="100"/>
            </w:tcMar>
          </w:tcPr>
          <w:p>
            <w:r>
              <w:rPr>
                <w:rFonts w:ascii="Georgia" w:cs="Georgia" w:eastAsia="Georgia" w:hAnsi="Georgia"/>
                <w:sz w:val="19"/>
                <w:szCs w:val="19"/>
              </w:rPr>
              <w:t xml:space="preserve">4</w:t>
            </w:r>
          </w:p>
        </w:tc>
        <w:tc>
          <w:tcPr>
            <w:tcW w:type="dxa" w:w="5300"/>
            <w:tcMar>
              <w:top w:type="dxa" w:w="80"/>
              <w:left w:type="dxa" w:w="100"/>
              <w:bottom w:type="dxa" w:w="80"/>
              <w:right w:type="dxa" w:w="100"/>
            </w:tcMar>
          </w:tcPr>
          <w:p>
            <w:r>
              <w:rPr>
                <w:rFonts w:ascii="Georgia" w:cs="Georgia" w:eastAsia="Georgia" w:hAnsi="Georgia"/>
                <w:sz w:val="19"/>
                <w:szCs w:val="19"/>
              </w:rPr>
              <w:t xml:space="preserve">Conceding when the state does NOT acquire the stack: "decisive AND inescapable"</w:t>
            </w:r>
          </w:p>
        </w:tc>
        <w:tc>
          <w:tcPr>
            <w:tcW w:type="dxa" w:w="3000"/>
            <w:shd w:fill="FFF4D6" w:color="auto" w:val="clear"/>
            <w:tcMar>
              <w:top w:type="dxa" w:w="80"/>
              <w:left w:type="dxa" w:w="100"/>
              <w:bottom w:type="dxa" w:w="80"/>
              <w:right w:type="dxa" w:w="100"/>
            </w:tcMar>
          </w:tcPr>
          <w:p>
            <w:r>
              <w:rPr>
                <w:rFonts w:ascii="Georgia" w:cs="Georgia" w:eastAsia="Georgia" w:hAnsi="Georgia"/>
                <w:sz w:val="19"/>
                <w:szCs w:val="19"/>
              </w:rPr>
              <w:t xml:space="preserve"/>
            </w:r>
          </w:p>
        </w:tc>
      </w:tr>
      <w:tr>
        <w:tc>
          <w:tcPr>
            <w:tcW w:type="dxa" w:w="900"/>
            <w:tcMar>
              <w:top w:type="dxa" w:w="80"/>
              <w:left w:type="dxa" w:w="100"/>
              <w:bottom w:type="dxa" w:w="80"/>
              <w:right w:type="dxa" w:w="100"/>
            </w:tcMar>
          </w:tcPr>
          <w:p>
            <w:r>
              <w:rPr>
                <w:rFonts w:ascii="Georgia" w:cs="Georgia" w:eastAsia="Georgia" w:hAnsi="Georgia"/>
                <w:sz w:val="19"/>
                <w:szCs w:val="19"/>
              </w:rPr>
              <w:t xml:space="preserve">5</w:t>
            </w:r>
          </w:p>
        </w:tc>
        <w:tc>
          <w:tcPr>
            <w:tcW w:type="dxa" w:w="5300"/>
            <w:tcMar>
              <w:top w:type="dxa" w:w="80"/>
              <w:left w:type="dxa" w:w="100"/>
              <w:bottom w:type="dxa" w:w="80"/>
              <w:right w:type="dxa" w:w="100"/>
            </w:tcMar>
          </w:tcPr>
          <w:p>
            <w:r>
              <w:rPr>
                <w:rFonts w:ascii="Georgia" w:cs="Georgia" w:eastAsia="Georgia" w:hAnsi="Georgia"/>
                <w:sz w:val="19"/>
                <w:szCs w:val="19"/>
              </w:rPr>
              <w:t xml:space="preserve">Where the modern analogy stops: administration yes, representation no</w:t>
            </w:r>
          </w:p>
        </w:tc>
        <w:tc>
          <w:tcPr>
            <w:tcW w:type="dxa" w:w="3000"/>
            <w:shd w:fill="FFF4D6" w:color="auto" w:val="clear"/>
            <w:tcMar>
              <w:top w:type="dxa" w:w="80"/>
              <w:left w:type="dxa" w:w="100"/>
              <w:bottom w:type="dxa" w:w="80"/>
              <w:right w:type="dxa" w:w="100"/>
            </w:tcMar>
          </w:tcPr>
          <w:p>
            <w:r>
              <w:rPr>
                <w:rFonts w:ascii="Georgia" w:cs="Georgia" w:eastAsia="Georgia" w:hAnsi="Georgia"/>
                <w:sz w:val="19"/>
                <w:szCs w:val="19"/>
              </w:rPr>
              <w:t xml:space="preserve"/>
            </w:r>
          </w:p>
        </w:tc>
      </w:tr>
      <w:tr>
        <w:tc>
          <w:tcPr>
            <w:tcW w:type="dxa" w:w="900"/>
            <w:tcMar>
              <w:top w:type="dxa" w:w="80"/>
              <w:left w:type="dxa" w:w="100"/>
              <w:bottom w:type="dxa" w:w="80"/>
              <w:right w:type="dxa" w:w="100"/>
            </w:tcMar>
          </w:tcPr>
          <w:p>
            <w:r>
              <w:rPr>
                <w:rFonts w:ascii="Georgia" w:cs="Georgia" w:eastAsia="Georgia" w:hAnsi="Georgia"/>
                <w:sz w:val="19"/>
                <w:szCs w:val="19"/>
              </w:rPr>
              <w:t xml:space="preserve">6</w:t>
            </w:r>
          </w:p>
        </w:tc>
        <w:tc>
          <w:tcPr>
            <w:tcW w:type="dxa" w:w="5300"/>
            <w:tcMar>
              <w:top w:type="dxa" w:w="80"/>
              <w:left w:type="dxa" w:w="100"/>
              <w:bottom w:type="dxa" w:w="80"/>
              <w:right w:type="dxa" w:w="100"/>
            </w:tcMar>
          </w:tcPr>
          <w:p>
            <w:r>
              <w:rPr>
                <w:rFonts w:ascii="Georgia" w:cs="Georgia" w:eastAsia="Georgia" w:hAnsi="Georgia"/>
                <w:sz w:val="19"/>
                <w:szCs w:val="19"/>
              </w:rPr>
              <w:t xml:space="preserve">The trust-busting sentence and the deregulation record</w:t>
            </w:r>
          </w:p>
        </w:tc>
        <w:tc>
          <w:tcPr>
            <w:tcW w:type="dxa" w:w="3000"/>
            <w:shd w:fill="FFF4D6" w:color="auto" w:val="clear"/>
            <w:tcMar>
              <w:top w:type="dxa" w:w="80"/>
              <w:left w:type="dxa" w:w="100"/>
              <w:bottom w:type="dxa" w:w="80"/>
              <w:right w:type="dxa" w:w="100"/>
            </w:tcMar>
          </w:tcPr>
          <w:p>
            <w:r>
              <w:rPr>
                <w:rFonts w:ascii="Georgia" w:cs="Georgia" w:eastAsia="Georgia" w:hAnsi="Georgia"/>
                <w:sz w:val="19"/>
                <w:szCs w:val="19"/>
              </w:rPr>
              <w:t xml:space="preserve"/>
            </w:r>
          </w:p>
        </w:tc>
      </w:tr>
      <w:tr>
        <w:tc>
          <w:tcPr>
            <w:tcW w:type="dxa" w:w="900"/>
            <w:tcMar>
              <w:top w:type="dxa" w:w="80"/>
              <w:left w:type="dxa" w:w="100"/>
              <w:bottom w:type="dxa" w:w="80"/>
              <w:right w:type="dxa" w:w="100"/>
            </w:tcMar>
          </w:tcPr>
          <w:p>
            <w:r>
              <w:rPr>
                <w:rFonts w:ascii="Georgia" w:cs="Georgia" w:eastAsia="Georgia" w:hAnsi="Georgia"/>
                <w:sz w:val="19"/>
                <w:szCs w:val="19"/>
              </w:rPr>
              <w:t xml:space="preserve">7</w:t>
            </w:r>
          </w:p>
        </w:tc>
        <w:tc>
          <w:tcPr>
            <w:tcW w:type="dxa" w:w="5300"/>
            <w:tcMar>
              <w:top w:type="dxa" w:w="80"/>
              <w:left w:type="dxa" w:w="100"/>
              <w:bottom w:type="dxa" w:w="80"/>
              <w:right w:type="dxa" w:w="100"/>
            </w:tcMar>
          </w:tcPr>
          <w:p>
            <w:r>
              <w:rPr>
                <w:rFonts w:ascii="Georgia" w:cs="Georgia" w:eastAsia="Georgia" w:hAnsi="Georgia"/>
                <w:sz w:val="19"/>
                <w:szCs w:val="19"/>
              </w:rPr>
              <w:t xml:space="preserve">Which half of the reassertion has already happened: the "layered tense"</w:t>
            </w:r>
          </w:p>
        </w:tc>
        <w:tc>
          <w:tcPr>
            <w:tcW w:type="dxa" w:w="3000"/>
            <w:shd w:fill="FFF4D6" w:color="auto" w:val="clear"/>
            <w:tcMar>
              <w:top w:type="dxa" w:w="80"/>
              <w:left w:type="dxa" w:w="100"/>
              <w:bottom w:type="dxa" w:w="80"/>
              <w:right w:type="dxa" w:w="100"/>
            </w:tcMar>
          </w:tcPr>
          <w:p>
            <w:r>
              <w:rPr>
                <w:rFonts w:ascii="Georgia" w:cs="Georgia" w:eastAsia="Georgia" w:hAnsi="Georgia"/>
                <w:sz w:val="19"/>
                <w:szCs w:val="19"/>
              </w:rPr>
              <w:t xml:space="preserve"/>
            </w:r>
          </w:p>
        </w:tc>
      </w:tr>
      <w:tr>
        <w:tc>
          <w:tcPr>
            <w:tcW w:type="dxa" w:w="900"/>
            <w:tcMar>
              <w:top w:type="dxa" w:w="80"/>
              <w:left w:type="dxa" w:w="100"/>
              <w:bottom w:type="dxa" w:w="80"/>
              <w:right w:type="dxa" w:w="100"/>
            </w:tcMar>
          </w:tcPr>
          <w:p>
            <w:r>
              <w:rPr>
                <w:rFonts w:ascii="Georgia" w:cs="Georgia" w:eastAsia="Georgia" w:hAnsi="Georgia"/>
                <w:sz w:val="19"/>
                <w:szCs w:val="19"/>
              </w:rPr>
              <w:t xml:space="preserve">8</w:t>
            </w:r>
          </w:p>
        </w:tc>
        <w:tc>
          <w:tcPr>
            <w:tcW w:type="dxa" w:w="5300"/>
            <w:tcMar>
              <w:top w:type="dxa" w:w="80"/>
              <w:left w:type="dxa" w:w="100"/>
              <w:bottom w:type="dxa" w:w="80"/>
              <w:right w:type="dxa" w:w="100"/>
            </w:tcMar>
          </w:tcPr>
          <w:p>
            <w:r>
              <w:rPr>
                <w:rFonts w:ascii="Georgia" w:cs="Georgia" w:eastAsia="Georgia" w:hAnsi="Georgia"/>
                <w:sz w:val="19"/>
                <w:szCs w:val="19"/>
              </w:rPr>
              <w:t xml:space="preserve">England: the 1530s or the 1690s</w:t>
            </w:r>
          </w:p>
        </w:tc>
        <w:tc>
          <w:tcPr>
            <w:tcW w:type="dxa" w:w="3000"/>
            <w:shd w:fill="FFF4D6" w:color="auto" w:val="clear"/>
            <w:tcMar>
              <w:top w:type="dxa" w:w="80"/>
              <w:left w:type="dxa" w:w="100"/>
              <w:bottom w:type="dxa" w:w="80"/>
              <w:right w:type="dxa" w:w="100"/>
            </w:tcMar>
          </w:tcPr>
          <w:p>
            <w:r>
              <w:rPr>
                <w:rFonts w:ascii="Georgia" w:cs="Georgia" w:eastAsia="Georgia" w:hAnsi="Georgia"/>
                <w:sz w:val="19"/>
                <w:szCs w:val="19"/>
              </w:rPr>
              <w:t xml:space="preserve"/>
            </w:r>
          </w:p>
        </w:tc>
      </w:tr>
      <w:tr>
        <w:tc>
          <w:tcPr>
            <w:tcW w:type="dxa" w:w="900"/>
            <w:tcMar>
              <w:top w:type="dxa" w:w="80"/>
              <w:left w:type="dxa" w:w="100"/>
              <w:bottom w:type="dxa" w:w="80"/>
              <w:right w:type="dxa" w:w="100"/>
            </w:tcMar>
          </w:tcPr>
          <w:p>
            <w:r>
              <w:rPr>
                <w:rFonts w:ascii="Georgia" w:cs="Georgia" w:eastAsia="Georgia" w:hAnsi="Georgia"/>
                <w:sz w:val="19"/>
                <w:szCs w:val="19"/>
              </w:rPr>
              <w:t xml:space="preserve">9</w:t>
            </w:r>
          </w:p>
        </w:tc>
        <w:tc>
          <w:tcPr>
            <w:tcW w:type="dxa" w:w="5300"/>
            <w:tcMar>
              <w:top w:type="dxa" w:w="80"/>
              <w:left w:type="dxa" w:w="100"/>
              <w:bottom w:type="dxa" w:w="80"/>
              <w:right w:type="dxa" w:w="100"/>
            </w:tcMar>
          </w:tcPr>
          <w:p>
            <w:r>
              <w:rPr>
                <w:rFonts w:ascii="Georgia" w:cs="Georgia" w:eastAsia="Georgia" w:hAnsi="Georgia"/>
                <w:sz w:val="19"/>
                <w:szCs w:val="19"/>
              </w:rPr>
              <w:t xml:space="preserve">Three smaller England points</w:t>
            </w:r>
          </w:p>
        </w:tc>
        <w:tc>
          <w:tcPr>
            <w:tcW w:type="dxa" w:w="3000"/>
            <w:shd w:fill="FFF4D6" w:color="auto" w:val="clear"/>
            <w:tcMar>
              <w:top w:type="dxa" w:w="80"/>
              <w:left w:type="dxa" w:w="100"/>
              <w:bottom w:type="dxa" w:w="80"/>
              <w:right w:type="dxa" w:w="100"/>
            </w:tcMar>
          </w:tcPr>
          <w:p>
            <w:r>
              <w:rPr>
                <w:rFonts w:ascii="Georgia" w:cs="Georgia" w:eastAsia="Georgia" w:hAnsi="Georgia"/>
                <w:sz w:val="19"/>
                <w:szCs w:val="19"/>
              </w:rPr>
              <w:t xml:space="preserve"/>
            </w:r>
          </w:p>
        </w:tc>
      </w:tr>
      <w:tr>
        <w:tc>
          <w:tcPr>
            <w:tcW w:type="dxa" w:w="900"/>
            <w:tcMar>
              <w:top w:type="dxa" w:w="80"/>
              <w:left w:type="dxa" w:w="100"/>
              <w:bottom w:type="dxa" w:w="80"/>
              <w:right w:type="dxa" w:w="100"/>
            </w:tcMar>
          </w:tcPr>
          <w:p>
            <w:r>
              <w:rPr>
                <w:rFonts w:ascii="Georgia" w:cs="Georgia" w:eastAsia="Georgia" w:hAnsi="Georgia"/>
                <w:sz w:val="19"/>
                <w:szCs w:val="19"/>
              </w:rPr>
              <w:t xml:space="preserve">10</w:t>
            </w:r>
          </w:p>
        </w:tc>
        <w:tc>
          <w:tcPr>
            <w:tcW w:type="dxa" w:w="5300"/>
            <w:tcMar>
              <w:top w:type="dxa" w:w="80"/>
              <w:left w:type="dxa" w:w="100"/>
              <w:bottom w:type="dxa" w:w="80"/>
              <w:right w:type="dxa" w:w="100"/>
            </w:tcMar>
          </w:tcPr>
          <w:p>
            <w:r>
              <w:rPr>
                <w:rFonts w:ascii="Georgia" w:cs="Georgia" w:eastAsia="Georgia" w:hAnsi="Georgia"/>
                <w:sz w:val="19"/>
                <w:szCs w:val="19"/>
              </w:rPr>
              <w:t xml:space="preserve">What "the ratchet" is, and whose thesis it is: artillery only, or capital-intensity in general; Finer, Bean and Tilly as predecessors</w:t>
            </w:r>
          </w:p>
        </w:tc>
        <w:tc>
          <w:tcPr>
            <w:tcW w:type="dxa" w:w="3000"/>
            <w:shd w:fill="FFF4D6" w:color="auto" w:val="clear"/>
            <w:tcMar>
              <w:top w:type="dxa" w:w="80"/>
              <w:left w:type="dxa" w:w="100"/>
              <w:bottom w:type="dxa" w:w="80"/>
              <w:right w:type="dxa" w:w="100"/>
            </w:tcMar>
          </w:tcPr>
          <w:p>
            <w:r>
              <w:rPr>
                <w:rFonts w:ascii="Georgia" w:cs="Georgia" w:eastAsia="Georgia" w:hAnsi="Georgia"/>
                <w:sz w:val="19"/>
                <w:szCs w:val="19"/>
              </w:rPr>
              <w:t xml:space="preserve"/>
            </w:r>
          </w:p>
        </w:tc>
      </w:tr>
      <w:tr>
        <w:tc>
          <w:tcPr>
            <w:tcW w:type="dxa" w:w="900"/>
            <w:tcMar>
              <w:top w:type="dxa" w:w="80"/>
              <w:left w:type="dxa" w:w="100"/>
              <w:bottom w:type="dxa" w:w="80"/>
              <w:right w:type="dxa" w:w="100"/>
            </w:tcMar>
          </w:tcPr>
          <w:p>
            <w:r>
              <w:rPr>
                <w:rFonts w:ascii="Georgia" w:cs="Georgia" w:eastAsia="Georgia" w:hAnsi="Georgia"/>
                <w:sz w:val="19"/>
                <w:szCs w:val="19"/>
              </w:rPr>
              <w:t xml:space="preserve">11</w:t>
            </w:r>
          </w:p>
        </w:tc>
        <w:tc>
          <w:tcPr>
            <w:tcW w:type="dxa" w:w="5300"/>
            <w:tcMar>
              <w:top w:type="dxa" w:w="80"/>
              <w:left w:type="dxa" w:w="100"/>
              <w:bottom w:type="dxa" w:w="80"/>
              <w:right w:type="dxa" w:w="100"/>
            </w:tcMar>
          </w:tcPr>
          <w:p>
            <w:r>
              <w:rPr>
                <w:rFonts w:ascii="Georgia" w:cs="Georgia" w:eastAsia="Georgia" w:hAnsi="Georgia"/>
                <w:sz w:val="19"/>
                <w:szCs w:val="19"/>
              </w:rPr>
              <w:t xml:space="preserve">Tilly did not ignore the artillery thesis; he rejected it</w:t>
            </w:r>
          </w:p>
        </w:tc>
        <w:tc>
          <w:tcPr>
            <w:tcW w:type="dxa" w:w="3000"/>
            <w:shd w:fill="FFF4D6" w:color="auto" w:val="clear"/>
            <w:tcMar>
              <w:top w:type="dxa" w:w="80"/>
              <w:left w:type="dxa" w:w="100"/>
              <w:bottom w:type="dxa" w:w="80"/>
              <w:right w:type="dxa" w:w="100"/>
            </w:tcMar>
          </w:tcPr>
          <w:p>
            <w:r>
              <w:rPr>
                <w:rFonts w:ascii="Georgia" w:cs="Georgia" w:eastAsia="Georgia" w:hAnsi="Georgia"/>
                <w:sz w:val="19"/>
                <w:szCs w:val="19"/>
              </w:rPr>
              <w:t xml:space="preserve"/>
            </w:r>
          </w:p>
        </w:tc>
      </w:tr>
      <w:tr>
        <w:tc>
          <w:tcPr>
            <w:tcW w:type="dxa" w:w="900"/>
            <w:tcMar>
              <w:top w:type="dxa" w:w="80"/>
              <w:left w:type="dxa" w:w="100"/>
              <w:bottom w:type="dxa" w:w="80"/>
              <w:right w:type="dxa" w:w="100"/>
            </w:tcMar>
          </w:tcPr>
          <w:p>
            <w:r>
              <w:rPr>
                <w:rFonts w:ascii="Georgia" w:cs="Georgia" w:eastAsia="Georgia" w:hAnsi="Georgia"/>
                <w:sz w:val="19"/>
                <w:szCs w:val="19"/>
              </w:rPr>
              <w:t xml:space="preserve">12</w:t>
            </w:r>
          </w:p>
        </w:tc>
        <w:tc>
          <w:tcPr>
            <w:tcW w:type="dxa" w:w="5300"/>
            <w:tcMar>
              <w:top w:type="dxa" w:w="80"/>
              <w:left w:type="dxa" w:w="100"/>
              <w:bottom w:type="dxa" w:w="80"/>
              <w:right w:type="dxa" w:w="100"/>
            </w:tcMar>
          </w:tcPr>
          <w:p>
            <w:r>
              <w:rPr>
                <w:rFonts w:ascii="Georgia" w:cs="Georgia" w:eastAsia="Georgia" w:hAnsi="Georgia"/>
                <w:sz w:val="19"/>
                <w:szCs w:val="19"/>
              </w:rPr>
              <w:t xml:space="preserve">Taxes, not credit: what kind of settlement 1439–51 was, and when the Estates General met</w:t>
            </w:r>
          </w:p>
        </w:tc>
        <w:tc>
          <w:tcPr>
            <w:tcW w:type="dxa" w:w="3000"/>
            <w:shd w:fill="FFF4D6" w:color="auto" w:val="clear"/>
            <w:tcMar>
              <w:top w:type="dxa" w:w="80"/>
              <w:left w:type="dxa" w:w="100"/>
              <w:bottom w:type="dxa" w:w="80"/>
              <w:right w:type="dxa" w:w="100"/>
            </w:tcMar>
          </w:tcPr>
          <w:p>
            <w:r>
              <w:rPr>
                <w:rFonts w:ascii="Georgia" w:cs="Georgia" w:eastAsia="Georgia" w:hAnsi="Georgia"/>
                <w:sz w:val="19"/>
                <w:szCs w:val="19"/>
              </w:rPr>
              <w:t xml:space="preserve"/>
            </w:r>
          </w:p>
        </w:tc>
      </w:tr>
      <w:tr>
        <w:tc>
          <w:tcPr>
            <w:tcW w:type="dxa" w:w="900"/>
            <w:tcMar>
              <w:top w:type="dxa" w:w="80"/>
              <w:left w:type="dxa" w:w="100"/>
              <w:bottom w:type="dxa" w:w="80"/>
              <w:right w:type="dxa" w:w="100"/>
            </w:tcMar>
          </w:tcPr>
          <w:p>
            <w:r>
              <w:rPr>
                <w:rFonts w:ascii="Georgia" w:cs="Georgia" w:eastAsia="Georgia" w:hAnsi="Georgia"/>
                <w:sz w:val="19"/>
                <w:szCs w:val="19"/>
              </w:rPr>
              <w:t xml:space="preserve">13</w:t>
            </w:r>
          </w:p>
        </w:tc>
        <w:tc>
          <w:tcPr>
            <w:tcW w:type="dxa" w:w="5300"/>
            <w:tcMar>
              <w:top w:type="dxa" w:w="80"/>
              <w:left w:type="dxa" w:w="100"/>
              <w:bottom w:type="dxa" w:w="80"/>
              <w:right w:type="dxa" w:w="100"/>
            </w:tcMar>
          </w:tcPr>
          <w:p>
            <w:r>
              <w:rPr>
                <w:rFonts w:ascii="Georgia" w:cs="Georgia" w:eastAsia="Georgia" w:hAnsi="Georgia"/>
                <w:sz w:val="19"/>
                <w:szCs w:val="19"/>
              </w:rPr>
              <w:t xml:space="preserve">Venice and the funded debt: three corrections</w:t>
            </w:r>
          </w:p>
        </w:tc>
        <w:tc>
          <w:tcPr>
            <w:tcW w:type="dxa" w:w="3000"/>
            <w:shd w:fill="FFF4D6" w:color="auto" w:val="clear"/>
            <w:tcMar>
              <w:top w:type="dxa" w:w="80"/>
              <w:left w:type="dxa" w:w="100"/>
              <w:bottom w:type="dxa" w:w="80"/>
              <w:right w:type="dxa" w:w="100"/>
            </w:tcMar>
          </w:tcPr>
          <w:p>
            <w:r>
              <w:rPr>
                <w:rFonts w:ascii="Georgia" w:cs="Georgia" w:eastAsia="Georgia" w:hAnsi="Georgia"/>
                <w:sz w:val="19"/>
                <w:szCs w:val="19"/>
              </w:rPr>
              <w:t xml:space="preserve"/>
            </w:r>
          </w:p>
        </w:tc>
      </w:tr>
      <w:tr>
        <w:tc>
          <w:tcPr>
            <w:tcW w:type="dxa" w:w="900"/>
            <w:tcMar>
              <w:top w:type="dxa" w:w="80"/>
              <w:left w:type="dxa" w:w="100"/>
              <w:bottom w:type="dxa" w:w="80"/>
              <w:right w:type="dxa" w:w="100"/>
            </w:tcMar>
          </w:tcPr>
          <w:p>
            <w:r>
              <w:rPr>
                <w:rFonts w:ascii="Georgia" w:cs="Georgia" w:eastAsia="Georgia" w:hAnsi="Georgia"/>
                <w:sz w:val="19"/>
                <w:szCs w:val="19"/>
              </w:rPr>
              <w:t xml:space="preserve">14</w:t>
            </w:r>
          </w:p>
        </w:tc>
        <w:tc>
          <w:tcPr>
            <w:tcW w:type="dxa" w:w="5300"/>
            <w:tcMar>
              <w:top w:type="dxa" w:w="80"/>
              <w:left w:type="dxa" w:w="100"/>
              <w:bottom w:type="dxa" w:w="80"/>
              <w:right w:type="dxa" w:w="100"/>
            </w:tcMar>
          </w:tcPr>
          <w:p>
            <w:r>
              <w:rPr>
                <w:rFonts w:ascii="Georgia" w:cs="Georgia" w:eastAsia="Georgia" w:hAnsi="Georgia"/>
                <w:sz w:val="19"/>
                <w:szCs w:val="19"/>
              </w:rPr>
              <w:t xml:space="preserve">What "administrative capacity" means, and admitting the settlement bred venality</w:t>
            </w:r>
          </w:p>
        </w:tc>
        <w:tc>
          <w:tcPr>
            <w:tcW w:type="dxa" w:w="3000"/>
            <w:shd w:fill="FFF4D6" w:color="auto" w:val="clear"/>
            <w:tcMar>
              <w:top w:type="dxa" w:w="80"/>
              <w:left w:type="dxa" w:w="100"/>
              <w:bottom w:type="dxa" w:w="80"/>
              <w:right w:type="dxa" w:w="100"/>
            </w:tcMar>
          </w:tcPr>
          <w:p>
            <w:r>
              <w:rPr>
                <w:rFonts w:ascii="Georgia" w:cs="Georgia" w:eastAsia="Georgia" w:hAnsi="Georgia"/>
                <w:sz w:val="19"/>
                <w:szCs w:val="19"/>
              </w:rPr>
              <w:t xml:space="preserve"/>
            </w:r>
          </w:p>
        </w:tc>
      </w:tr>
      <w:tr>
        <w:tc>
          <w:tcPr>
            <w:tcW w:type="dxa" w:w="900"/>
            <w:tcMar>
              <w:top w:type="dxa" w:w="80"/>
              <w:left w:type="dxa" w:w="100"/>
              <w:bottom w:type="dxa" w:w="80"/>
              <w:right w:type="dxa" w:w="100"/>
            </w:tcMar>
          </w:tcPr>
          <w:p>
            <w:r>
              <w:rPr>
                <w:rFonts w:ascii="Georgia" w:cs="Georgia" w:eastAsia="Georgia" w:hAnsi="Georgia"/>
                <w:sz w:val="19"/>
                <w:szCs w:val="19"/>
              </w:rPr>
              <w:t xml:space="preserve">15</w:t>
            </w:r>
          </w:p>
        </w:tc>
        <w:tc>
          <w:tcPr>
            <w:tcW w:type="dxa" w:w="5300"/>
            <w:tcMar>
              <w:top w:type="dxa" w:w="80"/>
              <w:left w:type="dxa" w:w="100"/>
              <w:bottom w:type="dxa" w:w="80"/>
              <w:right w:type="dxa" w:w="100"/>
            </w:tcMar>
          </w:tcPr>
          <w:p>
            <w:r>
              <w:rPr>
                <w:rFonts w:ascii="Georgia" w:cs="Georgia" w:eastAsia="Georgia" w:hAnsi="Georgia"/>
                <w:sz w:val="19"/>
                <w:szCs w:val="19"/>
              </w:rPr>
              <w:t xml:space="preserve">Spain: which intermediaries Castile actually subordinated</w:t>
            </w:r>
          </w:p>
        </w:tc>
        <w:tc>
          <w:tcPr>
            <w:tcW w:type="dxa" w:w="3000"/>
            <w:shd w:fill="FFF4D6" w:color="auto" w:val="clear"/>
            <w:tcMar>
              <w:top w:type="dxa" w:w="80"/>
              <w:left w:type="dxa" w:w="100"/>
              <w:bottom w:type="dxa" w:w="80"/>
              <w:right w:type="dxa" w:w="100"/>
            </w:tcMar>
          </w:tcPr>
          <w:p>
            <w:r>
              <w:rPr>
                <w:rFonts w:ascii="Georgia" w:cs="Georgia" w:eastAsia="Georgia" w:hAnsi="Georgia"/>
                <w:sz w:val="19"/>
                <w:szCs w:val="19"/>
              </w:rPr>
              <w:t xml:space="preserve"/>
            </w:r>
          </w:p>
        </w:tc>
      </w:tr>
      <w:tr>
        <w:tc>
          <w:tcPr>
            <w:tcW w:type="dxa" w:w="900"/>
            <w:tcMar>
              <w:top w:type="dxa" w:w="80"/>
              <w:left w:type="dxa" w:w="100"/>
              <w:bottom w:type="dxa" w:w="80"/>
              <w:right w:type="dxa" w:w="100"/>
            </w:tcMar>
          </w:tcPr>
          <w:p>
            <w:r>
              <w:rPr>
                <w:rFonts w:ascii="Georgia" w:cs="Georgia" w:eastAsia="Georgia" w:hAnsi="Georgia"/>
                <w:sz w:val="19"/>
                <w:szCs w:val="19"/>
              </w:rPr>
              <w:t xml:space="preserve">16</w:t>
            </w:r>
          </w:p>
        </w:tc>
        <w:tc>
          <w:tcPr>
            <w:tcW w:type="dxa" w:w="5300"/>
            <w:tcMar>
              <w:top w:type="dxa" w:w="80"/>
              <w:left w:type="dxa" w:w="100"/>
              <w:bottom w:type="dxa" w:w="80"/>
              <w:right w:type="dxa" w:w="100"/>
            </w:tcMar>
          </w:tcPr>
          <w:p>
            <w:r>
              <w:rPr>
                <w:rFonts w:ascii="Georgia" w:cs="Georgia" w:eastAsia="Georgia" w:hAnsi="Georgia"/>
                <w:sz w:val="19"/>
                <w:szCs w:val="19"/>
              </w:rPr>
              <w:t xml:space="preserve">China: the verdict layer by layer, and the word "fusion"</w:t>
            </w:r>
          </w:p>
        </w:tc>
        <w:tc>
          <w:tcPr>
            <w:tcW w:type="dxa" w:w="3000"/>
            <w:shd w:fill="FFF4D6" w:color="auto" w:val="clear"/>
            <w:tcMar>
              <w:top w:type="dxa" w:w="80"/>
              <w:left w:type="dxa" w:w="100"/>
              <w:bottom w:type="dxa" w:w="80"/>
              <w:right w:type="dxa" w:w="100"/>
            </w:tcMar>
          </w:tcPr>
          <w:p>
            <w:r>
              <w:rPr>
                <w:rFonts w:ascii="Georgia" w:cs="Georgia" w:eastAsia="Georgia" w:hAnsi="Georgia"/>
                <w:sz w:val="19"/>
                <w:szCs w:val="19"/>
              </w:rPr>
              <w:t xml:space="preserve"/>
            </w:r>
          </w:p>
        </w:tc>
      </w:tr>
      <w:tr>
        <w:tc>
          <w:tcPr>
            <w:tcW w:type="dxa" w:w="900"/>
            <w:tcMar>
              <w:top w:type="dxa" w:w="80"/>
              <w:left w:type="dxa" w:w="100"/>
              <w:bottom w:type="dxa" w:w="80"/>
              <w:right w:type="dxa" w:w="100"/>
            </w:tcMar>
          </w:tcPr>
          <w:p>
            <w:r>
              <w:rPr>
                <w:rFonts w:ascii="Georgia" w:cs="Georgia" w:eastAsia="Georgia" w:hAnsi="Georgia"/>
                <w:sz w:val="19"/>
                <w:szCs w:val="19"/>
              </w:rPr>
              <w:t xml:space="preserve">17</w:t>
            </w:r>
          </w:p>
        </w:tc>
        <w:tc>
          <w:tcPr>
            <w:tcW w:type="dxa" w:w="5300"/>
            <w:tcMar>
              <w:top w:type="dxa" w:w="80"/>
              <w:left w:type="dxa" w:w="100"/>
              <w:bottom w:type="dxa" w:w="80"/>
              <w:right w:type="dxa" w:w="100"/>
            </w:tcMar>
          </w:tcPr>
          <w:p>
            <w:r>
              <w:rPr>
                <w:rFonts w:ascii="Georgia" w:cs="Georgia" w:eastAsia="Georgia" w:hAnsi="Georgia"/>
                <w:sz w:val="19"/>
                <w:szCs w:val="19"/>
              </w:rPr>
              <w:t xml:space="preserve">The word "exclusive"</w:t>
            </w:r>
          </w:p>
        </w:tc>
        <w:tc>
          <w:tcPr>
            <w:tcW w:type="dxa" w:w="3000"/>
            <w:shd w:fill="FFF4D6" w:color="auto" w:val="clear"/>
            <w:tcMar>
              <w:top w:type="dxa" w:w="80"/>
              <w:left w:type="dxa" w:w="100"/>
              <w:bottom w:type="dxa" w:w="80"/>
              <w:right w:type="dxa" w:w="100"/>
            </w:tcMar>
          </w:tcPr>
          <w:p>
            <w:r>
              <w:rPr>
                <w:rFonts w:ascii="Georgia" w:cs="Georgia" w:eastAsia="Georgia" w:hAnsi="Georgia"/>
                <w:sz w:val="19"/>
                <w:szCs w:val="19"/>
              </w:rPr>
              <w:t xml:space="preserve"/>
            </w:r>
          </w:p>
        </w:tc>
      </w:tr>
      <w:tr>
        <w:tc>
          <w:tcPr>
            <w:tcW w:type="dxa" w:w="900"/>
            <w:tcMar>
              <w:top w:type="dxa" w:w="80"/>
              <w:left w:type="dxa" w:w="100"/>
              <w:bottom w:type="dxa" w:w="80"/>
              <w:right w:type="dxa" w:w="100"/>
            </w:tcMar>
          </w:tcPr>
          <w:p>
            <w:r>
              <w:rPr>
                <w:rFonts w:ascii="Georgia" w:cs="Georgia" w:eastAsia="Georgia" w:hAnsi="Georgia"/>
                <w:sz w:val="19"/>
                <w:szCs w:val="19"/>
              </w:rPr>
              <w:t xml:space="preserve">18</w:t>
            </w:r>
          </w:p>
        </w:tc>
        <w:tc>
          <w:tcPr>
            <w:tcW w:type="dxa" w:w="5300"/>
            <w:tcMar>
              <w:top w:type="dxa" w:w="80"/>
              <w:left w:type="dxa" w:w="100"/>
              <w:bottom w:type="dxa" w:w="80"/>
              <w:right w:type="dxa" w:w="100"/>
            </w:tcMar>
          </w:tcPr>
          <w:p>
            <w:r>
              <w:rPr>
                <w:rFonts w:ascii="Georgia" w:cs="Georgia" w:eastAsia="Georgia" w:hAnsi="Georgia"/>
                <w:sz w:val="19"/>
                <w:szCs w:val="19"/>
              </w:rPr>
              <w:t xml:space="preserve">The word "legibility", and James C. Scott</w:t>
            </w:r>
          </w:p>
        </w:tc>
        <w:tc>
          <w:tcPr>
            <w:tcW w:type="dxa" w:w="3000"/>
            <w:shd w:fill="FFF4D6" w:color="auto" w:val="clear"/>
            <w:tcMar>
              <w:top w:type="dxa" w:w="80"/>
              <w:left w:type="dxa" w:w="100"/>
              <w:bottom w:type="dxa" w:w="80"/>
              <w:right w:type="dxa" w:w="100"/>
            </w:tcMar>
          </w:tcPr>
          <w:p>
            <w:r>
              <w:rPr>
                <w:rFonts w:ascii="Georgia" w:cs="Georgia" w:eastAsia="Georgia" w:hAnsi="Georgia"/>
                <w:sz w:val="19"/>
                <w:szCs w:val="19"/>
              </w:rPr>
              <w:t xml:space="preserve"/>
            </w:r>
          </w:p>
        </w:tc>
      </w:tr>
      <w:tr>
        <w:tc>
          <w:tcPr>
            <w:tcW w:type="dxa" w:w="900"/>
            <w:tcMar>
              <w:top w:type="dxa" w:w="80"/>
              <w:left w:type="dxa" w:w="100"/>
              <w:bottom w:type="dxa" w:w="80"/>
              <w:right w:type="dxa" w:w="100"/>
            </w:tcMar>
          </w:tcPr>
          <w:p>
            <w:r>
              <w:rPr>
                <w:rFonts w:ascii="Georgia" w:cs="Georgia" w:eastAsia="Georgia" w:hAnsi="Georgia"/>
                <w:sz w:val="19"/>
                <w:szCs w:val="19"/>
              </w:rPr>
              <w:t xml:space="preserve">19</w:t>
            </w:r>
          </w:p>
        </w:tc>
        <w:tc>
          <w:tcPr>
            <w:tcW w:type="dxa" w:w="5300"/>
            <w:tcMar>
              <w:top w:type="dxa" w:w="80"/>
              <w:left w:type="dxa" w:w="100"/>
              <w:bottom w:type="dxa" w:w="80"/>
              <w:right w:type="dxa" w:w="100"/>
            </w:tcMar>
          </w:tcPr>
          <w:p>
            <w:r>
              <w:rPr>
                <w:rFonts w:ascii="Georgia" w:cs="Georgia" w:eastAsia="Georgia" w:hAnsi="Georgia"/>
                <w:sz w:val="19"/>
                <w:szCs w:val="19"/>
              </w:rPr>
              <w:t xml:space="preserve">Answering Ruggie, and who had the neomedieval idea first</w:t>
            </w:r>
          </w:p>
        </w:tc>
        <w:tc>
          <w:tcPr>
            <w:tcW w:type="dxa" w:w="3000"/>
            <w:shd w:fill="FFF4D6" w:color="auto" w:val="clear"/>
            <w:tcMar>
              <w:top w:type="dxa" w:w="80"/>
              <w:left w:type="dxa" w:w="100"/>
              <w:bottom w:type="dxa" w:w="80"/>
              <w:right w:type="dxa" w:w="100"/>
            </w:tcMar>
          </w:tcPr>
          <w:p>
            <w:r>
              <w:rPr>
                <w:rFonts w:ascii="Georgia" w:cs="Georgia" w:eastAsia="Georgia" w:hAnsi="Georgia"/>
                <w:sz w:val="19"/>
                <w:szCs w:val="19"/>
              </w:rPr>
              <w:t xml:space="preserve"/>
            </w:r>
          </w:p>
        </w:tc>
      </w:tr>
      <w:tr>
        <w:tc>
          <w:tcPr>
            <w:tcW w:type="dxa" w:w="900"/>
            <w:tcMar>
              <w:top w:type="dxa" w:w="80"/>
              <w:left w:type="dxa" w:w="100"/>
              <w:bottom w:type="dxa" w:w="80"/>
              <w:right w:type="dxa" w:w="100"/>
            </w:tcMar>
          </w:tcPr>
          <w:p>
            <w:r>
              <w:rPr>
                <w:rFonts w:ascii="Georgia" w:cs="Georgia" w:eastAsia="Georgia" w:hAnsi="Georgia"/>
                <w:sz w:val="19"/>
                <w:szCs w:val="19"/>
              </w:rPr>
              <w:t xml:space="preserve">20</w:t>
            </w:r>
          </w:p>
        </w:tc>
        <w:tc>
          <w:tcPr>
            <w:tcW w:type="dxa" w:w="5300"/>
            <w:tcMar>
              <w:top w:type="dxa" w:w="80"/>
              <w:left w:type="dxa" w:w="100"/>
              <w:bottom w:type="dxa" w:w="80"/>
              <w:right w:type="dxa" w:w="100"/>
            </w:tcMar>
          </w:tcPr>
          <w:p>
            <w:r>
              <w:rPr>
                <w:rFonts w:ascii="Georgia" w:cs="Georgia" w:eastAsia="Georgia" w:hAnsi="Georgia"/>
                <w:sz w:val="19"/>
                <w:szCs w:val="19"/>
              </w:rPr>
              <w:t xml:space="preserve">Borrowed terms, each paid for</w:t>
            </w:r>
          </w:p>
        </w:tc>
        <w:tc>
          <w:tcPr>
            <w:tcW w:type="dxa" w:w="3000"/>
            <w:shd w:fill="FFF4D6" w:color="auto" w:val="clear"/>
            <w:tcMar>
              <w:top w:type="dxa" w:w="80"/>
              <w:left w:type="dxa" w:w="100"/>
              <w:bottom w:type="dxa" w:w="80"/>
              <w:right w:type="dxa" w:w="100"/>
            </w:tcMar>
          </w:tcPr>
          <w:p>
            <w:r>
              <w:rPr>
                <w:rFonts w:ascii="Georgia" w:cs="Georgia" w:eastAsia="Georgia" w:hAnsi="Georgia"/>
                <w:sz w:val="19"/>
                <w:szCs w:val="19"/>
              </w:rPr>
              <w:t xml:space="preserve"/>
            </w:r>
          </w:p>
        </w:tc>
      </w:tr>
      <w:tr>
        <w:tc>
          <w:tcPr>
            <w:tcW w:type="dxa" w:w="900"/>
            <w:tcMar>
              <w:top w:type="dxa" w:w="80"/>
              <w:left w:type="dxa" w:w="100"/>
              <w:bottom w:type="dxa" w:w="80"/>
              <w:right w:type="dxa" w:w="100"/>
            </w:tcMar>
          </w:tcPr>
          <w:p>
            <w:r>
              <w:rPr>
                <w:rFonts w:ascii="Georgia" w:cs="Georgia" w:eastAsia="Georgia" w:hAnsi="Georgia"/>
                <w:sz w:val="19"/>
                <w:szCs w:val="19"/>
              </w:rPr>
              <w:t xml:space="preserve">21</w:t>
            </w:r>
          </w:p>
        </w:tc>
        <w:tc>
          <w:tcPr>
            <w:tcW w:type="dxa" w:w="5300"/>
            <w:tcMar>
              <w:top w:type="dxa" w:w="80"/>
              <w:left w:type="dxa" w:w="100"/>
              <w:bottom w:type="dxa" w:w="80"/>
              <w:right w:type="dxa" w:w="100"/>
            </w:tcMar>
          </w:tcPr>
          <w:p>
            <w:r>
              <w:rPr>
                <w:rFonts w:ascii="Georgia" w:cs="Georgia" w:eastAsia="Georgia" w:hAnsi="Georgia"/>
                <w:sz w:val="19"/>
                <w:szCs w:val="19"/>
              </w:rPr>
              <w:t xml:space="preserve">The Alençon scene: what the crown took and what it left</w:t>
            </w:r>
          </w:p>
        </w:tc>
        <w:tc>
          <w:tcPr>
            <w:tcW w:type="dxa" w:w="3000"/>
            <w:shd w:fill="FFF4D6" w:color="auto" w:val="clear"/>
            <w:tcMar>
              <w:top w:type="dxa" w:w="80"/>
              <w:left w:type="dxa" w:w="100"/>
              <w:bottom w:type="dxa" w:w="80"/>
              <w:right w:type="dxa" w:w="100"/>
            </w:tcMar>
          </w:tcPr>
          <w:p>
            <w:r>
              <w:rPr>
                <w:rFonts w:ascii="Georgia" w:cs="Georgia" w:eastAsia="Georgia" w:hAnsi="Georgia"/>
                <w:sz w:val="19"/>
                <w:szCs w:val="19"/>
              </w:rPr>
              <w:t xml:space="preserve"/>
            </w:r>
          </w:p>
        </w:tc>
      </w:tr>
      <w:tr>
        <w:tc>
          <w:tcPr>
            <w:tcW w:type="dxa" w:w="900"/>
            <w:tcMar>
              <w:top w:type="dxa" w:w="80"/>
              <w:left w:type="dxa" w:w="100"/>
              <w:bottom w:type="dxa" w:w="80"/>
              <w:right w:type="dxa" w:w="100"/>
            </w:tcMar>
          </w:tcPr>
          <w:p>
            <w:r>
              <w:rPr>
                <w:rFonts w:ascii="Georgia" w:cs="Georgia" w:eastAsia="Georgia" w:hAnsi="Georgia"/>
                <w:sz w:val="19"/>
                <w:szCs w:val="19"/>
              </w:rPr>
              <w:t xml:space="preserve">22</w:t>
            </w:r>
          </w:p>
        </w:tc>
        <w:tc>
          <w:tcPr>
            <w:tcW w:type="dxa" w:w="5300"/>
            <w:tcMar>
              <w:top w:type="dxa" w:w="80"/>
              <w:left w:type="dxa" w:w="100"/>
              <w:bottom w:type="dxa" w:w="80"/>
              <w:right w:type="dxa" w:w="100"/>
            </w:tcMar>
          </w:tcPr>
          <w:p>
            <w:r>
              <w:rPr>
                <w:rFonts w:ascii="Georgia" w:cs="Georgia" w:eastAsia="Georgia" w:hAnsi="Georgia"/>
                <w:sz w:val="19"/>
                <w:szCs w:val="19"/>
              </w:rPr>
              <w:t xml:space="preserve">The Lombards of Bruges, and the book's three words: command, dependence, capture</w:t>
            </w:r>
          </w:p>
        </w:tc>
        <w:tc>
          <w:tcPr>
            <w:tcW w:type="dxa" w:w="3000"/>
            <w:shd w:fill="FFF4D6" w:color="auto" w:val="clear"/>
            <w:tcMar>
              <w:top w:type="dxa" w:w="80"/>
              <w:left w:type="dxa" w:w="100"/>
              <w:bottom w:type="dxa" w:w="80"/>
              <w:right w:type="dxa" w:w="100"/>
            </w:tcMar>
          </w:tcPr>
          <w:p>
            <w:r>
              <w:rPr>
                <w:rFonts w:ascii="Georgia" w:cs="Georgia" w:eastAsia="Georgia" w:hAnsi="Georgia"/>
                <w:sz w:val="19"/>
                <w:szCs w:val="19"/>
              </w:rPr>
              <w:t xml:space="preserve"/>
            </w:r>
          </w:p>
        </w:tc>
      </w:tr>
      <w:tr>
        <w:tc>
          <w:tcPr>
            <w:tcW w:type="dxa" w:w="900"/>
            <w:tcMar>
              <w:top w:type="dxa" w:w="80"/>
              <w:left w:type="dxa" w:w="100"/>
              <w:bottom w:type="dxa" w:w="80"/>
              <w:right w:type="dxa" w:w="100"/>
            </w:tcMar>
          </w:tcPr>
          <w:p>
            <w:r>
              <w:rPr>
                <w:rFonts w:ascii="Georgia" w:cs="Georgia" w:eastAsia="Georgia" w:hAnsi="Georgia"/>
                <w:sz w:val="19"/>
                <w:szCs w:val="19"/>
              </w:rPr>
              <w:t xml:space="preserve">23</w:t>
            </w:r>
          </w:p>
        </w:tc>
        <w:tc>
          <w:tcPr>
            <w:tcW w:type="dxa" w:w="5300"/>
            <w:tcMar>
              <w:top w:type="dxa" w:w="80"/>
              <w:left w:type="dxa" w:w="100"/>
              <w:bottom w:type="dxa" w:w="80"/>
              <w:right w:type="dxa" w:w="100"/>
            </w:tcMar>
          </w:tcPr>
          <w:p>
            <w:r>
              <w:rPr>
                <w:rFonts w:ascii="Georgia" w:cs="Georgia" w:eastAsia="Georgia" w:hAnsi="Georgia"/>
                <w:sz w:val="19"/>
                <w:szCs w:val="19"/>
              </w:rPr>
              <w:t xml:space="preserve">Smaller medieval placements</w:t>
            </w:r>
          </w:p>
        </w:tc>
        <w:tc>
          <w:tcPr>
            <w:tcW w:type="dxa" w:w="3000"/>
            <w:shd w:fill="FFF4D6" w:color="auto" w:val="clear"/>
            <w:tcMar>
              <w:top w:type="dxa" w:w="80"/>
              <w:left w:type="dxa" w:w="100"/>
              <w:bottom w:type="dxa" w:w="80"/>
              <w:right w:type="dxa" w:w="100"/>
            </w:tcMar>
          </w:tcPr>
          <w:p>
            <w:r>
              <w:rPr>
                <w:rFonts w:ascii="Georgia" w:cs="Georgia" w:eastAsia="Georgia" w:hAnsi="Georgia"/>
                <w:sz w:val="19"/>
                <w:szCs w:val="19"/>
              </w:rPr>
              <w:t xml:space="preserve"/>
            </w:r>
          </w:p>
        </w:tc>
      </w:tr>
      <w:tr>
        <w:tc>
          <w:tcPr>
            <w:tcW w:type="dxa" w:w="900"/>
            <w:tcMar>
              <w:top w:type="dxa" w:w="80"/>
              <w:left w:type="dxa" w:w="100"/>
              <w:bottom w:type="dxa" w:w="80"/>
              <w:right w:type="dxa" w:w="100"/>
            </w:tcMar>
          </w:tcPr>
          <w:p>
            <w:r>
              <w:rPr>
                <w:rFonts w:ascii="Georgia" w:cs="Georgia" w:eastAsia="Georgia" w:hAnsi="Georgia"/>
                <w:sz w:val="19"/>
                <w:szCs w:val="19"/>
              </w:rPr>
              <w:t xml:space="preserve">24</w:t>
            </w:r>
          </w:p>
        </w:tc>
        <w:tc>
          <w:tcPr>
            <w:tcW w:type="dxa" w:w="5300"/>
            <w:tcMar>
              <w:top w:type="dxa" w:w="80"/>
              <w:left w:type="dxa" w:w="100"/>
              <w:bottom w:type="dxa" w:w="80"/>
              <w:right w:type="dxa" w:w="100"/>
            </w:tcMar>
          </w:tcPr>
          <w:p>
            <w:r>
              <w:rPr>
                <w:rFonts w:ascii="Georgia" w:cs="Georgia" w:eastAsia="Georgia" w:hAnsi="Georgia"/>
                <w:sz w:val="19"/>
                <w:szCs w:val="19"/>
              </w:rPr>
              <w:t xml:space="preserve">Fornovo and the housekeeping corrections</w:t>
            </w:r>
          </w:p>
        </w:tc>
        <w:tc>
          <w:tcPr>
            <w:tcW w:type="dxa" w:w="3000"/>
            <w:shd w:fill="FFF4D6" w:color="auto" w:val="clear"/>
            <w:tcMar>
              <w:top w:type="dxa" w:w="80"/>
              <w:left w:type="dxa" w:w="100"/>
              <w:bottom w:type="dxa" w:w="80"/>
              <w:right w:type="dxa" w:w="100"/>
            </w:tcMar>
          </w:tcPr>
          <w:p>
            <w:r>
              <w:rPr>
                <w:rFonts w:ascii="Georgia" w:cs="Georgia" w:eastAsia="Georgia" w:hAnsi="Georgia"/>
                <w:sz w:val="19"/>
                <w:szCs w:val="19"/>
              </w:rPr>
              <w:t xml:space="preserve"/>
            </w:r>
          </w:p>
        </w:tc>
      </w:tr>
      <w:tr>
        <w:tc>
          <w:tcPr>
            <w:tcW w:type="dxa" w:w="900"/>
            <w:tcMar>
              <w:top w:type="dxa" w:w="80"/>
              <w:left w:type="dxa" w:w="100"/>
              <w:bottom w:type="dxa" w:w="80"/>
              <w:right w:type="dxa" w:w="100"/>
            </w:tcMar>
          </w:tcPr>
          <w:p>
            <w:r>
              <w:rPr>
                <w:rFonts w:ascii="Georgia" w:cs="Georgia" w:eastAsia="Georgia" w:hAnsi="Georgia"/>
                <w:sz w:val="19"/>
                <w:szCs w:val="19"/>
              </w:rPr>
              <w:t xml:space="preserve">25</w:t>
            </w:r>
          </w:p>
        </w:tc>
        <w:tc>
          <w:tcPr>
            <w:tcW w:type="dxa" w:w="5300"/>
            <w:tcMar>
              <w:top w:type="dxa" w:w="80"/>
              <w:left w:type="dxa" w:w="100"/>
              <w:bottom w:type="dxa" w:w="80"/>
              <w:right w:type="dxa" w:w="100"/>
            </w:tcMar>
          </w:tcPr>
          <w:p>
            <w:r>
              <w:rPr>
                <w:rFonts w:ascii="Georgia" w:cs="Georgia" w:eastAsia="Georgia" w:hAnsi="Georgia"/>
                <w:sz w:val="19"/>
                <w:szCs w:val="19"/>
              </w:rPr>
              <w:t xml:space="preserve">Chapter 9's subject, and the outline</w:t>
            </w:r>
          </w:p>
        </w:tc>
        <w:tc>
          <w:tcPr>
            <w:tcW w:type="dxa" w:w="3000"/>
            <w:shd w:fill="FFF4D6" w:color="auto" w:val="clear"/>
            <w:tcMar>
              <w:top w:type="dxa" w:w="80"/>
              <w:left w:type="dxa" w:w="100"/>
              <w:bottom w:type="dxa" w:w="80"/>
              <w:right w:type="dxa" w:w="100"/>
            </w:tcMar>
          </w:tcPr>
          <w:p>
            <w:r>
              <w:rPr>
                <w:rFonts w:ascii="Georgia" w:cs="Georgia" w:eastAsia="Georgia" w:hAnsi="Georgia"/>
                <w:sz w:val="19"/>
                <w:szCs w:val="19"/>
              </w:rPr>
              <w:t xml:space="preserve"/>
            </w:r>
          </w:p>
        </w:tc>
      </w:tr>
      <w:tr>
        <w:tc>
          <w:tcPr>
            <w:tcW w:type="dxa" w:w="900"/>
            <w:tcMar>
              <w:top w:type="dxa" w:w="80"/>
              <w:left w:type="dxa" w:w="100"/>
              <w:bottom w:type="dxa" w:w="80"/>
              <w:right w:type="dxa" w:w="100"/>
            </w:tcMar>
          </w:tcPr>
          <w:p>
            <w:r>
              <w:rPr>
                <w:rFonts w:ascii="Georgia" w:cs="Georgia" w:eastAsia="Georgia" w:hAnsi="Georgia"/>
                <w:sz w:val="19"/>
                <w:szCs w:val="19"/>
              </w:rPr>
              <w:t xml:space="preserve">26</w:t>
            </w:r>
          </w:p>
        </w:tc>
        <w:tc>
          <w:tcPr>
            <w:tcW w:type="dxa" w:w="5300"/>
            <w:tcMar>
              <w:top w:type="dxa" w:w="80"/>
              <w:left w:type="dxa" w:w="100"/>
              <w:bottom w:type="dxa" w:w="80"/>
              <w:right w:type="dxa" w:w="100"/>
            </w:tcMar>
          </w:tcPr>
          <w:p>
            <w:r>
              <w:rPr>
                <w:rFonts w:ascii="Georgia" w:cs="Georgia" w:eastAsia="Georgia" w:hAnsi="Georgia"/>
                <w:sz w:val="19"/>
                <w:szCs w:val="19"/>
              </w:rPr>
              <w:t xml:space="preserve">Bagehot in chapter 9: where the bridge sits, and the "ceremony" sentence</w:t>
            </w:r>
          </w:p>
        </w:tc>
        <w:tc>
          <w:tcPr>
            <w:tcW w:type="dxa" w:w="3000"/>
            <w:shd w:fill="FFF4D6" w:color="auto" w:val="clear"/>
            <w:tcMar>
              <w:top w:type="dxa" w:w="80"/>
              <w:left w:type="dxa" w:w="100"/>
              <w:bottom w:type="dxa" w:w="80"/>
              <w:right w:type="dxa" w:w="100"/>
            </w:tcMar>
          </w:tcPr>
          <w:p>
            <w:r>
              <w:rPr>
                <w:rFonts w:ascii="Georgia" w:cs="Georgia" w:eastAsia="Georgia" w:hAnsi="Georgia"/>
                <w:sz w:val="19"/>
                <w:szCs w:val="19"/>
              </w:rPr>
              <w:t xml:space="preserve"/>
            </w:r>
          </w:p>
        </w:tc>
      </w:tr>
      <w:tr>
        <w:tc>
          <w:tcPr>
            <w:tcW w:type="dxa" w:w="900"/>
            <w:tcMar>
              <w:top w:type="dxa" w:w="80"/>
              <w:left w:type="dxa" w:w="100"/>
              <w:bottom w:type="dxa" w:w="80"/>
              <w:right w:type="dxa" w:w="100"/>
            </w:tcMar>
          </w:tcPr>
          <w:p>
            <w:r>
              <w:rPr>
                <w:rFonts w:ascii="Georgia" w:cs="Georgia" w:eastAsia="Georgia" w:hAnsi="Georgia"/>
                <w:sz w:val="19"/>
                <w:szCs w:val="19"/>
              </w:rPr>
              <w:t xml:space="preserve">27</w:t>
            </w:r>
          </w:p>
        </w:tc>
        <w:tc>
          <w:tcPr>
            <w:tcW w:type="dxa" w:w="5300"/>
            <w:tcMar>
              <w:top w:type="dxa" w:w="80"/>
              <w:left w:type="dxa" w:w="100"/>
              <w:bottom w:type="dxa" w:w="80"/>
              <w:right w:type="dxa" w:w="100"/>
            </w:tcMar>
          </w:tcPr>
          <w:p>
            <w:r>
              <w:rPr>
                <w:rFonts w:ascii="Georgia" w:cs="Georgia" w:eastAsia="Georgia" w:hAnsi="Georgia"/>
                <w:sz w:val="19"/>
                <w:szCs w:val="19"/>
              </w:rPr>
              <w:t xml:space="preserve">Making the forecast harder to wriggle out of</w:t>
            </w:r>
          </w:p>
        </w:tc>
        <w:tc>
          <w:tcPr>
            <w:tcW w:type="dxa" w:w="3000"/>
            <w:shd w:fill="FFF4D6" w:color="auto" w:val="clear"/>
            <w:tcMar>
              <w:top w:type="dxa" w:w="80"/>
              <w:left w:type="dxa" w:w="100"/>
              <w:bottom w:type="dxa" w:w="80"/>
              <w:right w:type="dxa" w:w="100"/>
            </w:tcMar>
          </w:tcPr>
          <w:p>
            <w:r>
              <w:rPr>
                <w:rFonts w:ascii="Georgia" w:cs="Georgia" w:eastAsia="Georgia" w:hAnsi="Georgia"/>
                <w:sz w:val="19"/>
                <w:szCs w:val="19"/>
              </w:rPr>
              <w:t xml:space="preserve"/>
            </w:r>
          </w:p>
        </w:tc>
      </w:tr>
      <w:tr>
        <w:tc>
          <w:tcPr>
            <w:tcW w:type="dxa" w:w="900"/>
            <w:tcMar>
              <w:top w:type="dxa" w:w="80"/>
              <w:left w:type="dxa" w:w="100"/>
              <w:bottom w:type="dxa" w:w="80"/>
              <w:right w:type="dxa" w:w="100"/>
            </w:tcMar>
          </w:tcPr>
          <w:p>
            <w:r>
              <w:rPr>
                <w:rFonts w:ascii="Georgia" w:cs="Georgia" w:eastAsia="Georgia" w:hAnsi="Georgia"/>
                <w:sz w:val="19"/>
                <w:szCs w:val="19"/>
              </w:rPr>
              <w:t xml:space="preserve">28</w:t>
            </w:r>
          </w:p>
        </w:tc>
        <w:tc>
          <w:tcPr>
            <w:tcW w:type="dxa" w:w="5300"/>
            <w:tcMar>
              <w:top w:type="dxa" w:w="80"/>
              <w:left w:type="dxa" w:w="100"/>
              <w:bottom w:type="dxa" w:w="80"/>
              <w:right w:type="dxa" w:w="100"/>
            </w:tcMar>
          </w:tcPr>
          <w:p>
            <w:r>
              <w:rPr>
                <w:rFonts w:ascii="Georgia" w:cs="Georgia" w:eastAsia="Georgia" w:hAnsi="Georgia"/>
                <w:sz w:val="19"/>
                <w:szCs w:val="19"/>
              </w:rPr>
              <w:t xml:space="preserve">Appendix C: what Lepore adds to the democratic-control scoring</w:t>
            </w:r>
          </w:p>
        </w:tc>
        <w:tc>
          <w:tcPr>
            <w:tcW w:type="dxa" w:w="3000"/>
            <w:shd w:fill="FFF4D6" w:color="auto" w:val="clear"/>
            <w:tcMar>
              <w:top w:type="dxa" w:w="80"/>
              <w:left w:type="dxa" w:w="100"/>
              <w:bottom w:type="dxa" w:w="80"/>
              <w:right w:type="dxa" w:w="100"/>
            </w:tcMar>
          </w:tcPr>
          <w:p>
            <w:r>
              <w:rPr>
                <w:rFonts w:ascii="Georgia" w:cs="Georgia" w:eastAsia="Georgia" w:hAnsi="Georgia"/>
                <w:sz w:val="19"/>
                <w:szCs w:val="19"/>
              </w:rPr>
              <w:t xml:space="preserve"/>
            </w:r>
          </w:p>
        </w:tc>
      </w:tr>
      <w:tr>
        <w:tc>
          <w:tcPr>
            <w:tcW w:type="dxa" w:w="900"/>
            <w:tcMar>
              <w:top w:type="dxa" w:w="80"/>
              <w:left w:type="dxa" w:w="100"/>
              <w:bottom w:type="dxa" w:w="80"/>
              <w:right w:type="dxa" w:w="100"/>
            </w:tcMar>
          </w:tcPr>
          <w:p>
            <w:r>
              <w:rPr>
                <w:rFonts w:ascii="Georgia" w:cs="Georgia" w:eastAsia="Georgia" w:hAnsi="Georgia"/>
                <w:sz w:val="19"/>
                <w:szCs w:val="19"/>
              </w:rPr>
              <w:t xml:space="preserve">29</w:t>
            </w:r>
          </w:p>
        </w:tc>
        <w:tc>
          <w:tcPr>
            <w:tcW w:type="dxa" w:w="5300"/>
            <w:tcMar>
              <w:top w:type="dxa" w:w="80"/>
              <w:left w:type="dxa" w:w="100"/>
              <w:bottom w:type="dxa" w:w="80"/>
              <w:right w:type="dxa" w:w="100"/>
            </w:tcMar>
          </w:tcPr>
          <w:p>
            <w:r>
              <w:rPr>
                <w:rFonts w:ascii="Georgia" w:cs="Georgia" w:eastAsia="Georgia" w:hAnsi="Georgia"/>
                <w:sz w:val="19"/>
                <w:szCs w:val="19"/>
              </w:rPr>
              <w:t xml:space="preserve">Cadillac and Castillon, as Leseur has them</w:t>
            </w:r>
          </w:p>
        </w:tc>
        <w:tc>
          <w:tcPr>
            <w:tcW w:type="dxa" w:w="3000"/>
            <w:shd w:fill="FFF4D6" w:color="auto" w:val="clear"/>
            <w:tcMar>
              <w:top w:type="dxa" w:w="80"/>
              <w:left w:type="dxa" w:w="100"/>
              <w:bottom w:type="dxa" w:w="80"/>
              <w:right w:type="dxa" w:w="100"/>
            </w:tcMar>
          </w:tcPr>
          <w:p>
            <w:r>
              <w:rPr>
                <w:rFonts w:ascii="Georgia" w:cs="Georgia" w:eastAsia="Georgia" w:hAnsi="Georgia"/>
                <w:sz w:val="19"/>
                <w:szCs w:val="19"/>
              </w:rPr>
              <w:t xml:space="preserve"/>
            </w:r>
          </w:p>
        </w:tc>
      </w:tr>
      <w:tr>
        <w:tc>
          <w:tcPr>
            <w:tcW w:type="dxa" w:w="900"/>
            <w:tcMar>
              <w:top w:type="dxa" w:w="80"/>
              <w:left w:type="dxa" w:w="100"/>
              <w:bottom w:type="dxa" w:w="80"/>
              <w:right w:type="dxa" w:w="100"/>
            </w:tcMar>
          </w:tcPr>
          <w:p>
            <w:r>
              <w:rPr>
                <w:rFonts w:ascii="Georgia" w:cs="Georgia" w:eastAsia="Georgia" w:hAnsi="Georgia"/>
                <w:sz w:val="19"/>
                <w:szCs w:val="19"/>
              </w:rPr>
              <w:t xml:space="preserve">30</w:t>
            </w:r>
          </w:p>
        </w:tc>
        <w:tc>
          <w:tcPr>
            <w:tcW w:type="dxa" w:w="5300"/>
            <w:tcMar>
              <w:top w:type="dxa" w:w="80"/>
              <w:left w:type="dxa" w:w="100"/>
              <w:bottom w:type="dxa" w:w="80"/>
              <w:right w:type="dxa" w:w="100"/>
            </w:tcMar>
          </w:tcPr>
          <w:p>
            <w:r>
              <w:rPr>
                <w:rFonts w:ascii="Georgia" w:cs="Georgia" w:eastAsia="Georgia" w:hAnsi="Georgia"/>
                <w:sz w:val="19"/>
                <w:szCs w:val="19"/>
              </w:rPr>
              <w:t xml:space="preserve">Belloc and the knock-out blow, as Holman has them</w:t>
            </w:r>
          </w:p>
        </w:tc>
        <w:tc>
          <w:tcPr>
            <w:tcW w:type="dxa" w:w="3000"/>
            <w:shd w:fill="FFF4D6" w:color="auto" w:val="clear"/>
            <w:tcMar>
              <w:top w:type="dxa" w:w="80"/>
              <w:left w:type="dxa" w:w="100"/>
              <w:bottom w:type="dxa" w:w="80"/>
              <w:right w:type="dxa" w:w="100"/>
            </w:tcMar>
          </w:tcPr>
          <w:p>
            <w:r>
              <w:rPr>
                <w:rFonts w:ascii="Georgia" w:cs="Georgia" w:eastAsia="Georgia" w:hAnsi="Georgia"/>
                <w:sz w:val="19"/>
                <w:szCs w:val="19"/>
              </w:rPr>
              <w:t xml:space="preserve"/>
            </w:r>
          </w:p>
        </w:tc>
      </w:tr>
      <w:tr>
        <w:tc>
          <w:tcPr>
            <w:tcW w:type="dxa" w:w="900"/>
            <w:tcMar>
              <w:top w:type="dxa" w:w="80"/>
              <w:left w:type="dxa" w:w="100"/>
              <w:bottom w:type="dxa" w:w="80"/>
              <w:right w:type="dxa" w:w="100"/>
            </w:tcMar>
          </w:tcPr>
          <w:p>
            <w:r>
              <w:rPr>
                <w:rFonts w:ascii="Georgia" w:cs="Georgia" w:eastAsia="Georgia" w:hAnsi="Georgia"/>
                <w:sz w:val="19"/>
                <w:szCs w:val="19"/>
              </w:rPr>
              <w:t xml:space="preserve">31</w:t>
            </w:r>
          </w:p>
        </w:tc>
        <w:tc>
          <w:tcPr>
            <w:tcW w:type="dxa" w:w="5300"/>
            <w:tcMar>
              <w:top w:type="dxa" w:w="80"/>
              <w:left w:type="dxa" w:w="100"/>
              <w:bottom w:type="dxa" w:w="80"/>
              <w:right w:type="dxa" w:w="100"/>
            </w:tcMar>
          </w:tcPr>
          <w:p>
            <w:r>
              <w:rPr>
                <w:rFonts w:ascii="Georgia" w:cs="Georgia" w:eastAsia="Georgia" w:hAnsi="Georgia"/>
                <w:sz w:val="19"/>
                <w:szCs w:val="19"/>
              </w:rPr>
              <w:t xml:space="preserve">The Burgundian artillery accounts, as Perroy has them</w:t>
            </w:r>
          </w:p>
        </w:tc>
        <w:tc>
          <w:tcPr>
            <w:tcW w:type="dxa" w:w="3000"/>
            <w:shd w:fill="FFF4D6" w:color="auto" w:val="clear"/>
            <w:tcMar>
              <w:top w:type="dxa" w:w="80"/>
              <w:left w:type="dxa" w:w="100"/>
              <w:bottom w:type="dxa" w:w="80"/>
              <w:right w:type="dxa" w:w="100"/>
            </w:tcMar>
          </w:tcPr>
          <w:p>
            <w:r>
              <w:rPr>
                <w:rFonts w:ascii="Georgia" w:cs="Georgia" w:eastAsia="Georgia" w:hAnsi="Georgia"/>
                <w:sz w:val="19"/>
                <w:szCs w:val="19"/>
              </w:rPr>
              <w:t xml:space="preserve"/>
            </w:r>
          </w:p>
        </w:tc>
      </w:tr>
      <w:tr>
        <w:tc>
          <w:tcPr>
            <w:tcW w:type="dxa" w:w="900"/>
            <w:tcMar>
              <w:top w:type="dxa" w:w="80"/>
              <w:left w:type="dxa" w:w="100"/>
              <w:bottom w:type="dxa" w:w="80"/>
              <w:right w:type="dxa" w:w="100"/>
            </w:tcMar>
          </w:tcPr>
          <w:p>
            <w:r>
              <w:rPr>
                <w:rFonts w:ascii="Georgia" w:cs="Georgia" w:eastAsia="Georgia" w:hAnsi="Georgia"/>
                <w:sz w:val="19"/>
                <w:szCs w:val="19"/>
              </w:rPr>
              <w:t xml:space="preserve">32</w:t>
            </w:r>
          </w:p>
        </w:tc>
        <w:tc>
          <w:tcPr>
            <w:tcW w:type="dxa" w:w="5300"/>
            <w:tcMar>
              <w:top w:type="dxa" w:w="80"/>
              <w:left w:type="dxa" w:w="100"/>
              <w:bottom w:type="dxa" w:w="80"/>
              <w:right w:type="dxa" w:w="100"/>
            </w:tcMar>
          </w:tcPr>
          <w:p>
            <w:r>
              <w:rPr>
                <w:rFonts w:ascii="Georgia" w:cs="Georgia" w:eastAsia="Georgia" w:hAnsi="Georgia"/>
                <w:sz w:val="19"/>
                <w:szCs w:val="19"/>
              </w:rPr>
              <w:t xml:space="preserve">Two small additions from Tilly's 1975 volume</w:t>
            </w:r>
          </w:p>
        </w:tc>
        <w:tc>
          <w:tcPr>
            <w:tcW w:type="dxa" w:w="3000"/>
            <w:shd w:fill="FFF4D6" w:color="auto" w:val="clear"/>
            <w:tcMar>
              <w:top w:type="dxa" w:w="80"/>
              <w:left w:type="dxa" w:w="100"/>
              <w:bottom w:type="dxa" w:w="80"/>
              <w:right w:type="dxa" w:w="100"/>
            </w:tcMar>
          </w:tcPr>
          <w:p>
            <w:r>
              <w:rPr>
                <w:rFonts w:ascii="Georgia" w:cs="Georgia" w:eastAsia="Georgia" w:hAnsi="Georgia"/>
                <w:sz w:val="19"/>
                <w:szCs w:val="19"/>
              </w:rPr>
              <w:t xml:space="preserve"/>
            </w:r>
          </w:p>
        </w:tc>
      </w:tr>
    </w:tbl>
    <w:p>
      <w:pPr>
        <w:spacing w:before="300"/>
      </w:pPr>
    </w:p>
    <w:p>
      <w:pPr>
        <w:pStyle w:val="Heading1"/>
        <w:spacing w:after="180" w:before="300"/>
      </w:pPr>
      <w:r>
        <w:rPr>
          <w:rFonts w:ascii="Georgia" w:cs="Georgia" w:eastAsia="Georgia" w:hAnsi="Georgia"/>
          <w:b/>
          <w:bCs/>
          <w:color w:val="1F3864"/>
          <w:sz w:val="30"/>
          <w:szCs w:val="30"/>
        </w:rPr>
        <w:t xml:space="preserve">When you have finished</w:t>
      </w:r>
    </w:p>
    <w:p>
      <w:pPr>
        <w:spacing w:after="150" w:line="290"/>
      </w:pPr>
      <w:r>
        <w:rPr>
          <w:rFonts w:ascii="Georgia" w:cs="Georgia" w:eastAsia="Georgia" w:hAnsi="Georgia"/>
          <w:sz w:val="22"/>
          <w:szCs w:val="22"/>
        </w:rPr>
        <w:t xml:space="preserve">Send the document back. Each ruling is entered into the repository under your name and the date; anything that touches the spine or the doctrine is entered there in your own words. Claude Code then applies the rulings in a third renovation pass, working on the text as it now stands. After that pass the manuscript is ready for the expansion to full length, which is a separate decision and is not on this sheet.</w:t>
      </w:r>
    </w:p>
    <w:sectPr>
      <w:pgSz w:w="11906" w:h="16838" w:orient="portrait"/>
      <w:pgMar w:top="1350" w:right="1500" w:bottom="1350" w:left="15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2026-09-29T02:54:37.002Z</dcterms:created>
  <dcterms:modified xsi:type="dcterms:W3CDTF">2026-09-29T02:54:37.013Z</dcterms:modified>
</cp:coreProperties>
</file>

<file path=docProps/custom.xml><?xml version="1.0" encoding="utf-8"?>
<Properties xmlns="http://schemas.openxmlformats.org/officeDocument/2006/custom-properties" xmlns:vt="http://schemas.openxmlformats.org/officeDocument/2006/docPropsVTypes"/>
</file>