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STUDY COMPANION</w:t>
        <w:br/>
        <w:t>RC1.1 REVERIFICATION QA REPORT</w:t>
      </w:r>
    </w:p>
    <w:p>
      <w:pPr>
        <w:jc w:val="center"/>
      </w:pPr>
      <w:r>
        <w:rPr>
          <w:b/>
        </w:rPr>
        <w:t>Release status: CONDITIONAL PASS</w:t>
      </w:r>
    </w:p>
    <w:p>
      <w:pPr>
        <w:pStyle w:val="Heading1"/>
      </w:pPr>
      <w:r>
        <w:t>1. Executive conclusion</w:t>
      </w:r>
    </w:p>
    <w:p>
      <w:r>
        <w:t>A second, deeper QA review was performed over the RC1 package. The review found additional functional, security, integration and DevOps issues that were not covered by the first pass. All identified source-level issues listed in this report were corrected in RC1.1. Docker/PostgreSQL/pgvector runtime execution, Flutter analyzer/test execution and live AI-provider calls remain external gates because the current execution environment does not provide Docker, Flutter SDK, provider API keys or provider network access.</w:t>
      </w:r>
    </w:p>
    <w:p>
      <w:pPr>
        <w:pStyle w:val="Heading1"/>
      </w:pPr>
      <w:r>
        <w:t>2. Verification executed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  <w:cantSplit/>
          <w:tblHeader w:val="true"/>
        </w:trPr>
        <w:tc>
          <w:tcPr>
            <w:tcW w:type="dxa" w:w="3400"/>
          </w:tcPr>
          <w:p>
            <w:r>
              <w:t>Check</w:t>
            </w:r>
          </w:p>
        </w:tc>
        <w:tc>
          <w:tcPr>
            <w:tcW w:type="dxa" w:w="3400"/>
          </w:tcPr>
          <w:p>
            <w:r>
              <w:t>Status</w:t>
            </w:r>
          </w:p>
        </w:tc>
        <w:tc>
          <w:tcPr>
            <w:tcW w:type="dxa" w:w="3400"/>
          </w:tcPr>
          <w:p>
            <w:r>
              <w:t>Evidence / note</w:t>
            </w:r>
          </w:p>
        </w:tc>
      </w:tr>
      <w:tr>
        <w:trPr>
          <w:cantSplit/>
          <w:cantSplit/>
        </w:trPr>
        <w:tc>
          <w:tcPr>
            <w:tcW w:type="dxa" w:w="3400"/>
          </w:tcPr>
          <w:p>
            <w:r>
              <w:t>Python/Alembic syntax</w:t>
            </w:r>
          </w:p>
        </w:tc>
        <w:tc>
          <w:tcPr>
            <w:tcW w:type="dxa" w:w="3400"/>
          </w:tcPr>
          <w:p>
            <w:r>
              <w:t>PASS</w:t>
            </w:r>
          </w:p>
        </w:tc>
        <w:tc>
          <w:tcPr>
            <w:tcW w:type="dxa" w:w="3400"/>
          </w:tcPr>
          <w:p>
            <w:r>
              <w:t>compileall over backend application, tests and migrations</w:t>
            </w:r>
          </w:p>
        </w:tc>
      </w:tr>
      <w:tr>
        <w:trPr>
          <w:cantSplit/>
          <w:cantSplit/>
        </w:trPr>
        <w:tc>
          <w:tcPr>
            <w:tcW w:type="dxa" w:w="3400"/>
          </w:tcPr>
          <w:p>
            <w:r>
              <w:t>Compose/GitHub YAML</w:t>
            </w:r>
          </w:p>
        </w:tc>
        <w:tc>
          <w:tcPr>
            <w:tcW w:type="dxa" w:w="3400"/>
          </w:tcPr>
          <w:p>
            <w:r>
              <w:t>PASS</w:t>
            </w:r>
          </w:p>
        </w:tc>
        <w:tc>
          <w:tcPr>
            <w:tcW w:type="dxa" w:w="3400"/>
          </w:tcPr>
          <w:p>
            <w:r>
              <w:t>docker-compose.yml, ci.yml and release.yml parsed successfully</w:t>
            </w:r>
          </w:p>
        </w:tc>
      </w:tr>
      <w:tr>
        <w:trPr>
          <w:cantSplit/>
          <w:cantSplit/>
        </w:trPr>
        <w:tc>
          <w:tcPr>
            <w:tcW w:type="dxa" w:w="3400"/>
          </w:tcPr>
          <w:p>
            <w:r>
              <w:t>Shell scripts</w:t>
            </w:r>
          </w:p>
        </w:tc>
        <w:tc>
          <w:tcPr>
            <w:tcW w:type="dxa" w:w="3400"/>
          </w:tcPr>
          <w:p>
            <w:r>
              <w:t>PASS</w:t>
            </w:r>
          </w:p>
        </w:tc>
        <w:tc>
          <w:tcPr>
            <w:tcW w:type="dxa" w:w="3400"/>
          </w:tcPr>
          <w:p>
            <w:r>
              <w:t>entrypoint, host-smoke, backup and restore pass bash syntax checks</w:t>
            </w:r>
          </w:p>
        </w:tc>
      </w:tr>
      <w:tr>
        <w:trPr>
          <w:cantSplit/>
          <w:cantSplit/>
        </w:trPr>
        <w:tc>
          <w:tcPr>
            <w:tcW w:type="dxa" w:w="3400"/>
          </w:tcPr>
          <w:p>
            <w:r>
              <w:t>Executable tests</w:t>
            </w:r>
          </w:p>
        </w:tc>
        <w:tc>
          <w:tcPr>
            <w:tcW w:type="dxa" w:w="3400"/>
          </w:tcPr>
          <w:p>
            <w:r>
              <w:t>PASS</w:t>
            </w:r>
          </w:p>
        </w:tc>
        <w:tc>
          <w:tcPr>
            <w:tcW w:type="dxa" w:w="3400"/>
          </w:tcPr>
          <w:p>
            <w:r>
              <w:t>10 dependency-light unit tests passed</w:t>
            </w:r>
          </w:p>
        </w:tc>
      </w:tr>
      <w:tr>
        <w:trPr>
          <w:cantSplit/>
          <w:cantSplit/>
        </w:trPr>
        <w:tc>
          <w:tcPr>
            <w:tcW w:type="dxa" w:w="3400"/>
          </w:tcPr>
          <w:p>
            <w:r>
              <w:t>Python lint proxy</w:t>
            </w:r>
          </w:p>
        </w:tc>
        <w:tc>
          <w:tcPr>
            <w:tcW w:type="dxa" w:w="3400"/>
          </w:tcPr>
          <w:p>
            <w:r>
              <w:t>PASS</w:t>
            </w:r>
          </w:p>
        </w:tc>
        <w:tc>
          <w:tcPr>
            <w:tcW w:type="dxa" w:w="3400"/>
          </w:tcPr>
          <w:p>
            <w:r>
              <w:t>AST-based review found no actionable unused imports</w:t>
            </w:r>
          </w:p>
        </w:tc>
      </w:tr>
      <w:tr>
        <w:trPr>
          <w:cantSplit/>
          <w:cantSplit/>
        </w:trPr>
        <w:tc>
          <w:tcPr>
            <w:tcW w:type="dxa" w:w="3400"/>
          </w:tcPr>
          <w:p>
            <w:r>
              <w:t>ORM vs migrations</w:t>
            </w:r>
          </w:p>
        </w:tc>
        <w:tc>
          <w:tcPr>
            <w:tcW w:type="dxa" w:w="3400"/>
          </w:tcPr>
          <w:p>
            <w:r>
              <w:t>PASS (static)</w:t>
            </w:r>
          </w:p>
        </w:tc>
        <w:tc>
          <w:tcPr>
            <w:tcW w:type="dxa" w:w="3400"/>
          </w:tcPr>
          <w:p>
            <w:r>
              <w:t>Model table/column inventory matches Alembic 0001 + 0002 schema</w:t>
            </w:r>
          </w:p>
        </w:tc>
      </w:tr>
      <w:tr>
        <w:trPr>
          <w:cantSplit/>
          <w:cantSplit/>
        </w:trPr>
        <w:tc>
          <w:tcPr>
            <w:tcW w:type="dxa" w:w="3400"/>
          </w:tcPr>
          <w:p>
            <w:r>
              <w:t>Docker/PostgreSQL runtime</w:t>
            </w:r>
          </w:p>
        </w:tc>
        <w:tc>
          <w:tcPr>
            <w:tcW w:type="dxa" w:w="3400"/>
          </w:tcPr>
          <w:p>
            <w:r>
              <w:t>OPEN GATE</w:t>
            </w:r>
          </w:p>
        </w:tc>
        <w:tc>
          <w:tcPr>
            <w:tcW w:type="dxa" w:w="3400"/>
          </w:tcPr>
          <w:p>
            <w:r>
              <w:t>Docker is not installed in this environment</w:t>
            </w:r>
          </w:p>
        </w:tc>
      </w:tr>
      <w:tr>
        <w:trPr>
          <w:cantSplit/>
          <w:cantSplit/>
        </w:trPr>
        <w:tc>
          <w:tcPr>
            <w:tcW w:type="dxa" w:w="3400"/>
          </w:tcPr>
          <w:p>
            <w:r>
              <w:t>Flutter analyze/test</w:t>
            </w:r>
          </w:p>
        </w:tc>
        <w:tc>
          <w:tcPr>
            <w:tcW w:type="dxa" w:w="3400"/>
          </w:tcPr>
          <w:p>
            <w:r>
              <w:t>OPEN GATE</w:t>
            </w:r>
          </w:p>
        </w:tc>
        <w:tc>
          <w:tcPr>
            <w:tcW w:type="dxa" w:w="3400"/>
          </w:tcPr>
          <w:p>
            <w:r>
              <w:t>Flutter SDK is not installed in this environment</w:t>
            </w:r>
          </w:p>
        </w:tc>
      </w:tr>
      <w:tr>
        <w:trPr>
          <w:cantSplit/>
          <w:cantSplit/>
        </w:trPr>
        <w:tc>
          <w:tcPr>
            <w:tcW w:type="dxa" w:w="3400"/>
          </w:tcPr>
          <w:p>
            <w:r>
              <w:t>Live AI providers</w:t>
            </w:r>
          </w:p>
        </w:tc>
        <w:tc>
          <w:tcPr>
            <w:tcW w:type="dxa" w:w="3400"/>
          </w:tcPr>
          <w:p>
            <w:r>
              <w:t>OPEN GATE</w:t>
            </w:r>
          </w:p>
        </w:tc>
        <w:tc>
          <w:tcPr>
            <w:tcW w:type="dxa" w:w="3400"/>
          </w:tcPr>
          <w:p>
            <w:r>
              <w:t>No institutional API keys/network calls available in this environment</w:t>
            </w:r>
          </w:p>
        </w:tc>
      </w:tr>
    </w:tbl>
    <w:p>
      <w:pPr>
        <w:pStyle w:val="Heading1"/>
      </w:pPr>
      <w:r>
        <w:t>3. Defects found and corrected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  <w:cantSplit/>
          <w:tblHeader w:val="true"/>
        </w:trPr>
        <w:tc>
          <w:tcPr>
            <w:tcW w:type="dxa" w:w="2550"/>
          </w:tcPr>
          <w:p>
            <w:r>
              <w:t>ID</w:t>
            </w:r>
          </w:p>
        </w:tc>
        <w:tc>
          <w:tcPr>
            <w:tcW w:type="dxa" w:w="2550"/>
          </w:tcPr>
          <w:p>
            <w:r>
              <w:t>Severity</w:t>
            </w:r>
          </w:p>
        </w:tc>
        <w:tc>
          <w:tcPr>
            <w:tcW w:type="dxa" w:w="2550"/>
          </w:tcPr>
          <w:p>
            <w:r>
              <w:t>Finding</w:t>
            </w:r>
          </w:p>
        </w:tc>
        <w:tc>
          <w:tcPr>
            <w:tcW w:type="dxa" w:w="2550"/>
          </w:tcPr>
          <w:p>
            <w:r>
              <w:t>Disposition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RC1-001</w:t>
            </w:r>
          </w:p>
        </w:tc>
        <w:tc>
          <w:tcPr>
            <w:tcW w:type="dxa" w:w="2550"/>
          </w:tcPr>
          <w:p>
            <w:r>
              <w:t>Blocker</w:t>
            </w:r>
          </w:p>
        </w:tc>
        <w:tc>
          <w:tcPr>
            <w:tcW w:type="dxa" w:w="2550"/>
          </w:tcPr>
          <w:p>
            <w:r>
              <w:t>Initial Alembic migration missing</w:t>
            </w:r>
          </w:p>
        </w:tc>
        <w:tc>
          <w:tcPr>
            <w:tcW w:type="dxa" w:w="2550"/>
          </w:tcPr>
          <w:p>
            <w:r>
              <w:t>Fixed in RC1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RC1-002</w:t>
            </w:r>
          </w:p>
        </w:tc>
        <w:tc>
          <w:tcPr>
            <w:tcW w:type="dxa" w:w="2550"/>
          </w:tcPr>
          <w:p>
            <w:r>
              <w:t>Blocker</w:t>
            </w:r>
          </w:p>
        </w:tc>
        <w:tc>
          <w:tcPr>
            <w:tcW w:type="dxa" w:w="2550"/>
          </w:tcPr>
          <w:p>
            <w:r>
              <w:t>Container startup did not migrate/seed</w:t>
            </w:r>
          </w:p>
        </w:tc>
        <w:tc>
          <w:tcPr>
            <w:tcW w:type="dxa" w:w="2550"/>
          </w:tcPr>
          <w:p>
            <w:r>
              <w:t>Fixed in RC1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RC1-003</w:t>
            </w:r>
          </w:p>
        </w:tc>
        <w:tc>
          <w:tcPr>
            <w:tcW w:type="dxa" w:w="2550"/>
          </w:tcPr>
          <w:p>
            <w:r>
              <w:t>High</w:t>
            </w:r>
          </w:p>
        </w:tc>
        <w:tc>
          <w:tcPr>
            <w:tcW w:type="dxa" w:w="2550"/>
          </w:tcPr>
          <w:p>
            <w:r>
              <w:t>pgvector initialization order unsafe on clean DB</w:t>
            </w:r>
          </w:p>
        </w:tc>
        <w:tc>
          <w:tcPr>
            <w:tcW w:type="dxa" w:w="2550"/>
          </w:tcPr>
          <w:p>
            <w:r>
              <w:t>Fixed; migration owns extension creation and pooled connections only register adapter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RC1-004</w:t>
            </w:r>
          </w:p>
        </w:tc>
        <w:tc>
          <w:tcPr>
            <w:tcW w:type="dxa" w:w="2550"/>
          </w:tcPr>
          <w:p>
            <w:r>
              <w:t>High</w:t>
            </w:r>
          </w:p>
        </w:tc>
        <w:tc>
          <w:tcPr>
            <w:tcW w:type="dxa" w:w="2550"/>
          </w:tcPr>
          <w:p>
            <w:r>
              <w:t>Mock AI generation did not return JSON</w:t>
            </w:r>
          </w:p>
        </w:tc>
        <w:tc>
          <w:tcPr>
            <w:tcW w:type="dxa" w:w="2550"/>
          </w:tcPr>
          <w:p>
            <w:r>
              <w:t>Fixed in RC1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RC1-005</w:t>
            </w:r>
          </w:p>
        </w:tc>
        <w:tc>
          <w:tcPr>
            <w:tcW w:type="dxa" w:w="2550"/>
          </w:tcPr>
          <w:p>
            <w:r>
              <w:t>High</w:t>
            </w:r>
          </w:p>
        </w:tc>
        <w:tc>
          <w:tcPr>
            <w:tcW w:type="dxa" w:w="2550"/>
          </w:tcPr>
          <w:p>
            <w:r>
              <w:t>Gamification helper committed partial operations</w:t>
            </w:r>
          </w:p>
        </w:tc>
        <w:tc>
          <w:tcPr>
            <w:tcW w:type="dxa" w:w="2550"/>
          </w:tcPr>
          <w:p>
            <w:r>
              <w:t>Fixed in RC1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RC1-006</w:t>
            </w:r>
          </w:p>
        </w:tc>
        <w:tc>
          <w:tcPr>
            <w:tcW w:type="dxa" w:w="2550"/>
          </w:tcPr>
          <w:p>
            <w:r>
              <w:t>Medium</w:t>
            </w:r>
          </w:p>
        </w:tc>
        <w:tc>
          <w:tcPr>
            <w:tcW w:type="dxa" w:w="2550"/>
          </w:tcPr>
          <w:p>
            <w:r>
              <w:t>AI Chat used hardcoded course ID</w:t>
            </w:r>
          </w:p>
        </w:tc>
        <w:tc>
          <w:tcPr>
            <w:tcW w:type="dxa" w:w="2550"/>
          </w:tcPr>
          <w:p>
            <w:r>
              <w:t>Fixed in RC1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RC1-007</w:t>
            </w:r>
          </w:p>
        </w:tc>
        <w:tc>
          <w:tcPr>
            <w:tcW w:type="dxa" w:w="2550"/>
          </w:tcPr>
          <w:p>
            <w:r>
              <w:t>Medium</w:t>
            </w:r>
          </w:p>
        </w:tc>
        <w:tc>
          <w:tcPr>
            <w:tcW w:type="dxa" w:w="2550"/>
          </w:tcPr>
          <w:p>
            <w:r>
              <w:t>Mobile default provider required an API key</w:t>
            </w:r>
          </w:p>
        </w:tc>
        <w:tc>
          <w:tcPr>
            <w:tcW w:type="dxa" w:w="2550"/>
          </w:tcPr>
          <w:p>
            <w:r>
              <w:t>Fixed in RC1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RC1-008</w:t>
            </w:r>
          </w:p>
        </w:tc>
        <w:tc>
          <w:tcPr>
            <w:tcW w:type="dxa" w:w="2550"/>
          </w:tcPr>
          <w:p>
            <w:r>
              <w:t>Medium</w:t>
            </w:r>
          </w:p>
        </w:tc>
        <w:tc>
          <w:tcPr>
            <w:tcW w:type="dxa" w:w="2550"/>
          </w:tcPr>
          <w:p>
            <w:r>
              <w:t>Registration UI missing</w:t>
            </w:r>
          </w:p>
        </w:tc>
        <w:tc>
          <w:tcPr>
            <w:tcW w:type="dxa" w:w="2550"/>
          </w:tcPr>
          <w:p>
            <w:r>
              <w:t>Fixed in RC1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RC1.1-013</w:t>
            </w:r>
          </w:p>
        </w:tc>
        <w:tc>
          <w:tcPr>
            <w:tcW w:type="dxa" w:w="2550"/>
          </w:tcPr>
          <w:p>
            <w:r>
              <w:t>High</w:t>
            </w:r>
          </w:p>
        </w:tc>
        <w:tc>
          <w:tcPr>
            <w:tcW w:type="dxa" w:w="2550"/>
          </w:tcPr>
          <w:p>
            <w:r>
              <w:t>New registered user could not create a first course</w:t>
            </w:r>
          </w:p>
        </w:tc>
        <w:tc>
          <w:tcPr>
            <w:tcW w:type="dxa" w:w="2550"/>
          </w:tcPr>
          <w:p>
            <w:r>
              <w:t>Fixed: Create Course UI added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RC1.1-014</w:t>
            </w:r>
          </w:p>
        </w:tc>
        <w:tc>
          <w:tcPr>
            <w:tcW w:type="dxa" w:w="2550"/>
          </w:tcPr>
          <w:p>
            <w:r>
              <w:t>High</w:t>
            </w:r>
          </w:p>
        </w:tc>
        <w:tc>
          <w:tcPr>
            <w:tcW w:type="dxa" w:w="2550"/>
          </w:tcPr>
          <w:p>
            <w:r>
              <w:t>Mobile logout cleared local tokens without revoking server refresh token</w:t>
            </w:r>
          </w:p>
        </w:tc>
        <w:tc>
          <w:tcPr>
            <w:tcW w:type="dxa" w:w="2550"/>
          </w:tcPr>
          <w:p>
            <w:r>
              <w:t>Fixed: backend logout is called before local clear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RC1.1-015</w:t>
            </w:r>
          </w:p>
        </w:tc>
        <w:tc>
          <w:tcPr>
            <w:tcW w:type="dxa" w:w="2550"/>
          </w:tcPr>
          <w:p>
            <w:r>
              <w:t>High</w:t>
            </w:r>
          </w:p>
        </w:tc>
        <w:tc>
          <w:tcPr>
            <w:tcW w:type="dxa" w:w="2550"/>
          </w:tcPr>
          <w:p>
            <w:r>
              <w:t>Refresh token rotation had a concurrent double-use race</w:t>
            </w:r>
          </w:p>
        </w:tc>
        <w:tc>
          <w:tcPr>
            <w:tcW w:type="dxa" w:w="2550"/>
          </w:tcPr>
          <w:p>
            <w:r>
              <w:t>Fixed: database row lock added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RC1.1-016</w:t>
            </w:r>
          </w:p>
        </w:tc>
        <w:tc>
          <w:tcPr>
            <w:tcW w:type="dxa" w:w="2550"/>
          </w:tcPr>
          <w:p>
            <w:r>
              <w:t>High</w:t>
            </w:r>
          </w:p>
        </w:tc>
        <w:tc>
          <w:tcPr>
            <w:tcW w:type="dxa" w:w="2550"/>
          </w:tcPr>
          <w:p>
            <w:r>
              <w:t>Stored embeddings did not record provider/model/dimensions</w:t>
            </w:r>
          </w:p>
        </w:tc>
        <w:tc>
          <w:tcPr>
            <w:tcW w:type="dxa" w:w="2550"/>
          </w:tcPr>
          <w:p>
            <w:r>
              <w:t>Fixed: metadata columns + compatibility filter + migration 0002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RC1.1-017</w:t>
            </w:r>
          </w:p>
        </w:tc>
        <w:tc>
          <w:tcPr>
            <w:tcW w:type="dxa" w:w="2550"/>
          </w:tcPr>
          <w:p>
            <w:r>
              <w:t>High</w:t>
            </w:r>
          </w:p>
        </w:tc>
        <w:tc>
          <w:tcPr>
            <w:tcW w:type="dxa" w:w="2550"/>
          </w:tcPr>
          <w:p>
            <w:r>
              <w:t>AI JSON generation could fail on fenced JSON and accept empty/invalid quizzes</w:t>
            </w:r>
          </w:p>
        </w:tc>
        <w:tc>
          <w:tcPr>
            <w:tcW w:type="dxa" w:w="2550"/>
          </w:tcPr>
          <w:p>
            <w:r>
              <w:t>Fixed: robust parser and strict validation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RC1.1-018</w:t>
            </w:r>
          </w:p>
        </w:tc>
        <w:tc>
          <w:tcPr>
            <w:tcW w:type="dxa" w:w="2550"/>
          </w:tcPr>
          <w:p>
            <w:r>
              <w:t>High</w:t>
            </w:r>
          </w:p>
        </w:tc>
        <w:tc>
          <w:tcPr>
            <w:tcW w:type="dxa" w:w="2550"/>
          </w:tcPr>
          <w:p>
            <w:r>
              <w:t>Repeated quiz submissions could repeatedly award XP</w:t>
            </w:r>
          </w:p>
        </w:tc>
        <w:tc>
          <w:tcPr>
            <w:tcW w:type="dxa" w:w="2550"/>
          </w:tcPr>
          <w:p>
            <w:r>
              <w:t>Fixed: repeat attempts award 0 XP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RC1.1-019</w:t>
            </w:r>
          </w:p>
        </w:tc>
        <w:tc>
          <w:tcPr>
            <w:tcW w:type="dxa" w:w="2550"/>
          </w:tcPr>
          <w:p>
            <w:r>
              <w:t>High</w:t>
            </w:r>
          </w:p>
        </w:tc>
        <w:tc>
          <w:tcPr>
            <w:tcW w:type="dxa" w:w="2550"/>
          </w:tcPr>
          <w:p>
            <w:r>
              <w:t>Flashcards could be repeatedly rated before due date to farm XP</w:t>
            </w:r>
          </w:p>
        </w:tc>
        <w:tc>
          <w:tcPr>
            <w:tcW w:type="dxa" w:w="2550"/>
          </w:tcPr>
          <w:p>
            <w:r>
              <w:t>Fixed: due-date filtering and early return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RC1.1-020</w:t>
            </w:r>
          </w:p>
        </w:tc>
        <w:tc>
          <w:tcPr>
            <w:tcW w:type="dxa" w:w="2550"/>
          </w:tcPr>
          <w:p>
            <w:r>
              <w:t>High</w:t>
            </w:r>
          </w:p>
        </w:tc>
        <w:tc>
          <w:tcPr>
            <w:tcW w:type="dxa" w:w="2550"/>
          </w:tcPr>
          <w:p>
            <w:r>
              <w:t>CI ran pytest without database migrations</w:t>
            </w:r>
          </w:p>
        </w:tc>
        <w:tc>
          <w:tcPr>
            <w:tcW w:type="dxa" w:w="2550"/>
          </w:tcPr>
          <w:p>
            <w:r>
              <w:t>Fixed: Alembic + seed added before tests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RC1.1-021</w:t>
            </w:r>
          </w:p>
        </w:tc>
        <w:tc>
          <w:tcPr>
            <w:tcW w:type="dxa" w:w="2550"/>
          </w:tcPr>
          <w:p>
            <w:r>
              <w:t>High</w:t>
            </w:r>
          </w:p>
        </w:tc>
        <w:tc>
          <w:tcPr>
            <w:tcW w:type="dxa" w:w="2550"/>
          </w:tcPr>
          <w:p>
            <w:r>
              <w:t>Docker ENTRYPOINT ignored make test/migrate/seed commands</w:t>
            </w:r>
          </w:p>
        </w:tc>
        <w:tc>
          <w:tcPr>
            <w:tcW w:type="dxa" w:w="2550"/>
          </w:tcPr>
          <w:p>
            <w:r>
              <w:t>Fixed: explicit command passthrough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RC1.1-022</w:t>
            </w:r>
          </w:p>
        </w:tc>
        <w:tc>
          <w:tcPr>
            <w:tcW w:type="dxa" w:w="2550"/>
          </w:tcPr>
          <w:p>
            <w:r>
              <w:t>Medium</w:t>
            </w:r>
          </w:p>
        </w:tc>
        <w:tc>
          <w:tcPr>
            <w:tcW w:type="dxa" w:w="2550"/>
          </w:tcPr>
          <w:p>
            <w:r>
              <w:t>Backup/restore ignored custom Compose database env values</w:t>
            </w:r>
          </w:p>
        </w:tc>
        <w:tc>
          <w:tcPr>
            <w:tcW w:type="dxa" w:w="2550"/>
          </w:tcPr>
          <w:p>
            <w:r>
              <w:t>Fixed: commands use DB container environment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RC1.1-023</w:t>
            </w:r>
          </w:p>
        </w:tc>
        <w:tc>
          <w:tcPr>
            <w:tcW w:type="dxa" w:w="2550"/>
          </w:tcPr>
          <w:p>
            <w:r>
              <w:t>Medium</w:t>
            </w:r>
          </w:p>
        </w:tc>
        <w:tc>
          <w:tcPr>
            <w:tcW w:type="dxa" w:w="2550"/>
          </w:tcPr>
          <w:p>
            <w:r>
              <w:t>Upload accepted extension without validating basic PDF/DOCX structure</w:t>
            </w:r>
          </w:p>
        </w:tc>
        <w:tc>
          <w:tcPr>
            <w:tcW w:type="dxa" w:w="2550"/>
          </w:tcPr>
          <w:p>
            <w:r>
              <w:t>Fixed: signature/OpenXML structure validation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RC1.1-024</w:t>
            </w:r>
          </w:p>
        </w:tc>
        <w:tc>
          <w:tcPr>
            <w:tcW w:type="dxa" w:w="2550"/>
          </w:tcPr>
          <w:p>
            <w:r>
              <w:t>Medium</w:t>
            </w:r>
          </w:p>
        </w:tc>
        <w:tc>
          <w:tcPr>
            <w:tcW w:type="dxa" w:w="2550"/>
          </w:tcPr>
          <w:p>
            <w:r>
              <w:t>AI generation could run without source material</w:t>
            </w:r>
          </w:p>
        </w:tc>
        <w:tc>
          <w:tcPr>
            <w:tcW w:type="dxa" w:w="2550"/>
          </w:tcPr>
          <w:p>
            <w:r>
              <w:t>Fixed: 409 precondition for empty course context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RC1.1-025</w:t>
            </w:r>
          </w:p>
        </w:tc>
        <w:tc>
          <w:tcPr>
            <w:tcW w:type="dxa" w:w="2550"/>
          </w:tcPr>
          <w:p>
            <w:r>
              <w:t>Modernization</w:t>
            </w:r>
          </w:p>
        </w:tc>
        <w:tc>
          <w:tcPr>
            <w:tcW w:type="dxa" w:w="2550"/>
          </w:tcPr>
          <w:p>
            <w:r>
              <w:t>Authentication used older passlib/python-jose pattern</w:t>
            </w:r>
          </w:p>
        </w:tc>
        <w:tc>
          <w:tcPr>
            <w:tcW w:type="dxa" w:w="2550"/>
          </w:tcPr>
          <w:p>
            <w:r>
              <w:t>Updated to pwdlib Argon2 + PyJWT following current FastAPI guidance</w:t>
            </w:r>
          </w:p>
        </w:tc>
      </w:tr>
      <w:tr>
        <w:trPr>
          <w:cantSplit/>
          <w:cantSplit/>
        </w:trPr>
        <w:tc>
          <w:tcPr>
            <w:tcW w:type="dxa" w:w="2550"/>
          </w:tcPr>
          <w:p>
            <w:r>
              <w:t>RC1.1-026</w:t>
            </w:r>
          </w:p>
        </w:tc>
        <w:tc>
          <w:tcPr>
            <w:tcW w:type="dxa" w:w="2550"/>
          </w:tcPr>
          <w:p>
            <w:r>
              <w:t>Quality</w:t>
            </w:r>
          </w:p>
        </w:tc>
        <w:tc>
          <w:tcPr>
            <w:tcW w:type="dxa" w:w="2550"/>
          </w:tcPr>
          <w:p>
            <w:r>
              <w:t>Generation defaults used older/high-cost model choices</w:t>
            </w:r>
          </w:p>
        </w:tc>
        <w:tc>
          <w:tcPr>
            <w:tcW w:type="dxa" w:w="2550"/>
          </w:tcPr>
          <w:p>
            <w:r>
              <w:t>Updated defaults to gpt-5.6-terra, claude-sonnet-5 and gemini-3.6-flash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RC1.1-027</w:t>
            </w:r>
          </w:p>
        </w:tc>
        <w:tc>
          <w:tcPr>
            <w:tcW w:type="dxa" w:w="2550"/>
          </w:tcPr>
          <w:p>
            <w:r>
              <w:t>Architecture verification</w:t>
            </w:r>
          </w:p>
        </w:tc>
        <w:tc>
          <w:tcPr>
            <w:tcW w:type="dxa" w:w="2550"/>
          </w:tcPr>
          <w:p>
            <w:r>
              <w:t>Gemini Embedding 2 is newer, but multi-input calls aggregate inputs while the current ingestion requires one embedding per text chunk</w:t>
            </w:r>
          </w:p>
        </w:tc>
        <w:tc>
          <w:tcPr>
            <w:tcW w:type="dxa" w:w="2550"/>
          </w:tcPr>
          <w:p>
            <w:r>
              <w:t>Retained gemini-embedding-001 intentionally; migration to Embedding 2 requires a separate per-chunk or batch adapter</w:t>
            </w:r>
          </w:p>
        </w:tc>
      </w:tr>
    </w:tbl>
    <w:p>
      <w:pPr>
        <w:pStyle w:val="Heading1"/>
      </w:pPr>
      <w:r>
        <w:t>4. Full integration test now included</w:t>
      </w:r>
    </w:p>
    <w:p>
      <w:r>
        <w:t>A new backend integration test covers the complete reference workflow: registration, rotating refresh token, old-token rejection, course creation, generated DOCX upload, document ingestion, vector retrieval, grounded RAG response, flashcard generation and review, quiz generation and submission, progress/gamification response, logout and refresh-token revocation.</w:t>
      </w:r>
    </w:p>
    <w:p>
      <w:r>
        <w:t>The CI workflow now executes Alembic migrations and seed data before pytest, so the integration test is suitable for a PostgreSQL + pgvector CI service rather than only isolated unit tests.</w:t>
      </w:r>
    </w:p>
    <w:p>
      <w:pPr>
        <w:pStyle w:val="Heading1"/>
      </w:pPr>
      <w:r>
        <w:t>5. Mandatory final host validation</w:t>
      </w:r>
    </w:p>
    <w:p>
      <w:r>
        <w:t>Before the package is relabeled FINAL or PRODUCTION, run the following on a workstation with Docker. Flutter should also be installed if the same gate is to validate the mobile client:</w:t>
      </w:r>
    </w:p>
    <w:p>
      <w:r>
        <w:rPr>
          <w:rFonts w:ascii="Consolas" w:hAnsi="Consolas"/>
          <w:sz w:val="18"/>
        </w:rPr>
        <w:t>cp .env.example .env</w:t>
        <w:br/>
        <w:t>./scripts/rc1_host_smoke.sh</w:t>
      </w:r>
    </w:p>
    <w:p>
      <w:pPr>
        <w:pStyle w:val="Heading1"/>
      </w:pPr>
      <w:r>
        <w:t>6. Known limitations</w:t>
      </w:r>
    </w:p>
    <w:p>
      <w:pPr>
        <w:pStyle w:val="ListBullet"/>
      </w:pPr>
      <w:r>
        <w:t>Document ingestion is synchronous; large documents or slow external embedding providers can increase request time.</w:t>
      </w:r>
    </w:p>
    <w:p>
      <w:pPr>
        <w:pStyle w:val="ListBullet"/>
      </w:pPr>
      <w:r>
        <w:t>Scanned/image-only PDFs require OCR, which is not part of RC1.1.</w:t>
      </w:r>
    </w:p>
    <w:p>
      <w:pPr>
        <w:pStyle w:val="ListBullet"/>
      </w:pPr>
      <w:r>
        <w:t>Upload malware/antivirus scanning is not included.</w:t>
      </w:r>
    </w:p>
    <w:p>
      <w:pPr>
        <w:pStyle w:val="ListBullet"/>
      </w:pPr>
      <w:r>
        <w:t>Production API rate limiting and managed secret storage are deployment-layer requirements not implemented in this package.</w:t>
      </w:r>
    </w:p>
    <w:p>
      <w:pPr>
        <w:pStyle w:val="ListBullet"/>
      </w:pPr>
      <w:r>
        <w:t>Changing embedding provider, model or vector dimensions requires re-ingesting existing materials.</w:t>
      </w:r>
    </w:p>
    <w:p>
      <w:pPr>
        <w:pStyle w:val="ListBullet"/>
      </w:pPr>
      <w:r>
        <w:t>Live OpenAI, Claude and Gemini behavior must be tested with the real institutional accounts because quotas, enabled models, latency and billing are account-specific.</w:t>
      </w:r>
    </w:p>
    <w:p>
      <w:pPr/>
      <w:r>
        <w:t>Current-provider documentation was rechecked on 11 August 2026. The package now uses gpt-5.6-terra for OpenAI generation, claude-sonnet-5 for Anthropic generation and gemini-3.6-flash for Gemini generation. OpenAI Responses/embeddings, Anthropic Messages, Gemini GenAI and pgvector HNSW/cosine integration patterns remain consistent with current official documentation.</w:t>
      </w:r>
    </w:p>
    <w:p>
      <w:pPr>
        <w:pStyle w:val="Heading1"/>
      </w:pPr>
      <w:r>
        <w:t>7. Recommendation</w:t>
      </w:r>
    </w:p>
    <w:p>
      <w:r>
        <w:t>RC1.1 is suitable for distribution to students as a verification/testing Release Candidate. It should remain labeled RC1.1-CONDITIONAL until Docker/PostgreSQL/pgvector and Flutter runtime gates pass on an appropriate host. The source package is materially stronger and more internally consistent than the prior RC1 build.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