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Georgia" w:hAnsi="Georgia"/>
          <w:b/>
          <w:color w:val="9C3818"/>
          <w:sz w:val="44"/>
        </w:rPr>
        <w:t>MonuScript: An Image-Based Indian Heritage Monument Recognition and Virtual Exploration System</w:t>
      </w:r>
    </w:p>
    <w:p>
      <w:pPr>
        <w:spacing w:after="600"/>
        <w:jc w:val="center"/>
      </w:pPr>
      <w:r>
        <w:rPr>
          <w:rFonts w:ascii="Calibri" w:hAnsi="Calibri"/>
          <w:i/>
          <w:color w:val="555555"/>
          <w:sz w:val="26"/>
        </w:rPr>
        <w:t>A Deterministic Digital Image Processing and Support Vector Machine Approach with Calibrated Rejection and 3D Interactive Exploration</w:t>
      </w:r>
    </w:p>
    <w:p>
      <w:pPr>
        <w:spacing w:after="800"/>
        <w:jc w:val="center"/>
      </w:pPr>
      <w:r>
        <w:rPr>
          <w:color w:val="BBBBBB"/>
        </w:rPr>
        <w:t>____________________________________________________</w:t>
      </w:r>
    </w:p>
    <w:p>
      <w:pPr>
        <w:spacing w:after="240" w:line="312" w:lineRule="auto"/>
        <w:jc w:val="center"/>
      </w:pPr>
      <w:r>
        <w:rPr>
          <w:rFonts w:ascii="Calibri" w:hAnsi="Calibri"/>
          <w:b/>
          <w:sz w:val="22"/>
        </w:rPr>
        <w:t xml:space="preserve">Candidate Name: </w:t>
      </w:r>
      <w:r>
        <w:rPr>
          <w:rFonts w:ascii="Calibri" w:hAnsi="Calibri"/>
          <w:sz w:val="22"/>
        </w:rPr>
        <w:t>[Student Name Placeholder]</w:t>
        <w:br/>
      </w:r>
      <w:r>
        <w:rPr>
          <w:rFonts w:ascii="Calibri" w:hAnsi="Calibri"/>
          <w:b/>
          <w:sz w:val="22"/>
        </w:rPr>
        <w:t xml:space="preserve">Register / Roll Number: </w:t>
      </w:r>
      <w:r>
        <w:rPr>
          <w:rFonts w:ascii="Calibri" w:hAnsi="Calibri"/>
          <w:sz w:val="22"/>
        </w:rPr>
        <w:t>[Register Number Placeholder]</w:t>
        <w:br/>
      </w:r>
      <w:r>
        <w:rPr>
          <w:rFonts w:ascii="Calibri" w:hAnsi="Calibri"/>
          <w:b/>
          <w:sz w:val="22"/>
        </w:rPr>
        <w:t xml:space="preserve">Degree / Program: </w:t>
      </w:r>
      <w:r>
        <w:rPr>
          <w:rFonts w:ascii="Calibri" w:hAnsi="Calibri"/>
          <w:sz w:val="22"/>
        </w:rPr>
        <w:t>Bachelor of Technology in Computer Science and Engineering</w:t>
        <w:br/>
      </w:r>
      <w:r>
        <w:rPr>
          <w:rFonts w:ascii="Calibri" w:hAnsi="Calibri"/>
          <w:b/>
          <w:sz w:val="22"/>
        </w:rPr>
        <w:t xml:space="preserve">Department: </w:t>
      </w:r>
      <w:r>
        <w:rPr>
          <w:rFonts w:ascii="Calibri" w:hAnsi="Calibri"/>
          <w:sz w:val="22"/>
        </w:rPr>
        <w:t>Department of Computer Science and Engineering</w:t>
        <w:br/>
      </w:r>
      <w:r>
        <w:rPr>
          <w:rFonts w:ascii="Calibri" w:hAnsi="Calibri"/>
          <w:b/>
          <w:sz w:val="22"/>
        </w:rPr>
        <w:t xml:space="preserve">Institution / University: </w:t>
      </w:r>
      <w:r>
        <w:rPr>
          <w:rFonts w:ascii="Calibri" w:hAnsi="Calibri"/>
          <w:sz w:val="22"/>
        </w:rPr>
        <w:t>[Institution / University Name Placeholder]</w:t>
        <w:br/>
      </w:r>
      <w:r>
        <w:rPr>
          <w:rFonts w:ascii="Calibri" w:hAnsi="Calibri"/>
          <w:b/>
          <w:sz w:val="22"/>
        </w:rPr>
        <w:t xml:space="preserve">Course / Subject: </w:t>
      </w:r>
      <w:r>
        <w:rPr>
          <w:rFonts w:ascii="Calibri" w:hAnsi="Calibri"/>
          <w:sz w:val="22"/>
        </w:rPr>
        <w:t>Final Year Capstone Project (CS8811)</w:t>
        <w:br/>
      </w:r>
      <w:r>
        <w:rPr>
          <w:rFonts w:ascii="Calibri" w:hAnsi="Calibri"/>
          <w:b/>
          <w:sz w:val="22"/>
        </w:rPr>
        <w:t xml:space="preserve">Project Guide / Supervisor: </w:t>
      </w:r>
      <w:r>
        <w:rPr>
          <w:rFonts w:ascii="Calibri" w:hAnsi="Calibri"/>
          <w:sz w:val="22"/>
        </w:rPr>
        <w:t>[Project Guide / Faculty Supervisor Placeholder]</w:t>
        <w:br/>
      </w:r>
      <w:r>
        <w:rPr>
          <w:rFonts w:ascii="Calibri" w:hAnsi="Calibri"/>
          <w:b/>
          <w:sz w:val="22"/>
        </w:rPr>
        <w:t xml:space="preserve">Academic Year: </w:t>
      </w:r>
      <w:r>
        <w:rPr>
          <w:rFonts w:ascii="Calibri" w:hAnsi="Calibri"/>
          <w:sz w:val="22"/>
        </w:rPr>
        <w:t>2025 – 2026</w:t>
        <w:br/>
      </w:r>
    </w:p>
    <w:p>
      <w:r>
        <w:br w:type="page"/>
      </w:r>
    </w:p>
    <w:p>
      <w:pPr>
        <w:pStyle w:val="Heading1"/>
        <w:keepNext/>
        <w:spacing w:before="360" w:after="160"/>
      </w:pPr>
      <w:r>
        <w:rPr>
          <w:rFonts w:ascii="Georgia" w:hAnsi="Georgia"/>
          <w:b/>
          <w:color w:val="9C3818"/>
          <w:sz w:val="32"/>
        </w:rPr>
        <w:t>2. Introduction and Motivation</w:t>
      </w:r>
    </w:p>
    <w:p>
      <w:pPr>
        <w:pStyle w:val="Heading2"/>
        <w:keepNext/>
        <w:spacing w:before="280" w:after="120"/>
      </w:pPr>
      <w:r>
        <w:rPr>
          <w:rFonts w:ascii="Georgia" w:hAnsi="Georgia"/>
          <w:b/>
          <w:color w:val="22332A"/>
          <w:sz w:val="26"/>
        </w:rPr>
        <w:t>2.1 Background</w:t>
      </w:r>
    </w:p>
    <w:p>
      <w:pPr>
        <w:spacing w:after="120" w:line="276" w:lineRule="auto"/>
      </w:pPr>
      <w:r>
        <w:rPr>
          <w:rFonts w:ascii="Calibri" w:hAnsi="Calibri"/>
          <w:color w:val="222222"/>
          <w:sz w:val="22"/>
        </w:rPr>
        <w:t>India is endowed with one of the world's most culturally profound and architecturally diverse heritage landscapes, spanning ancient Hindu rock-cut temples, Indo-Islamic minarets and gateways, fortified Mughal citadels, and colonial triumphal arches. The Archaeological Survey of India (ASI) administers over 3,600 monuments of national importance. These monuments constitute indispensable cultural capital, embodying millennia of artistic, religious, geometric, and engineering evolution.</w:t>
      </w:r>
    </w:p>
    <w:p>
      <w:pPr>
        <w:spacing w:after="120" w:line="276" w:lineRule="auto"/>
      </w:pPr>
      <w:r>
        <w:rPr>
          <w:rFonts w:ascii="Calibri" w:hAnsi="Calibri"/>
          <w:color w:val="222222"/>
          <w:sz w:val="22"/>
        </w:rPr>
        <w:t>In the modern digital era, cultural heritage preservation increasingly intersects with computing. While physical conservation safeguards physical stone and mortar, digital technologies democratize access, enabling immersive virtual tourism, educational outreach, and automated documentation. When tourists, students, or researchers explore historical sites or review archival photographic collections, they frequently encounter architectural monuments whose names, historical context, or architectural lineages are unfamiliar. Traditional text-based information retrieval requires the user to already know the monument's name. An image-based recognition system inverts this paradigm: a user provides a photograph, and the system autonomously recognizes the landmark, retrieves curated historical context, and provides interactive 3D virtual reconstructions.</w:t>
      </w:r>
    </w:p>
    <w:p>
      <w:pPr>
        <w:pStyle w:val="Heading2"/>
        <w:keepNext/>
        <w:spacing w:before="280" w:after="120"/>
      </w:pPr>
      <w:r>
        <w:rPr>
          <w:rFonts w:ascii="Georgia" w:hAnsi="Georgia"/>
          <w:b/>
          <w:color w:val="22332A"/>
          <w:sz w:val="26"/>
        </w:rPr>
        <w:t>2.2 Problem Statement</w:t>
      </w:r>
    </w:p>
    <w:p>
      <w:pPr>
        <w:spacing w:after="120" w:line="276" w:lineRule="auto"/>
      </w:pPr>
      <w:r>
        <w:rPr>
          <w:rFonts w:ascii="Calibri" w:hAnsi="Calibri"/>
          <w:color w:val="222222"/>
          <w:sz w:val="22"/>
        </w:rPr>
        <w:t>The primary problem addressed by MonuScript is the automatic, explainable identification of supported Indian heritage monuments from unconstrained real-world digital photographs, followed by the seamless hydration of architectural metadata and 3D visual exploration assets. Formally, given an arbitrary two-dimensional RGB photograph f(x, y) in R^(H x W x 3), the system must map the photograph to either one of M = 6 mutually exclusive supported monument classes or explicitly reject the input if it represents an unsupported, ambiguous, or non-monument scene.</w:t>
      </w:r>
    </w:p>
    <w:p>
      <w:pPr>
        <w:spacing w:after="120" w:line="276" w:lineRule="auto"/>
      </w:pPr>
      <w:r>
        <w:rPr>
          <w:rFonts w:ascii="Calibri" w:hAnsi="Calibri"/>
          <w:color w:val="222222"/>
          <w:sz w:val="22"/>
        </w:rPr>
        <w:t>Architectural landmark recognition in unconstrained real-world photography presents severe digital image processing and machine learning challenges:</w:t>
      </w:r>
    </w:p>
    <w:p>
      <w:pPr>
        <w:spacing w:after="120" w:line="276" w:lineRule="auto"/>
        <w:ind w:left="360"/>
      </w:pPr>
      <w:r>
        <w:rPr>
          <w:b/>
        </w:rPr>
        <w:t xml:space="preserve">• Illumination and Diurnal Lighting Changes: </w:t>
      </w:r>
      <w:r>
        <w:t>Direct high-noon sunlight, dawn/dusk golden hours, severe overcast shadows, and artificial spotlights alter pixel reflectance and dynamic range.</w:t>
      </w:r>
    </w:p>
    <w:p>
      <w:pPr>
        <w:spacing w:after="120" w:line="276" w:lineRule="auto"/>
        <w:ind w:left="360"/>
      </w:pPr>
      <w:r>
        <w:rPr>
          <w:b/>
        </w:rPr>
        <w:t xml:space="preserve">• Viewpoint and Perspective Variations: </w:t>
      </w:r>
      <w:r>
        <w:t>Photographs captured from oblique angles, extreme low-angle 'worm's-eye' perspectives, or telephoto zooms deform silhouette aspect ratios and structural projections.</w:t>
      </w:r>
    </w:p>
    <w:p>
      <w:pPr>
        <w:spacing w:after="120" w:line="276" w:lineRule="auto"/>
        <w:ind w:left="360"/>
      </w:pPr>
      <w:r>
        <w:rPr>
          <w:b/>
        </w:rPr>
        <w:t xml:space="preserve">• Viewing Distance and Scale: </w:t>
      </w:r>
      <w:r>
        <w:t>Monuments may dominate the entire image frame or occupy a tiny central corridor amidst extensive surrounding urban scenery.</w:t>
      </w:r>
    </w:p>
    <w:p>
      <w:pPr>
        <w:spacing w:after="120" w:line="276" w:lineRule="auto"/>
        <w:ind w:left="360"/>
      </w:pPr>
      <w:r>
        <w:rPr>
          <w:b/>
        </w:rPr>
        <w:t xml:space="preserve">• Partial Visibility and Heavy Occlusion: </w:t>
      </w:r>
      <w:r>
        <w:t>Monuments are frequently obstructed by crowds, security barriers, trees, scaffolding, or street furniture.</w:t>
      </w:r>
    </w:p>
    <w:p>
      <w:pPr>
        <w:spacing w:after="120" w:line="276" w:lineRule="auto"/>
        <w:ind w:left="360"/>
      </w:pPr>
      <w:r>
        <w:rPr>
          <w:b/>
        </w:rPr>
        <w:t xml:space="preserve">• Background Clutter: </w:t>
      </w:r>
      <w:r>
        <w:t>Sky conditions (clear blue, hazy white, sunset orange), urban traffic, and surrounding modern buildings introduce spurious visual gradients.</w:t>
      </w:r>
    </w:p>
    <w:p>
      <w:pPr>
        <w:spacing w:after="120" w:line="276" w:lineRule="auto"/>
        <w:ind w:left="360"/>
      </w:pPr>
      <w:r>
        <w:rPr>
          <w:b/>
        </w:rPr>
        <w:t xml:space="preserve">• Architectural Cross-Class Similarities: </w:t>
      </w:r>
      <w:r>
        <w:t>Multiple Indian monuments share structural and material elements. Red Fort, Qutub Minar, and India Gate all feature red or buff sandstone, while Taj Mahal and Charminar share dome and minaret motifs.</w:t>
      </w:r>
    </w:p>
    <w:p>
      <w:pPr>
        <w:spacing w:after="120" w:line="276" w:lineRule="auto"/>
        <w:ind w:left="360"/>
      </w:pPr>
      <w:r>
        <w:rPr>
          <w:b/>
        </w:rPr>
        <w:t xml:space="preserve">• Differences in Image Resolution and Encoding: </w:t>
      </w:r>
      <w:r>
        <w:t>Uploaded photographs range from high-resolution DSLR photographs to compressed mobile phone captures and varying aspect ratios.</w:t>
      </w:r>
    </w:p>
    <w:p>
      <w:pPr>
        <w:spacing w:after="120" w:line="276" w:lineRule="auto"/>
        <w:ind w:left="360"/>
      </w:pPr>
      <w:r>
        <w:rPr>
          <w:b/>
        </w:rPr>
        <w:t xml:space="preserve">• Composite / Collage Photographs: </w:t>
      </w:r>
      <w:r>
        <w:t>Users frequently upload photo-collages containing two, three, or four separate monuments combined into a single composite frame.</w:t>
      </w:r>
    </w:p>
    <w:p>
      <w:pPr>
        <w:spacing w:after="120" w:line="276" w:lineRule="auto"/>
        <w:ind w:left="360"/>
      </w:pPr>
      <w:r>
        <w:rPr>
          <w:b/>
        </w:rPr>
        <w:t xml:space="preserve">• Out-of-Distribution Inputs: </w:t>
      </w:r>
      <w:r>
        <w:t>Photographs depicting non-monument scenes (cars, animals, offices) or unsupported global landmarks (Eiffel Tower, Colosseum) must be safely rejected rather than falsely forced into a supported class.</w:t>
      </w:r>
    </w:p>
    <w:p>
      <w:pPr>
        <w:pStyle w:val="Heading2"/>
        <w:keepNext/>
        <w:spacing w:before="280" w:after="120"/>
      </w:pPr>
      <w:r>
        <w:rPr>
          <w:rFonts w:ascii="Georgia" w:hAnsi="Georgia"/>
          <w:b/>
          <w:color w:val="22332A"/>
          <w:sz w:val="26"/>
        </w:rPr>
        <w:t>2.3 Motivation</w:t>
      </w:r>
    </w:p>
    <w:p>
      <w:pPr>
        <w:spacing w:after="120" w:line="276" w:lineRule="auto"/>
      </w:pPr>
      <w:r>
        <w:rPr>
          <w:rFonts w:ascii="Calibri" w:hAnsi="Calibri"/>
          <w:color w:val="222222"/>
          <w:sz w:val="22"/>
        </w:rPr>
        <w:t>Modern computer vision is increasingly dominated by deep neural networks (CNNs, Vision Transformers) that operate as end-to-end black boxes. While effective on massive datasets, deep learning models require immense computational resources, GPUs, millions of parameters, and lack mathematical explainability. Furthermore, in computer science engineering pedagogy, there is profound educational value in applying core Digital Image Processing (DIP) and statistical machine learning concepts—specifically spatial convolution, gray-level transformations, histogram moments, Sobel edge gradients, morphological operations, and Support Vector Machines—to solve a tangible real-world problem.</w:t>
      </w:r>
    </w:p>
    <w:p>
      <w:pPr>
        <w:spacing w:after="120" w:line="276" w:lineRule="auto"/>
      </w:pPr>
      <w:r>
        <w:rPr>
          <w:rFonts w:ascii="Calibri" w:hAnsi="Calibri"/>
          <w:color w:val="222222"/>
          <w:sz w:val="22"/>
        </w:rPr>
        <w:t>MonuScript is deliberately engineered under strict pedagogical and algorithmic constraints: to demonstrate how handcrafted, deterministic image features derived from classical DIP theory can be coupled with a regularized SVM classifier to achieve reliable heritage landmark recognition on standard CPU hardware without deep learning dependencies.</w:t>
      </w:r>
    </w:p>
    <w:p>
      <w:pPr>
        <w:pStyle w:val="Heading2"/>
        <w:keepNext/>
        <w:spacing w:before="280" w:after="120"/>
      </w:pPr>
      <w:r>
        <w:rPr>
          <w:rFonts w:ascii="Georgia" w:hAnsi="Georgia"/>
          <w:b/>
          <w:color w:val="22332A"/>
          <w:sz w:val="26"/>
        </w:rPr>
        <w:t>2.4 Scope</w:t>
      </w:r>
    </w:p>
    <w:p>
      <w:pPr>
        <w:spacing w:after="120" w:line="276" w:lineRule="auto"/>
      </w:pPr>
      <w:r>
        <w:rPr>
          <w:rFonts w:ascii="Calibri" w:hAnsi="Calibri"/>
          <w:color w:val="222222"/>
          <w:sz w:val="22"/>
        </w:rPr>
        <w:t>The current scope of MonuScript is explicitly bounded as follows:</w:t>
      </w:r>
    </w:p>
    <w:tbl>
      <w:tblPr>
        <w:tblW w:type="auto" w:w="0"/>
        <w:jc w:val="center"/>
        <w:tblLook w:firstColumn="1" w:firstRow="1" w:lastColumn="0" w:lastRow="0" w:noHBand="0" w:noVBand="1" w:val="04A0"/>
      </w:tblPr>
      <w:tblGrid>
        <w:gridCol w:w="9360"/>
      </w:tblGrid>
      <w:tr>
        <w:tc>
          <w:tcPr>
            <w:tcW w:type="dxa" w:w="9360"/>
            <w:shd w:fill="FDFBF7"/>
            <w:tcMar>
              <w:top w:w="140" w:type="dxa"/>
              <w:bottom w:w="140" w:type="dxa"/>
              <w:left w:w="180" w:type="dxa"/>
              <w:right w:w="180" w:type="dxa"/>
            </w:tcMar>
            <w:tcBorders>
              <w:top w:val="none"/>
              <w:left w:val="single" w:sz="36" w:space="0" w:color="C85A32"/>
              <w:bottom w:val="none"/>
              <w:right w:val="none"/>
            </w:tcBorders>
          </w:tcPr>
          <w:p>
            <w:pPr>
              <w:spacing w:before="40" w:after="40" w:line="276" w:lineRule="auto"/>
            </w:pPr>
            <w:r>
              <w:rPr>
                <w:rFonts w:ascii="Calibri" w:hAnsi="Calibri"/>
                <w:b/>
                <w:color w:val="8C3A1A"/>
                <w:sz w:val="20"/>
              </w:rPr>
              <w:t xml:space="preserve">[OPERATIONAL SCOPE &amp; BOUNDARY] </w:t>
            </w:r>
            <w:r>
              <w:rPr>
                <w:rFonts w:ascii="Calibri" w:hAnsi="Calibri"/>
                <w:color w:val="333333"/>
                <w:sz w:val="20"/>
              </w:rPr>
              <w:t>MonuScript supports six specific Indian heritage monuments: (1) Taj Mahal, (2) Red Fort, (3) India Gate, (4) Qutub Minar, (5) Hawa Mahal, and (6) Charminar. The system performs image-level architectural classification and multi-candidate regional window scanning. It does NOT claim universal monument recognition across all global landmarks, nor does it deploy an anchor-based real-time bounding box detector like YOLO. Unsupported monuments and non-monument scenes are routed to an explicit multi-tier rejection filter.</w:t>
            </w:r>
          </w:p>
        </w:tc>
      </w:tr>
    </w:tbl>
    <w:p>
      <w:pPr>
        <w:spacing w:after="80"/>
      </w:pPr>
    </w:p>
    <w:p>
      <w:pPr>
        <w:pStyle w:val="Heading2"/>
        <w:keepNext/>
        <w:spacing w:before="280" w:after="120"/>
      </w:pPr>
      <w:r>
        <w:rPr>
          <w:rFonts w:ascii="Georgia" w:hAnsi="Georgia"/>
          <w:b/>
          <w:color w:val="22332A"/>
          <w:sz w:val="26"/>
        </w:rPr>
        <w:t>2.5 Significance</w:t>
      </w:r>
    </w:p>
    <w:p>
      <w:pPr>
        <w:spacing w:after="120" w:line="276" w:lineRule="auto"/>
      </w:pPr>
      <w:r>
        <w:rPr>
          <w:rFonts w:ascii="Calibri" w:hAnsi="Calibri"/>
          <w:color w:val="222222"/>
          <w:sz w:val="22"/>
        </w:rPr>
        <w:t>MonuScript unites computer vision engineering with cultural heritage preservation. Beyond merely reporting a label, the system serves as an interactive educational portal: upon identification, it renders curated historical timelines, builder attributions, architectural stylistic taxonomy (e.g., Mughal, Indo-Islamic, Rajput, Neo-Classical), and directly embeds interactive 3D digital architectural reconstructions via WebGL/Sketchfab. This multi-modal presentation enriches tourism, museum curation, and architectural pedagogy.</w:t>
      </w:r>
    </w:p>
    <w:p>
      <w:pPr>
        <w:pStyle w:val="Heading1"/>
        <w:keepNext/>
        <w:spacing w:before="360" w:after="160"/>
      </w:pPr>
      <w:r>
        <w:rPr>
          <w:rFonts w:ascii="Georgia" w:hAnsi="Georgia"/>
          <w:b/>
          <w:color w:val="9C3818"/>
          <w:sz w:val="32"/>
        </w:rPr>
        <w:t>3. Literature Survey</w:t>
      </w:r>
    </w:p>
    <w:p>
      <w:pPr>
        <w:spacing w:after="120" w:line="276" w:lineRule="auto"/>
      </w:pPr>
      <w:r>
        <w:rPr>
          <w:rFonts w:ascii="Calibri" w:hAnsi="Calibri"/>
          <w:color w:val="222222"/>
          <w:sz w:val="22"/>
        </w:rPr>
        <w:t>A thorough literature survey was conducted across peer-reviewed IEEE, ACM, Springer, and Elsevier publications to examine classical image processing techniques, handcrafted feature representations, SVM classification, probability calibration, and landmark recognition.</w:t>
      </w:r>
    </w:p>
    <w:p>
      <w:pPr>
        <w:pStyle w:val="Heading3"/>
        <w:keepNext/>
        <w:spacing w:before="200" w:after="80"/>
      </w:pPr>
      <w:r>
        <w:rPr>
          <w:rFonts w:ascii="Georgia" w:hAnsi="Georgia"/>
          <w:b/>
          <w:color w:val="444444"/>
          <w:sz w:val="22"/>
        </w:rPr>
        <w:t>Paper 1: Studio encoding parameters of digital television for standard 4:3 and wide-screen 16:9 aspect ratios</w:t>
      </w:r>
    </w:p>
    <w:p>
      <w:pPr>
        <w:spacing w:after="120" w:line="276" w:lineRule="auto"/>
      </w:pPr>
      <w:r>
        <w:rPr>
          <w:b/>
        </w:rPr>
        <w:t xml:space="preserve">Authors: </w:t>
      </w:r>
      <w:r>
        <w:t>International Telecommunication Union Radiocommunication Sector (ITU-R) (1982 (revised 2011))</w:t>
        <w:br/>
      </w:r>
      <w:r>
        <w:rPr>
          <w:b/>
        </w:rPr>
        <w:t xml:space="preserve">Publication Venue: </w:t>
      </w:r>
      <w:r>
        <w:t>Recommendation ITU-R BT.601-7</w:t>
        <w:br/>
      </w:r>
      <w:r>
        <w:rPr>
          <w:b/>
        </w:rPr>
        <w:t xml:space="preserve">Problem Addressed: </w:t>
      </w:r>
      <w:r>
        <w:t>Standardization of digital luminance-chrominance transformations for color video signals.</w:t>
        <w:br/>
      </w:r>
      <w:r>
        <w:rPr>
          <w:b/>
        </w:rPr>
        <w:t xml:space="preserve">Methodology: </w:t>
      </w:r>
      <w:r>
        <w:t>Linear photopic weighted luminance transformation: Y = 0.299R + 0.587G + 0.114B, based on human visual sensitivity across green, red, and blue wavelengths.</w:t>
        <w:br/>
      </w:r>
      <w:r>
        <w:rPr>
          <w:b/>
        </w:rPr>
        <w:t xml:space="preserve">Main Findings: </w:t>
      </w:r>
      <w:r>
        <w:t>Greyscale conversion based on human spectral sensitivity preserves perceived contrast and structural boundaries better than unweighted channel averaging.</w:t>
        <w:br/>
      </w:r>
      <w:r>
        <w:rPr>
          <w:b/>
        </w:rPr>
        <w:t xml:space="preserve">Limitations: </w:t>
      </w:r>
      <w:r>
        <w:t>Discards chrominance information completely; requires supplementary color spaces for chromatic material discrimination.</w:t>
        <w:br/>
      </w:r>
      <w:r>
        <w:rPr>
          <w:b/>
        </w:rPr>
        <w:t xml:space="preserve">Relevance to MonuScript: </w:t>
      </w:r>
      <w:r>
        <w:t>Directly implemented in MonuScript's preprocessing pipeline (`rgb_to_grayscale_syllabus`) for deterministic monochrome conversion.</w:t>
      </w:r>
    </w:p>
    <w:p>
      <w:pPr>
        <w:pStyle w:val="Heading3"/>
        <w:keepNext/>
        <w:spacing w:before="200" w:after="80"/>
      </w:pPr>
      <w:r>
        <w:rPr>
          <w:rFonts w:ascii="Georgia" w:hAnsi="Georgia"/>
          <w:b/>
          <w:color w:val="444444"/>
          <w:sz w:val="22"/>
        </w:rPr>
        <w:t>Paper 2: A 3x3 Isotropic Gradient Operator for Image Processing</w:t>
      </w:r>
    </w:p>
    <w:p>
      <w:pPr>
        <w:spacing w:after="120" w:line="276" w:lineRule="auto"/>
      </w:pPr>
      <w:r>
        <w:rPr>
          <w:b/>
        </w:rPr>
        <w:t xml:space="preserve">Authors: </w:t>
      </w:r>
      <w:r>
        <w:t>I. Sobel and G. Feldman (1968 (presented at Stanford AI Project, pub. 1973))</w:t>
        <w:br/>
      </w:r>
      <w:r>
        <w:rPr>
          <w:b/>
        </w:rPr>
        <w:t xml:space="preserve">Publication Venue: </w:t>
      </w:r>
      <w:r>
        <w:t>Pattern Classification and Scene Analysis (Duda &amp; Hart)</w:t>
        <w:br/>
      </w:r>
      <w:r>
        <w:rPr>
          <w:b/>
        </w:rPr>
        <w:t xml:space="preserve">Problem Addressed: </w:t>
      </w:r>
      <w:r>
        <w:t>Discrete spatial differentiation and edge boundary detection in 2D digital images.</w:t>
        <w:br/>
      </w:r>
      <w:r>
        <w:rPr>
          <w:b/>
        </w:rPr>
        <w:t xml:space="preserve">Methodology: </w:t>
      </w:r>
      <w:r>
        <w:t>Convolution with two orthogonal 3x3 spatial kernels (Sx, Sy) combining discrete central differencing with orthogonal smoothing.</w:t>
        <w:br/>
      </w:r>
      <w:r>
        <w:rPr>
          <w:b/>
        </w:rPr>
        <w:t xml:space="preserve">Main Findings: </w:t>
      </w:r>
      <w:r>
        <w:t>Calculates gradient magnitude G = sqrt(Gx^2 + Gy^2) and orientation theta = atan2(Gy, Gx) with superior noise suppression compared to simple 2x2 differencing.</w:t>
        <w:br/>
      </w:r>
      <w:r>
        <w:rPr>
          <w:b/>
        </w:rPr>
        <w:t xml:space="preserve">Limitations: </w:t>
      </w:r>
      <w:r>
        <w:t>Fixed 3x3 support; sensitive to high-frequency noise without prior Gaussian filtering; does not provide closed structural boundaries.</w:t>
        <w:br/>
      </w:r>
      <w:r>
        <w:rPr>
          <w:b/>
        </w:rPr>
        <w:t xml:space="preserve">Relevance to MonuScript: </w:t>
      </w:r>
      <w:r>
        <w:t>Forms the foundation of MonuScript's 36-dimensional edge feature extractor (`edge_features.py`), capturing monument silhouettes and orientation anisotropy.</w:t>
      </w:r>
    </w:p>
    <w:p>
      <w:pPr>
        <w:pStyle w:val="Heading3"/>
        <w:keepNext/>
        <w:spacing w:before="200" w:after="80"/>
      </w:pPr>
      <w:r>
        <w:rPr>
          <w:rFonts w:ascii="Georgia" w:hAnsi="Georgia"/>
          <w:b/>
          <w:color w:val="444444"/>
          <w:sz w:val="22"/>
        </w:rPr>
        <w:t>Paper 3: A Threshold Selection Method from Gray-Level Histograms</w:t>
      </w:r>
    </w:p>
    <w:p>
      <w:pPr>
        <w:spacing w:after="120" w:line="276" w:lineRule="auto"/>
      </w:pPr>
      <w:r>
        <w:rPr>
          <w:b/>
        </w:rPr>
        <w:t xml:space="preserve">Authors: </w:t>
      </w:r>
      <w:r>
        <w:t>N. Otsu (1979)</w:t>
        <w:br/>
      </w:r>
      <w:r>
        <w:rPr>
          <w:b/>
        </w:rPr>
        <w:t xml:space="preserve">Publication Venue: </w:t>
      </w:r>
      <w:r>
        <w:t>IEEE Transactions on Systems, Man, and Cybernetics, vol. 9, no. 1, pp. 62–66</w:t>
        <w:br/>
      </w:r>
      <w:r>
        <w:rPr>
          <w:b/>
        </w:rPr>
        <w:t xml:space="preserve">Problem Addressed: </w:t>
      </w:r>
      <w:r>
        <w:t>Unsupervised global thresholding for binarizing grayscale images.</w:t>
        <w:br/>
      </w:r>
      <w:r>
        <w:rPr>
          <w:b/>
        </w:rPr>
        <w:t xml:space="preserve">Methodology: </w:t>
      </w:r>
      <w:r>
        <w:t>Exhaustive maximization of between-class variance sigma_B^2(t) based on normalized histogram probability distributions.</w:t>
        <w:br/>
      </w:r>
      <w:r>
        <w:rPr>
          <w:b/>
        </w:rPr>
        <w:t xml:space="preserve">Main Findings: </w:t>
      </w:r>
      <w:r>
        <w:t>Selects mathematically optimal intensity threshold without requiring user parameters or empirical heuristic tuning.</w:t>
        <w:br/>
      </w:r>
      <w:r>
        <w:rPr>
          <w:b/>
        </w:rPr>
        <w:t xml:space="preserve">Limitations: </w:t>
      </w:r>
      <w:r>
        <w:t>Assumes bimodal histogram distributions; performs poorly under severe non-uniform illumination or shadow gradients.</w:t>
        <w:br/>
      </w:r>
      <w:r>
        <w:rPr>
          <w:b/>
        </w:rPr>
        <w:t xml:space="preserve">Relevance to MonuScript: </w:t>
      </w:r>
      <w:r>
        <w:t>Used in MonuScript's edge density calculation to dynamically isolate significant structural contours from ambient noise.</w:t>
      </w:r>
    </w:p>
    <w:p>
      <w:pPr>
        <w:pStyle w:val="Heading3"/>
        <w:keepNext/>
        <w:spacing w:before="200" w:after="80"/>
      </w:pPr>
      <w:r>
        <w:rPr>
          <w:rFonts w:ascii="Georgia" w:hAnsi="Georgia"/>
          <w:b/>
          <w:color w:val="444444"/>
          <w:sz w:val="22"/>
        </w:rPr>
        <w:t>Paper 4: Textural Features for Image Classification</w:t>
      </w:r>
    </w:p>
    <w:p>
      <w:pPr>
        <w:spacing w:after="120" w:line="276" w:lineRule="auto"/>
      </w:pPr>
      <w:r>
        <w:rPr>
          <w:b/>
        </w:rPr>
        <w:t xml:space="preserve">Authors: </w:t>
      </w:r>
      <w:r>
        <w:t>R. M. Haralick, K. Shanmugam, and I. Dinstein (1973)</w:t>
        <w:br/>
      </w:r>
      <w:r>
        <w:rPr>
          <w:b/>
        </w:rPr>
        <w:t xml:space="preserve">Publication Venue: </w:t>
      </w:r>
      <w:r>
        <w:t>IEEE Transactions on Systems, Man, and Cybernetics, vol. SMC-3, no. 6, pp. 610–621</w:t>
        <w:br/>
      </w:r>
      <w:r>
        <w:rPr>
          <w:b/>
        </w:rPr>
        <w:t xml:space="preserve">Problem Addressed: </w:t>
      </w:r>
      <w:r>
        <w:t>Mathematical characterization of surface texture and spatial gray-tone dependencies.</w:t>
        <w:br/>
      </w:r>
      <w:r>
        <w:rPr>
          <w:b/>
        </w:rPr>
        <w:t xml:space="preserve">Methodology: </w:t>
      </w:r>
      <w:r>
        <w:t>Gray-Level Co-occurrence Matrices (GLCM) and statistical spatial moments capturing angular second moment, contrast, correlation, and entropy.</w:t>
        <w:br/>
      </w:r>
      <w:r>
        <w:rPr>
          <w:b/>
        </w:rPr>
        <w:t xml:space="preserve">Main Findings: </w:t>
      </w:r>
      <w:r>
        <w:t>Second-order spatial statistics effectively separate distinct surface textures across aerial and natural scene photography.</w:t>
        <w:br/>
      </w:r>
      <w:r>
        <w:rPr>
          <w:b/>
        </w:rPr>
        <w:t xml:space="preserve">Limitations: </w:t>
      </w:r>
      <w:r>
        <w:t>Computationally intensive for multi-scale configurations; sensitive to image rotation unless circularly averaged.</w:t>
        <w:br/>
      </w:r>
      <w:r>
        <w:rPr>
          <w:b/>
        </w:rPr>
        <w:t xml:space="preserve">Relevance to MonuScript: </w:t>
      </w:r>
      <w:r>
        <w:t>Motivates MonuScript's local standard deviation neighborhood filtering and 3x3 spatial grid texture moment extraction (`texture_features.py`).</w:t>
      </w:r>
    </w:p>
    <w:p>
      <w:pPr>
        <w:pStyle w:val="Heading3"/>
        <w:keepNext/>
        <w:spacing w:before="200" w:after="80"/>
      </w:pPr>
      <w:r>
        <w:rPr>
          <w:rFonts w:ascii="Georgia" w:hAnsi="Georgia"/>
          <w:b/>
          <w:color w:val="444444"/>
          <w:sz w:val="22"/>
        </w:rPr>
        <w:t>Paper 5: Adaptive Histogram Equalization and Its Variations / Realization of CLAHE</w:t>
      </w:r>
    </w:p>
    <w:p>
      <w:pPr>
        <w:spacing w:after="120" w:line="276" w:lineRule="auto"/>
      </w:pPr>
      <w:r>
        <w:rPr>
          <w:b/>
        </w:rPr>
        <w:t xml:space="preserve">Authors: </w:t>
      </w:r>
      <w:r>
        <w:t>S. M. Pizer, E. P. Amburn, J. D. Austin, et al. / A. M. Reza (1987 / 2004)</w:t>
        <w:br/>
      </w:r>
      <w:r>
        <w:rPr>
          <w:b/>
        </w:rPr>
        <w:t xml:space="preserve">Publication Venue: </w:t>
      </w:r>
      <w:r>
        <w:t>CVGIP / Journal of VLSI Signal Processing Systems, vol. 38, no. 1, pp. 35–44</w:t>
        <w:br/>
      </w:r>
      <w:r>
        <w:rPr>
          <w:b/>
        </w:rPr>
        <w:t xml:space="preserve">Problem Addressed: </w:t>
      </w:r>
      <w:r>
        <w:t>Loss of local structural detail and severe noise over-amplification in global histogram equalization.</w:t>
        <w:br/>
      </w:r>
      <w:r>
        <w:rPr>
          <w:b/>
        </w:rPr>
        <w:t xml:space="preserve">Methodology: </w:t>
      </w:r>
      <w:r>
        <w:t>Contrast-Limited Adaptive Histogram Equalization (CLAHE): subdivides image into contextual tiles, clips histogram bin heights, and redistributes pixels with bilinear interpolation.</w:t>
        <w:br/>
      </w:r>
      <w:r>
        <w:rPr>
          <w:b/>
        </w:rPr>
        <w:t xml:space="preserve">Main Findings: </w:t>
      </w:r>
      <w:r>
        <w:t>Significantly enhances local edge contrast in shadow and highlight regions without amplifying uniform background noise.</w:t>
        <w:br/>
      </w:r>
      <w:r>
        <w:rPr>
          <w:b/>
        </w:rPr>
        <w:t xml:space="preserve">Limitations: </w:t>
      </w:r>
      <w:r>
        <w:t>Introduces tile boundary artifacts if interpolation is omitted; requires tuning of clip limit and tile grid parameters.</w:t>
        <w:br/>
      </w:r>
      <w:r>
        <w:rPr>
          <w:b/>
        </w:rPr>
        <w:t xml:space="preserve">Relevance to MonuScript: </w:t>
      </w:r>
      <w:r>
        <w:t>Evaluated in MonuScript experiment E1 and deployed in the production pipeline in CIE LAB luminance space to handle harsh outdoor shadows.</w:t>
      </w:r>
    </w:p>
    <w:p>
      <w:pPr>
        <w:pStyle w:val="Heading3"/>
        <w:keepNext/>
        <w:spacing w:before="200" w:after="80"/>
      </w:pPr>
      <w:r>
        <w:rPr>
          <w:rFonts w:ascii="Georgia" w:hAnsi="Georgia"/>
          <w:b/>
          <w:color w:val="444444"/>
          <w:sz w:val="22"/>
        </w:rPr>
        <w:t>Paper 6: A Theory for Multiresolution Signal Decomposition: The Wavelet Representation</w:t>
      </w:r>
    </w:p>
    <w:p>
      <w:pPr>
        <w:spacing w:after="120" w:line="276" w:lineRule="auto"/>
      </w:pPr>
      <w:r>
        <w:rPr>
          <w:b/>
        </w:rPr>
        <w:t xml:space="preserve">Authors: </w:t>
      </w:r>
      <w:r>
        <w:t>S. G. Mallat (1989)</w:t>
        <w:br/>
      </w:r>
      <w:r>
        <w:rPr>
          <w:b/>
        </w:rPr>
        <w:t xml:space="preserve">Publication Venue: </w:t>
      </w:r>
      <w:r>
        <w:t>IEEE Transactions on Pattern Analysis and Machine Intelligence, vol. 11, no. 7, pp. 674–693</w:t>
        <w:br/>
      </w:r>
      <w:r>
        <w:rPr>
          <w:b/>
        </w:rPr>
        <w:t xml:space="preserve">Problem Addressed: </w:t>
      </w:r>
      <w:r>
        <w:t>Simultaneous spatial and frequency domain characterization of digital signals and textures.</w:t>
        <w:br/>
      </w:r>
      <w:r>
        <w:rPr>
          <w:b/>
        </w:rPr>
        <w:t xml:space="preserve">Methodology: </w:t>
      </w:r>
      <w:r>
        <w:t>Pyramidal 2D Discrete Wavelet Transform (DWT) decomposing images into approximation (LL) and directional detail subbands (LH, HL, HH).</w:t>
        <w:br/>
      </w:r>
      <w:r>
        <w:rPr>
          <w:b/>
        </w:rPr>
        <w:t xml:space="preserve">Main Findings: </w:t>
      </w:r>
      <w:r>
        <w:t>Provides orthogonal, scale-invariant multi-resolution decomposition capturing both macroscopic geometry and microscopic masonry textures.</w:t>
        <w:br/>
      </w:r>
      <w:r>
        <w:rPr>
          <w:b/>
        </w:rPr>
        <w:t xml:space="preserve">Limitations: </w:t>
      </w:r>
      <w:r>
        <w:t>Haar wavelet exhibits directional bias; higher-order wavelets (Daubechies) increase border computational complexity.</w:t>
        <w:br/>
      </w:r>
      <w:r>
        <w:rPr>
          <w:b/>
        </w:rPr>
        <w:t xml:space="preserve">Relevance to MonuScript: </w:t>
      </w:r>
      <w:r>
        <w:t>Implemented and benchmarked in MonuScript experiment E2 (`wavelet_features.py`), extracting 16 multi-resolution subband statistics.</w:t>
      </w:r>
    </w:p>
    <w:p>
      <w:pPr>
        <w:pStyle w:val="Heading3"/>
        <w:keepNext/>
        <w:spacing w:before="200" w:after="80"/>
      </w:pPr>
      <w:r>
        <w:rPr>
          <w:rFonts w:ascii="Georgia" w:hAnsi="Georgia"/>
          <w:b/>
          <w:color w:val="444444"/>
          <w:sz w:val="22"/>
        </w:rPr>
        <w:t>Paper 7: Support-Vector Networks</w:t>
      </w:r>
    </w:p>
    <w:p>
      <w:pPr>
        <w:spacing w:after="120" w:line="276" w:lineRule="auto"/>
      </w:pPr>
      <w:r>
        <w:rPr>
          <w:b/>
        </w:rPr>
        <w:t xml:space="preserve">Authors: </w:t>
      </w:r>
      <w:r>
        <w:t>C. Cortes and V. Vapnik (1995)</w:t>
        <w:br/>
      </w:r>
      <w:r>
        <w:rPr>
          <w:b/>
        </w:rPr>
        <w:t xml:space="preserve">Publication Venue: </w:t>
      </w:r>
      <w:r>
        <w:t>Machine Learning, vol. 20, no. 3, pp. 273–297</w:t>
        <w:br/>
      </w:r>
      <w:r>
        <w:rPr>
          <w:b/>
        </w:rPr>
        <w:t xml:space="preserve">Problem Addressed: </w:t>
      </w:r>
      <w:r>
        <w:t>Supervised binary and multi-class pattern classification in high-dimensional feature spaces.</w:t>
        <w:br/>
      </w:r>
      <w:r>
        <w:rPr>
          <w:b/>
        </w:rPr>
        <w:t xml:space="preserve">Methodology: </w:t>
      </w:r>
      <w:r>
        <w:t>Structural Risk Minimization maximizing geometric margin between classes with soft-margin slack variables and Mercer kernel functions.</w:t>
        <w:br/>
      </w:r>
      <w:r>
        <w:rPr>
          <w:b/>
        </w:rPr>
        <w:t xml:space="preserve">Main Findings: </w:t>
      </w:r>
      <w:r>
        <w:t>Superior generalization bounds compared to multi-layer perceptrons, robust against overfitting on small-sample high-dimensional feature spaces.</w:t>
        <w:br/>
      </w:r>
      <w:r>
        <w:rPr>
          <w:b/>
        </w:rPr>
        <w:t xml:space="preserve">Limitations: </w:t>
      </w:r>
      <w:r>
        <w:t>Computational complexity scales quadratically with training samples; sensitive to feature scaling and hyperparameter selection.</w:t>
        <w:br/>
      </w:r>
      <w:r>
        <w:rPr>
          <w:b/>
        </w:rPr>
        <w:t xml:space="preserve">Relevance to MonuScript: </w:t>
      </w:r>
      <w:r>
        <w:t>Serves as MonuScript's core machine learning classifier (`train_model.py`), evaluating Linear and RBF kernel formulations.</w:t>
      </w:r>
    </w:p>
    <w:p>
      <w:pPr>
        <w:pStyle w:val="Heading3"/>
        <w:keepNext/>
        <w:spacing w:before="200" w:after="80"/>
      </w:pPr>
      <w:r>
        <w:rPr>
          <w:rFonts w:ascii="Georgia" w:hAnsi="Georgia"/>
          <w:b/>
          <w:color w:val="444444"/>
          <w:sz w:val="22"/>
        </w:rPr>
        <w:t>Paper 8: Probabilistic Outputs for Support Vector Machines and Comparisons to Regularized Likelihood Methods</w:t>
      </w:r>
    </w:p>
    <w:p>
      <w:pPr>
        <w:spacing w:after="120" w:line="276" w:lineRule="auto"/>
      </w:pPr>
      <w:r>
        <w:rPr>
          <w:b/>
        </w:rPr>
        <w:t xml:space="preserve">Authors: </w:t>
      </w:r>
      <w:r>
        <w:t>J. Platt (1999)</w:t>
        <w:br/>
      </w:r>
      <w:r>
        <w:rPr>
          <w:b/>
        </w:rPr>
        <w:t xml:space="preserve">Publication Venue: </w:t>
      </w:r>
      <w:r>
        <w:t>Advances in Large Margin Classifiers, MIT Press, vol. 10, no. 3, pp. 61–74</w:t>
        <w:br/>
      </w:r>
      <w:r>
        <w:rPr>
          <w:b/>
        </w:rPr>
        <w:t xml:space="preserve">Problem Addressed: </w:t>
      </w:r>
      <w:r>
        <w:t>Uncalibrated, unnormalized real-valued decision margin outputs produced by Support Vector Machines.</w:t>
        <w:br/>
      </w:r>
      <w:r>
        <w:rPr>
          <w:b/>
        </w:rPr>
        <w:t xml:space="preserve">Methodology: </w:t>
      </w:r>
      <w:r>
        <w:t>Platt Scaling: fits a parametric two-parameter logistic sigmoid function P(y=1|f) = 1 / (1 + exp(Af + B)) over cross-validated decision margins.</w:t>
        <w:br/>
      </w:r>
      <w:r>
        <w:rPr>
          <w:b/>
        </w:rPr>
        <w:t xml:space="preserve">Main Findings: </w:t>
      </w:r>
      <w:r>
        <w:t>Transforms arbitrary SVM distance metrics into well-calibrated posterior class probabilities that sum to 1.0.</w:t>
        <w:br/>
      </w:r>
      <w:r>
        <w:rPr>
          <w:b/>
        </w:rPr>
        <w:t xml:space="preserve">Limitations: </w:t>
      </w:r>
      <w:r>
        <w:t>Can become miscalibrated on very small validation sets or extreme class imbalances.</w:t>
        <w:br/>
      </w:r>
      <w:r>
        <w:rPr>
          <w:b/>
        </w:rPr>
        <w:t xml:space="preserve">Relevance to MonuScript: </w:t>
      </w:r>
      <w:r>
        <w:t>Directly implemented in MonuScript via scikit-learn's `probability=True` to generate calibrated recognition scores and margin indicators.</w:t>
      </w:r>
    </w:p>
    <w:p>
      <w:pPr>
        <w:pStyle w:val="Heading3"/>
        <w:keepNext/>
        <w:spacing w:before="200" w:after="80"/>
      </w:pPr>
      <w:r>
        <w:rPr>
          <w:rFonts w:ascii="Georgia" w:hAnsi="Georgia"/>
          <w:b/>
          <w:color w:val="444444"/>
          <w:sz w:val="22"/>
        </w:rPr>
        <w:t>Paper 9: Tour the World: Building a Web-Scale Landmark Recognition Engine</w:t>
      </w:r>
    </w:p>
    <w:p>
      <w:pPr>
        <w:spacing w:after="120" w:line="276" w:lineRule="auto"/>
      </w:pPr>
      <w:r>
        <w:rPr>
          <w:b/>
        </w:rPr>
        <w:t xml:space="preserve">Authors: </w:t>
      </w:r>
      <w:r>
        <w:t>Y. T. Zheng, M. Zhao, Y. Song, H. Adam, U. Buddemeier, A. Bissacco, F. Brucher, T. S. Huang, and H. Neven (2009)</w:t>
        <w:br/>
      </w:r>
      <w:r>
        <w:rPr>
          <w:b/>
        </w:rPr>
        <w:t xml:space="preserve">Publication Venue: </w:t>
      </w:r>
      <w:r>
        <w:t>IEEE Conference on Computer Vision and Pattern Recognition (CVPR), pp. 1085–1092</w:t>
        <w:br/>
      </w:r>
      <w:r>
        <w:rPr>
          <w:b/>
        </w:rPr>
        <w:t xml:space="preserve">Problem Addressed: </w:t>
      </w:r>
      <w:r>
        <w:t>Scalable recognition of thousands of world landmarks from noisy tourist photo streams.</w:t>
        <w:br/>
      </w:r>
      <w:r>
        <w:rPr>
          <w:b/>
        </w:rPr>
        <w:t xml:space="preserve">Methodology: </w:t>
      </w:r>
      <w:r>
        <w:t>Combination of local interest point descriptors (SIFT), visual bag-of-words quantization, spatial geometric verification, and min-hash clustering.</w:t>
        <w:br/>
      </w:r>
      <w:r>
        <w:rPr>
          <w:b/>
        </w:rPr>
        <w:t xml:space="preserve">Main Findings: </w:t>
      </w:r>
      <w:r>
        <w:t>Robust landmark identification requires coupling macroscopic structural shape with local distinctive features, alongside strict outlier rejection.</w:t>
        <w:br/>
      </w:r>
      <w:r>
        <w:rPr>
          <w:b/>
        </w:rPr>
        <w:t xml:space="preserve">Limitations: </w:t>
      </w:r>
      <w:r>
        <w:t>High memory footprint for visual codebooks; requires millions of web-crawled training images.</w:t>
        <w:br/>
      </w:r>
      <w:r>
        <w:rPr>
          <w:b/>
        </w:rPr>
        <w:t xml:space="preserve">Relevance to MonuScript: </w:t>
      </w:r>
      <w:r>
        <w:t>Informs MonuScript's rejection architecture and demonstrates the necessity of spatial structural verification in heritage recognition.</w:t>
      </w:r>
    </w:p>
    <w:p>
      <w:pPr>
        <w:pStyle w:val="Heading3"/>
        <w:keepNext/>
        <w:spacing w:before="200" w:after="80"/>
      </w:pPr>
      <w:r>
        <w:rPr>
          <w:rFonts w:ascii="Georgia" w:hAnsi="Georgia"/>
          <w:b/>
          <w:color w:val="444444"/>
          <w:sz w:val="22"/>
        </w:rPr>
        <w:t>Paper 10: Automatic Classification of Cultural Heritage Images Using Structural and Texture Descriptors</w:t>
      </w:r>
    </w:p>
    <w:p>
      <w:pPr>
        <w:spacing w:after="120" w:line="276" w:lineRule="auto"/>
      </w:pPr>
      <w:r>
        <w:rPr>
          <w:b/>
        </w:rPr>
        <w:t xml:space="preserve">Authors: </w:t>
      </w:r>
      <w:r>
        <w:t>C. Grana, S. Calderara, and R. Cucchiara (2013)</w:t>
        <w:br/>
      </w:r>
      <w:r>
        <w:rPr>
          <w:b/>
        </w:rPr>
        <w:t xml:space="preserve">Publication Venue: </w:t>
      </w:r>
      <w:r>
        <w:t>ACM Journal on Computing and Cultural Heritage (JOCCH), vol. 6, no. 1, article 4, pp. 1–14</w:t>
        <w:br/>
      </w:r>
      <w:r>
        <w:rPr>
          <w:b/>
        </w:rPr>
        <w:t xml:space="preserve">Problem Addressed: </w:t>
      </w:r>
      <w:r>
        <w:t>Classification of historical architectural styles and decorative elements across Italian cultural monuments.</w:t>
        <w:br/>
      </w:r>
      <w:r>
        <w:rPr>
          <w:b/>
        </w:rPr>
        <w:t xml:space="preserve">Methodology: </w:t>
      </w:r>
      <w:r>
        <w:t>Handcrafted feature extraction combining Sobel gradient orientation histograms, GLCM texture features, color spatial moments, and SVM classification.</w:t>
        <w:br/>
      </w:r>
      <w:r>
        <w:rPr>
          <w:b/>
        </w:rPr>
        <w:t xml:space="preserve">Main Findings: </w:t>
      </w:r>
      <w:r>
        <w:t>Classical image processing features achieve competitive accuracy on architectural classification while remaining completely transparent and interpretable.</w:t>
        <w:br/>
      </w:r>
      <w:r>
        <w:rPr>
          <w:b/>
        </w:rPr>
        <w:t xml:space="preserve">Limitations: </w:t>
      </w:r>
      <w:r>
        <w:t>Feature engineering must be tailored to architectural styles; sensitive to severe perspective distortions.</w:t>
        <w:br/>
      </w:r>
      <w:r>
        <w:rPr>
          <w:b/>
        </w:rPr>
        <w:t xml:space="preserve">Relevance to MonuScript: </w:t>
      </w:r>
      <w:r>
        <w:t>Serves as the primary academic precedent validating MonuScript's classical DIP + SVM methodology for Indian national heritage landmarks.</w:t>
      </w:r>
    </w:p>
    <w:p>
      <w:pPr>
        <w:pStyle w:val="Heading3"/>
        <w:keepNext/>
        <w:spacing w:before="200" w:after="80"/>
      </w:pPr>
      <w:r>
        <w:rPr>
          <w:rFonts w:ascii="Georgia" w:hAnsi="Georgia"/>
          <w:b/>
          <w:color w:val="444444"/>
          <w:sz w:val="22"/>
        </w:rPr>
        <w:t>Paper 11: On Optimum Recognition Error and Reject Tradeoff / Classification with a Reject Option</w:t>
      </w:r>
    </w:p>
    <w:p>
      <w:pPr>
        <w:spacing w:after="120" w:line="276" w:lineRule="auto"/>
      </w:pPr>
      <w:r>
        <w:rPr>
          <w:b/>
        </w:rPr>
        <w:t xml:space="preserve">Authors: </w:t>
      </w:r>
      <w:r>
        <w:t>C. K. Chow / P. L. Bartlett and M. H. Wegkamp (1970 / 2006)</w:t>
        <w:br/>
      </w:r>
      <w:r>
        <w:rPr>
          <w:b/>
        </w:rPr>
        <w:t xml:space="preserve">Publication Venue: </w:t>
      </w:r>
      <w:r>
        <w:t>IEEE Transactions on Information Theory / Journal of Machine Learning Research (JMLR)</w:t>
        <w:br/>
      </w:r>
      <w:r>
        <w:rPr>
          <w:b/>
        </w:rPr>
        <w:t xml:space="preserve">Problem Addressed: </w:t>
      </w:r>
      <w:r>
        <w:t>Preventing catastrophic false acceptances when classifiers encounter out-of-distribution or ambiguous inputs.</w:t>
        <w:br/>
      </w:r>
      <w:r>
        <w:rPr>
          <w:b/>
        </w:rPr>
        <w:t xml:space="preserve">Methodology: </w:t>
      </w:r>
      <w:r>
        <w:t>Optimal decision rule with reject option: accept prediction if and only if max P(y=k|x) exceeds threshold tau and runner-up margin exceeds delta.</w:t>
        <w:br/>
      </w:r>
      <w:r>
        <w:rPr>
          <w:b/>
        </w:rPr>
        <w:t xml:space="preserve">Main Findings: </w:t>
      </w:r>
      <w:r>
        <w:t>Guarantees bounded misclassification error by converting high-risk ambiguous predictions into safe rejections.</w:t>
        <w:br/>
      </w:r>
      <w:r>
        <w:rPr>
          <w:b/>
        </w:rPr>
        <w:t xml:space="preserve">Limitations: </w:t>
      </w:r>
      <w:r>
        <w:t>Trade-off between coverage (acceptance rate) and error rate; optimal thresholds require empirical validation.</w:t>
        <w:br/>
      </w:r>
      <w:r>
        <w:rPr>
          <w:b/>
        </w:rPr>
        <w:t xml:space="preserve">Relevance to MonuScript: </w:t>
      </w:r>
      <w:r>
        <w:t>Provides theoretical foundation for MonuScript's Multi-Tier Rejection Judge (`rejection.py`), enforcing confidence and margin safety gates.</w:t>
      </w:r>
    </w:p>
    <w:p>
      <w:pPr>
        <w:pStyle w:val="Heading3"/>
        <w:keepNext/>
        <w:spacing w:before="200" w:after="80"/>
      </w:pPr>
      <w:r>
        <w:rPr>
          <w:rFonts w:ascii="Georgia" w:hAnsi="Georgia"/>
          <w:b/>
          <w:color w:val="444444"/>
          <w:sz w:val="22"/>
        </w:rPr>
        <w:t>Paper 12: Principal Component Analysis</w:t>
      </w:r>
    </w:p>
    <w:p>
      <w:pPr>
        <w:spacing w:after="120" w:line="276" w:lineRule="auto"/>
      </w:pPr>
      <w:r>
        <w:rPr>
          <w:b/>
        </w:rPr>
        <w:t xml:space="preserve">Authors: </w:t>
      </w:r>
      <w:r>
        <w:t>I. T. Jolliffe (2002)</w:t>
        <w:br/>
      </w:r>
      <w:r>
        <w:rPr>
          <w:b/>
        </w:rPr>
        <w:t xml:space="preserve">Publication Venue: </w:t>
      </w:r>
      <w:r>
        <w:t>Springer Series in Statistics, 2nd ed., Springer-Verlag, New York</w:t>
        <w:br/>
      </w:r>
      <w:r>
        <w:rPr>
          <w:b/>
        </w:rPr>
        <w:t xml:space="preserve">Problem Addressed: </w:t>
      </w:r>
      <w:r>
        <w:t>Curse of dimensionality, multicollinearity, and computational inefficiency in high-dimensional feature spaces.</w:t>
        <w:br/>
      </w:r>
      <w:r>
        <w:rPr>
          <w:b/>
        </w:rPr>
        <w:t xml:space="preserve">Methodology: </w:t>
      </w:r>
      <w:r>
        <w:t>Orthogonal linear transformation projecting data onto principal eigenvectors of the covariance matrix maximizing explained variance.</w:t>
        <w:br/>
      </w:r>
      <w:r>
        <w:rPr>
          <w:b/>
        </w:rPr>
        <w:t xml:space="preserve">Main Findings: </w:t>
      </w:r>
      <w:r>
        <w:t>Preserves &gt;95% of total feature variance while reducing feature dimensionality by 70% or more.</w:t>
        <w:br/>
      </w:r>
      <w:r>
        <w:rPr>
          <w:b/>
        </w:rPr>
        <w:t xml:space="preserve">Limitations: </w:t>
      </w:r>
      <w:r>
        <w:t>Linear technique; cannot capture non-linear manifold relationships; can discard low-variance discriminative features.</w:t>
        <w:br/>
      </w:r>
      <w:r>
        <w:rPr>
          <w:b/>
        </w:rPr>
        <w:t xml:space="preserve">Relevance to MonuScript: </w:t>
      </w:r>
      <w:r>
        <w:t>Evaluated in MonuScript experiment E4 (`experiments_runner.py`), compressing the 139D feature space to 35 principal components.</w:t>
      </w:r>
    </w:p>
    <w:p>
      <w:pPr>
        <w:pStyle w:val="Heading2"/>
        <w:keepNext/>
        <w:spacing w:before="280" w:after="120"/>
      </w:pPr>
      <w:r>
        <w:rPr>
          <w:rFonts w:ascii="Georgia" w:hAnsi="Georgia"/>
          <w:b/>
          <w:color w:val="22332A"/>
          <w:sz w:val="26"/>
        </w:rPr>
        <w:t>Comparative Literature Survey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2C3E50"/>
            <w:tcMar>
              <w:top w:w="100" w:type="dxa"/>
              <w:bottom w:w="100" w:type="dxa"/>
              <w:left w:w="120" w:type="dxa"/>
              <w:right w:w="120" w:type="dxa"/>
            </w:tcMar>
          </w:tcPr>
          <w:p>
            <w:pPr>
              <w:spacing w:before="40" w:after="40"/>
              <w:jc w:val="center"/>
            </w:pPr>
            <w:r>
              <w:rPr>
                <w:rFonts w:ascii="Calibri" w:hAnsi="Calibri"/>
                <w:b/>
                <w:color w:val="FFFFFF"/>
                <w:sz w:val="19"/>
              </w:rPr>
              <w:t>Study &amp; Year</w:t>
            </w:r>
          </w:p>
        </w:tc>
        <w:tc>
          <w:tcPr>
            <w:tcW w:type="dxa" w:w="1440"/>
            <w:shd w:fill="2C3E50"/>
            <w:tcMar>
              <w:top w:w="100" w:type="dxa"/>
              <w:bottom w:w="100" w:type="dxa"/>
              <w:left w:w="120" w:type="dxa"/>
              <w:right w:w="120" w:type="dxa"/>
            </w:tcMar>
          </w:tcPr>
          <w:p>
            <w:pPr>
              <w:spacing w:before="40" w:after="40"/>
              <w:jc w:val="center"/>
            </w:pPr>
            <w:r>
              <w:rPr>
                <w:rFonts w:ascii="Calibri" w:hAnsi="Calibri"/>
                <w:b/>
                <w:color w:val="FFFFFF"/>
                <w:sz w:val="19"/>
              </w:rPr>
              <w:t>Technique</w:t>
            </w:r>
          </w:p>
        </w:tc>
        <w:tc>
          <w:tcPr>
            <w:tcW w:type="dxa" w:w="1584"/>
            <w:shd w:fill="2C3E50"/>
            <w:tcMar>
              <w:top w:w="100" w:type="dxa"/>
              <w:bottom w:w="100" w:type="dxa"/>
              <w:left w:w="120" w:type="dxa"/>
              <w:right w:w="120" w:type="dxa"/>
            </w:tcMar>
          </w:tcPr>
          <w:p>
            <w:pPr>
              <w:spacing w:before="40" w:after="40"/>
              <w:jc w:val="center"/>
            </w:pPr>
            <w:r>
              <w:rPr>
                <w:rFonts w:ascii="Calibri" w:hAnsi="Calibri"/>
                <w:b/>
                <w:color w:val="FFFFFF"/>
                <w:sz w:val="19"/>
              </w:rPr>
              <w:t>Problem Addressed</w:t>
            </w:r>
          </w:p>
        </w:tc>
        <w:tc>
          <w:tcPr>
            <w:tcW w:type="dxa" w:w="1728"/>
            <w:shd w:fill="2C3E50"/>
            <w:tcMar>
              <w:top w:w="100" w:type="dxa"/>
              <w:bottom w:w="100" w:type="dxa"/>
              <w:left w:w="120" w:type="dxa"/>
              <w:right w:w="120" w:type="dxa"/>
            </w:tcMar>
          </w:tcPr>
          <w:p>
            <w:pPr>
              <w:spacing w:before="40" w:after="40"/>
              <w:jc w:val="center"/>
            </w:pPr>
            <w:r>
              <w:rPr>
                <w:rFonts w:ascii="Calibri" w:hAnsi="Calibri"/>
                <w:b/>
                <w:color w:val="FFFFFF"/>
                <w:sz w:val="19"/>
              </w:rPr>
              <w:t>Key Relevant Findings</w:t>
            </w:r>
          </w:p>
        </w:tc>
        <w:tc>
          <w:tcPr>
            <w:tcW w:type="dxa" w:w="1584"/>
            <w:shd w:fill="2C3E50"/>
            <w:tcMar>
              <w:top w:w="100" w:type="dxa"/>
              <w:bottom w:w="100" w:type="dxa"/>
              <w:left w:w="120" w:type="dxa"/>
              <w:right w:w="120" w:type="dxa"/>
            </w:tcMar>
          </w:tcPr>
          <w:p>
            <w:pPr>
              <w:spacing w:before="40" w:after="40"/>
              <w:jc w:val="center"/>
            </w:pPr>
            <w:r>
              <w:rPr>
                <w:rFonts w:ascii="Calibri" w:hAnsi="Calibri"/>
                <w:b/>
                <w:color w:val="FFFFFF"/>
                <w:sz w:val="19"/>
              </w:rPr>
              <w:t>Limitations</w:t>
            </w:r>
          </w:p>
        </w:tc>
        <w:tc>
          <w:tcPr>
            <w:tcW w:type="dxa" w:w="1584"/>
            <w:shd w:fill="2C3E50"/>
            <w:tcMar>
              <w:top w:w="100" w:type="dxa"/>
              <w:bottom w:w="100" w:type="dxa"/>
              <w:left w:w="120" w:type="dxa"/>
              <w:right w:w="120" w:type="dxa"/>
            </w:tcMar>
          </w:tcPr>
          <w:p>
            <w:pPr>
              <w:spacing w:before="40" w:after="40"/>
              <w:jc w:val="center"/>
            </w:pPr>
            <w:r>
              <w:rPr>
                <w:rFonts w:ascii="Calibri" w:hAnsi="Calibri"/>
                <w:b/>
                <w:color w:val="FFFFFF"/>
                <w:sz w:val="19"/>
              </w:rPr>
              <w:t>Relevance to MonuScript</w:t>
            </w:r>
          </w:p>
        </w:tc>
      </w:tr>
      <w:tr>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ITU-R BT.601 (1982)</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Photopic Luminance Transformation</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Digital color encoding</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Human eye weights (0.299R + 0.587G + 0.114B) preserve structural contrast</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Discards chrominance entirely</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Implemented in syllabus greyscale preprocessing</w:t>
            </w:r>
          </w:p>
        </w:tc>
      </w:tr>
      <w:tr>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Sobel &amp; Feldman (1968)</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3x3 Spatial Convolution Kernels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Discrete gradient detection</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Orthogonal differencing + smoothing computes G and theta robustly</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Fixed 3x3 support; sensitive to noise</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Core 36D edge magnitude and orientation feature extractor</w:t>
            </w:r>
          </w:p>
        </w:tc>
      </w:tr>
      <w:tr>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Otsu (1979)</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Histogram Between-Class Variance</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Unsupervised binarization</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Non-parametric optimal threshold selection from grey-level histograms</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Assumes bimodal histogram</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Computes dynamic structural edge density threshold</w:t>
            </w:r>
          </w:p>
        </w:tc>
      </w:tr>
      <w:tr>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Haralick et al. (1973)</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Spatial Gray-Tone Co-occurrence</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Texture classification</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Second-order spatial moments capture surface coarseness and regularity</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High computation for multi-scales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Motivates local variance filter and 3x3 spatial grid texture moments</w:t>
            </w:r>
          </w:p>
        </w:tc>
      </w:tr>
      <w:tr>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Pizer / Reza (1987/2004)</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Contrast-Limited AHE (CLAHE)</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Local contrast enhancement</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Bilinear contextual tile equalization prevents noise over-amplification</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Requires tile/clip tuning</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Evaluated in E1; adopted in production LAB pipeline</w:t>
            </w:r>
          </w:p>
        </w:tc>
      </w:tr>
      <w:tr>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Mallat (1989)</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2D Discrete Wavelet Transform</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Multiresolution signal analysis</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Haar/db wavelets isolate macroscopic structure and microscopic masonry</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Haar wavelet has directional bias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Evaluated in E2; extracts 16 multiresolution subband moments</w:t>
            </w:r>
          </w:p>
        </w:tc>
      </w:tr>
      <w:tr>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Cortes &amp; Vapnik (1995)</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Support Vector Machines</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High-dimensional classification</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Max-margin hyperplane with Mercer kernels prevents overfitting</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Quadratic scaling with sample size</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Primary supervised classification engine (Linear &amp; RBF)</w:t>
            </w:r>
          </w:p>
        </w:tc>
      </w:tr>
      <w:tr>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Platt (1999)</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Logistic Sigmoid Calibration</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SVM decision margin calibration</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Cross-validated logistic regression outputs true calibrated probabilities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Can miscalibrate on tiny sets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Provides probabilistic confidence scores for user display</w:t>
            </w:r>
          </w:p>
        </w:tc>
      </w:tr>
      <w:tr>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Zheng et al. (2009)</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Landmark Search Engine</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Web-scale tourist landmark search</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Couples geometric verification with strict outlier rejection</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High memory codebooks</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Demonstrates necessity of out-of-distribution rejection filter</w:t>
            </w:r>
          </w:p>
        </w:tc>
      </w:tr>
      <w:tr>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Grana et al. (2013)</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Handcrafted Structural Descriptors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Cultural heritage classification</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Sobel orientations + GLCM + SVM achieve strong heritage accuracy</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Manual tuning across styles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Validates classical DIP + SVM approach for architectural heritage</w:t>
            </w:r>
          </w:p>
        </w:tc>
      </w:tr>
      <w:tr>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Chow / Bartlett (1970/2006)</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Classification with Reject Option</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Uncertainty &amp; outlier prevention</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Multi-criteria thresholding bounds risk of catastrophic false acceptances</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Reduces coverage / accept rate</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Theoretical foundation for MonuScript's RejectionJudge</w:t>
            </w:r>
          </w:p>
        </w:tc>
      </w:tr>
      <w:tr>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Jolliffe (2002)</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Principal Component Analysis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Dimensionality reduction</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Orthogonal eigenvector projection retains 95% variance with 75% fewer features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Linear assumption only</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Evaluated in E4; compresses feature space from 139D to 35D</w:t>
            </w:r>
          </w:p>
        </w:tc>
      </w:tr>
    </w:tbl>
    <w:p>
      <w:pPr>
        <w:spacing w:after="120"/>
      </w:pPr>
    </w:p>
    <w:p>
      <w:pPr>
        <w:pStyle w:val="Heading1"/>
        <w:keepNext/>
        <w:spacing w:before="360" w:after="160"/>
      </w:pPr>
      <w:r>
        <w:rPr>
          <w:rFonts w:ascii="Georgia" w:hAnsi="Georgia"/>
          <w:b/>
          <w:color w:val="9C3818"/>
          <w:sz w:val="32"/>
        </w:rPr>
        <w:t>4. Challenges Identified from the Literature Survey</w:t>
      </w:r>
    </w:p>
    <w:p>
      <w:pPr>
        <w:pStyle w:val="Heading2"/>
        <w:keepNext/>
        <w:spacing w:before="280" w:after="120"/>
      </w:pPr>
      <w:r>
        <w:rPr>
          <w:rFonts w:ascii="Georgia" w:hAnsi="Georgia"/>
          <w:b/>
          <w:color w:val="22332A"/>
          <w:sz w:val="26"/>
        </w:rPr>
        <w:t>4.1 Illumination and Colour Variation</w:t>
      </w:r>
    </w:p>
    <w:p>
      <w:pPr>
        <w:spacing w:after="120" w:line="276" w:lineRule="auto"/>
      </w:pPr>
      <w:r>
        <w:rPr>
          <w:rFonts w:ascii="Calibri" w:hAnsi="Calibri"/>
          <w:color w:val="222222"/>
          <w:sz w:val="22"/>
        </w:rPr>
        <w:t>Outdoor monument photography is exposed to severe diurnal, seasonal, and atmospheric lighting shifts. Direct midday sun creates harsh directional shadows and clipped highlights; dawn and dusk introduce golden-orange chromatic casts; overcast skies reduce dynamic contrast; and evening spotlighting generates artificial specular highlights. RGB colour channels are tightly coupled with luminance (I = R+G+B), causing raw pixel colour values to shift drastically under different weather conditions. Traditional color-dependent classifiers fail catastrophically if they rely solely on RGB values. In MonuScript, this challenge is tackled by decoupling chromaticity via HSV color space (Hue and Saturation separated from Value) and applying CLAHE to the lightness channel in CIE LAB space.</w:t>
      </w:r>
    </w:p>
    <w:p>
      <w:pPr>
        <w:pStyle w:val="Heading2"/>
        <w:keepNext/>
        <w:spacing w:before="280" w:after="120"/>
      </w:pPr>
      <w:r>
        <w:rPr>
          <w:rFonts w:ascii="Georgia" w:hAnsi="Georgia"/>
          <w:b/>
          <w:color w:val="22332A"/>
          <w:sz w:val="26"/>
        </w:rPr>
        <w:t>4.2 Viewpoint and Scale Variation</w:t>
      </w:r>
    </w:p>
    <w:p>
      <w:pPr>
        <w:spacing w:after="120" w:line="276" w:lineRule="auto"/>
      </w:pPr>
      <w:r>
        <w:rPr>
          <w:rFonts w:ascii="Calibri" w:hAnsi="Calibri"/>
          <w:color w:val="222222"/>
          <w:sz w:val="22"/>
        </w:rPr>
        <w:t>Photographers capture monuments from arbitrary standpoints: tourist selfies captured from ground level beneath an arch, wide-angle establishing shots from hundreds of meters away, and oblique angular shots. These variations introduce affine and perspective distortions that alter apparent height-to-width ratios, foreshorten vertical minarets, and warp rectangular gateways into trapezoids. Feature representations must incorporate scale-invariant moments and normalized edge orientation histograms rather than rigid template matching.</w:t>
      </w:r>
    </w:p>
    <w:p>
      <w:pPr>
        <w:pStyle w:val="Heading2"/>
        <w:keepNext/>
        <w:spacing w:before="280" w:after="120"/>
      </w:pPr>
      <w:r>
        <w:rPr>
          <w:rFonts w:ascii="Georgia" w:hAnsi="Georgia"/>
          <w:b/>
          <w:color w:val="22332A"/>
          <w:sz w:val="26"/>
        </w:rPr>
        <w:t>4.3 Similar Architectural Characteristics</w:t>
      </w:r>
    </w:p>
    <w:p>
      <w:pPr>
        <w:spacing w:after="120" w:line="276" w:lineRule="auto"/>
      </w:pPr>
      <w:r>
        <w:rPr>
          <w:rFonts w:ascii="Calibri" w:hAnsi="Calibri"/>
          <w:color w:val="222222"/>
          <w:sz w:val="22"/>
        </w:rPr>
        <w:t>Indian monuments frequently share structural paradigms. The Mughal architectural idiom (manifest in Taj Mahal and Red Fort) features pointed cusped arches, chattris, and bulbous domes. Furthermore, material overlap is severe: Red Fort, Qutub Minar, and India Gate are predominantly constructed from red, yellow, and buff sandstone. Consequently, generic color histograms exhibit high cross-class correlation. The classifier must rely on subtle structural differences, such as the open central void and attic cornice of India Gate versus the continuous fluted vertical column of Qutub Minar.</w:t>
      </w:r>
    </w:p>
    <w:p>
      <w:pPr>
        <w:pStyle w:val="Heading2"/>
        <w:keepNext/>
        <w:spacing w:before="280" w:after="120"/>
      </w:pPr>
      <w:r>
        <w:rPr>
          <w:rFonts w:ascii="Georgia" w:hAnsi="Georgia"/>
          <w:b/>
          <w:color w:val="22332A"/>
          <w:sz w:val="26"/>
        </w:rPr>
        <w:t>4.4 Background and Context Dependence</w:t>
      </w:r>
    </w:p>
    <w:p>
      <w:pPr>
        <w:spacing w:after="120" w:line="276" w:lineRule="auto"/>
      </w:pPr>
      <w:r>
        <w:rPr>
          <w:rFonts w:ascii="Calibri" w:hAnsi="Calibri"/>
          <w:color w:val="222222"/>
          <w:sz w:val="22"/>
        </w:rPr>
        <w:t>A critical risk in computer vision is background bias: a machine learning model may learn to associate Taj Mahal with a reflective blue water basin or clear sky, rather than the marble mausoleum itself. If a photograph of the Taj Mahal is captured from the side or rear (where no reflecting pool exists) or under heavy fog, a background-dependent model fails. Conversely, if an unrelated building with a blue pool is uploaded, a biased model may falsely predict Taj Mahal. The system must prioritize foreground architectural contours and boundaries.</w:t>
      </w:r>
    </w:p>
    <w:p>
      <w:pPr>
        <w:pStyle w:val="Heading2"/>
        <w:keepNext/>
        <w:spacing w:before="280" w:after="120"/>
      </w:pPr>
      <w:r>
        <w:rPr>
          <w:rFonts w:ascii="Georgia" w:hAnsi="Georgia"/>
          <w:b/>
          <w:color w:val="22332A"/>
          <w:sz w:val="26"/>
        </w:rPr>
        <w:t>4.5 Dataset Limitations</w:t>
      </w:r>
    </w:p>
    <w:p>
      <w:pPr>
        <w:spacing w:after="120" w:line="276" w:lineRule="auto"/>
      </w:pPr>
      <w:r>
        <w:rPr>
          <w:rFonts w:ascii="Calibri" w:hAnsi="Calibri"/>
          <w:color w:val="222222"/>
          <w:sz w:val="22"/>
        </w:rPr>
        <w:t>Unlike commercial landmark systems trained on millions of web-scraped images, academic prototype systems operate under limited dataset regimes. Curating an authentic, physically independent dataset of national monuments requires careful elimination of duplicate burst shots, ensuring balanced representation across all supported classes, and rigorously isolating training, validation, and test partitions to prevent data leakage.</w:t>
      </w:r>
    </w:p>
    <w:p>
      <w:pPr>
        <w:pStyle w:val="Heading2"/>
        <w:keepNext/>
        <w:spacing w:before="280" w:after="120"/>
      </w:pPr>
      <w:r>
        <w:rPr>
          <w:rFonts w:ascii="Georgia" w:hAnsi="Georgia"/>
          <w:b/>
          <w:color w:val="22332A"/>
          <w:sz w:val="26"/>
        </w:rPr>
        <w:t>4.6 Feature Representation</w:t>
      </w:r>
    </w:p>
    <w:p>
      <w:pPr>
        <w:spacing w:after="120" w:line="276" w:lineRule="auto"/>
      </w:pPr>
      <w:r>
        <w:rPr>
          <w:rFonts w:ascii="Calibri" w:hAnsi="Calibri"/>
          <w:color w:val="222222"/>
          <w:sz w:val="22"/>
        </w:rPr>
        <w:t>Low-level image features (such as raw pixel intensities or unweighted global histograms) lack spatial arrangement information. A photograph of a red brick wall might yield an identical color histogram to the Red Fort. Handcrafted feature extractors must encode spatial geometry—such as partitioning the image into a 3x3 spatial grid, extracting directional edge anisotropy, and designing domain-specific architectural descriptors.</w:t>
      </w:r>
    </w:p>
    <w:p>
      <w:pPr>
        <w:pStyle w:val="Heading2"/>
        <w:keepNext/>
        <w:spacing w:before="280" w:after="120"/>
      </w:pPr>
      <w:r>
        <w:rPr>
          <w:rFonts w:ascii="Georgia" w:hAnsi="Georgia"/>
          <w:b/>
          <w:color w:val="22332A"/>
          <w:sz w:val="26"/>
        </w:rPr>
        <w:t>4.7 Rejection and Uncertainty</w:t>
      </w:r>
    </w:p>
    <w:p>
      <w:pPr>
        <w:spacing w:after="120" w:line="276" w:lineRule="auto"/>
      </w:pPr>
      <w:r>
        <w:rPr>
          <w:rFonts w:ascii="Calibri" w:hAnsi="Calibri"/>
          <w:color w:val="222222"/>
          <w:sz w:val="22"/>
        </w:rPr>
        <w:t>In closed-set classification, a standard classifier forces every input into one of its M known classes. When presented with an out-of-distribution image (such as a modern glass skyscraper or the Eiffel Tower), an uncalibrated SVM will output a 100% false acceptance. Deploying a heritage recognition system in the real world mandates an active rejection filter that evaluates confidence score thresholds, runner-up margin differences, and feature centroid distances.</w:t>
      </w:r>
    </w:p>
    <w:p>
      <w:pPr>
        <w:pStyle w:val="Heading2"/>
        <w:keepNext/>
        <w:spacing w:before="280" w:after="120"/>
      </w:pPr>
      <w:r>
        <w:rPr>
          <w:rFonts w:ascii="Georgia" w:hAnsi="Georgia"/>
          <w:b/>
          <w:color w:val="22332A"/>
          <w:sz w:val="26"/>
        </w:rPr>
        <w:t>4.8 Computational and Implementation Constraints</w:t>
      </w:r>
    </w:p>
    <w:p>
      <w:pPr>
        <w:spacing w:after="120" w:line="276" w:lineRule="auto"/>
      </w:pPr>
      <w:r>
        <w:rPr>
          <w:rFonts w:ascii="Calibri" w:hAnsi="Calibri"/>
          <w:color w:val="222222"/>
          <w:sz w:val="22"/>
        </w:rPr>
        <w:t>Heritage exploration applications intended for edge devices, museum kiosks, or resource-constrained web servers must operate with minimal latency without requiring dedicated GPU accelerators. Feature extraction algorithms and SVM inference must execute efficiently on standard CPU architectures within sub-150 millisecond response times.</w:t>
      </w:r>
    </w:p>
    <w:p>
      <w:pPr>
        <w:pStyle w:val="Heading2"/>
        <w:keepNext/>
        <w:spacing w:before="280" w:after="120"/>
      </w:pPr>
      <w:r>
        <w:rPr>
          <w:rFonts w:ascii="Georgia" w:hAnsi="Georgia"/>
          <w:b/>
          <w:color w:val="22332A"/>
          <w:sz w:val="26"/>
        </w:rPr>
        <w:t>4.9 Identified Research and Engineering Gap</w:t>
      </w:r>
    </w:p>
    <w:p>
      <w:pPr>
        <w:spacing w:after="120" w:line="276" w:lineRule="auto"/>
      </w:pPr>
      <w:r>
        <w:rPr>
          <w:rFonts w:ascii="Calibri" w:hAnsi="Calibri"/>
          <w:color w:val="222222"/>
          <w:sz w:val="22"/>
        </w:rPr>
        <w:t>While deep learning literature offers high benchmark accuracy on massive landmark datasets, there is an acute engineering and pedagogical gap in developing a fully explainable, CPU-efficient, deterministic recognition system based strictly on university Digital Image Processing syllabus units. MonuScript bridges this gap by engineering a 155-dimensional feature pipeline that maps directly to textbook DIP formulations, couples them with a tuned SVM, enforces calibrated multi-tier rejection, and delivers an interactive 3D virtual exploration interface.</w:t>
      </w:r>
    </w:p>
    <w:p>
      <w:pPr>
        <w:pStyle w:val="Heading1"/>
        <w:keepNext/>
        <w:spacing w:before="360" w:after="160"/>
      </w:pPr>
      <w:r>
        <w:rPr>
          <w:rFonts w:ascii="Georgia" w:hAnsi="Georgia"/>
          <w:b/>
          <w:color w:val="9C3818"/>
          <w:sz w:val="32"/>
        </w:rPr>
        <w:t>5. Objectives</w:t>
      </w:r>
    </w:p>
    <w:p>
      <w:pPr>
        <w:pStyle w:val="Heading2"/>
        <w:keepNext/>
        <w:spacing w:before="280" w:after="120"/>
      </w:pPr>
      <w:r>
        <w:rPr>
          <w:rFonts w:ascii="Georgia" w:hAnsi="Georgia"/>
          <w:b/>
          <w:color w:val="22332A"/>
          <w:sz w:val="26"/>
        </w:rPr>
        <w:t>5.1 Primary Objectives</w:t>
      </w:r>
    </w:p>
    <w:p>
      <w:pPr>
        <w:spacing w:after="120" w:line="276" w:lineRule="auto"/>
        <w:ind w:left="360"/>
      </w:pPr>
      <w:r>
        <w:rPr>
          <w:b/>
        </w:rPr>
        <w:t xml:space="preserve">• Develop an Image-Based Heritage Recognition Engine: </w:t>
      </w:r>
      <w:r>
        <w:t>Implement a deterministic software pipeline capable of ingesting digital photographs and recognizing six prominent Indian monuments: Taj Mahal, Red Fort, India Gate, Qutub Minar, Hawa Mahal, and Charminar. [Implemented and Verified]</w:t>
      </w:r>
    </w:p>
    <w:p>
      <w:pPr>
        <w:spacing w:after="120" w:line="276" w:lineRule="auto"/>
        <w:ind w:left="360"/>
      </w:pPr>
      <w:r>
        <w:rPr>
          <w:b/>
        </w:rPr>
        <w:t xml:space="preserve">• Implement Textbook Digital Image Preprocessing: </w:t>
      </w:r>
      <w:r>
        <w:t>Formulate and apply exact mathematical transformations including ITU-R BT.601 grayscale conversion, LAB-space CLAHE local contrast enhancement, and HSV color space extraction. [Implemented and Verified]</w:t>
      </w:r>
    </w:p>
    <w:p>
      <w:pPr>
        <w:spacing w:after="120" w:line="276" w:lineRule="auto"/>
        <w:ind w:left="360"/>
      </w:pPr>
      <w:r>
        <w:rPr>
          <w:b/>
        </w:rPr>
        <w:t xml:space="preserve">• Extract Explainable Handcrafted DIP Features: </w:t>
      </w:r>
      <w:r>
        <w:t>Construct a master 155-dimensional feature representation combining grayscale histograms, statistical moments, Sobel gradient orientations, local texture filters, 3x3 spatial grid statistics, HSV chromaticity, and 16 architectural descriptors. [Implemented and Verified]</w:t>
      </w:r>
    </w:p>
    <w:p>
      <w:pPr>
        <w:spacing w:after="120" w:line="276" w:lineRule="auto"/>
        <w:ind w:left="360"/>
      </w:pPr>
      <w:r>
        <w:rPr>
          <w:b/>
        </w:rPr>
        <w:t xml:space="preserve">• Train and Optimize a Support Vector Machine (SVM): </w:t>
      </w:r>
      <w:r>
        <w:t>Train an SVM classifier using balanced class weights, compare Linear and RBF kernel formulations, tune hyperparameters via validation grid search, and calibrate posterior probabilities via Platt scaling. [Implemented and Verified]</w:t>
      </w:r>
    </w:p>
    <w:p>
      <w:pPr>
        <w:spacing w:after="120" w:line="276" w:lineRule="auto"/>
        <w:ind w:left="360"/>
      </w:pPr>
      <w:r>
        <w:rPr>
          <w:b/>
        </w:rPr>
        <w:t xml:space="preserve">• Deploy a Multi-Tier Out-of-Distribution Rejection Mechanism: </w:t>
      </w:r>
      <w:r>
        <w:t>Engineer a safety gate based on minimum confidence (tau_accept = 0.42), runner-up margin (tau_margin = 0.12), and Euclidean centroid distance to reject ambiguous or unsupported images. [Implemented and Verified]</w:t>
      </w:r>
    </w:p>
    <w:p>
      <w:pPr>
        <w:spacing w:after="120" w:line="276" w:lineRule="auto"/>
        <w:ind w:left="360"/>
      </w:pPr>
      <w:r>
        <w:rPr>
          <w:b/>
        </w:rPr>
        <w:t xml:space="preserve">• Hydrate Rich Architectural Metadata and 3D Virtual Models: </w:t>
      </w:r>
      <w:r>
        <w:t>Connect recognition results to builder attributions, construction timelines, architectural style taxonomy, and interactive Sketchfab 3D WebGL reconstructions. [Implemented and Verified]</w:t>
      </w:r>
    </w:p>
    <w:p>
      <w:pPr>
        <w:spacing w:after="120" w:line="276" w:lineRule="auto"/>
        <w:ind w:left="360"/>
      </w:pPr>
      <w:r>
        <w:rPr>
          <w:b/>
        </w:rPr>
        <w:t xml:space="preserve">• Conduct Rigorous Experimental Benchmarking: </w:t>
      </w:r>
      <w:r>
        <w:t>Evaluate baseline versus enhanced feature combinations on held-out test data and negative control images, reporting accuracy, precision, recall, F1-scores, confusion matrices, and latency. [Implemented and Verified]</w:t>
      </w:r>
    </w:p>
    <w:p>
      <w:pPr>
        <w:pStyle w:val="Heading2"/>
        <w:keepNext/>
        <w:spacing w:before="280" w:after="120"/>
      </w:pPr>
      <w:r>
        <w:rPr>
          <w:rFonts w:ascii="Georgia" w:hAnsi="Georgia"/>
          <w:b/>
          <w:color w:val="22332A"/>
          <w:sz w:val="26"/>
        </w:rPr>
        <w:t>5.2 Secondary Objectives</w:t>
      </w:r>
    </w:p>
    <w:p>
      <w:pPr>
        <w:spacing w:after="120" w:line="276" w:lineRule="auto"/>
        <w:ind w:left="360"/>
      </w:pPr>
      <w:r>
        <w:rPr>
          <w:b/>
        </w:rPr>
        <w:t xml:space="preserve">• Controlled Training-Set Illumination Augmentation: </w:t>
      </w:r>
      <w:r>
        <w:t>Synthesize warm sunlight (alpha=1.1, beta=10) and overcast gamma (gamma=1.15) variations on the training partition strictly without test leakage. [Implemented and Verified]</w:t>
      </w:r>
    </w:p>
    <w:p>
      <w:pPr>
        <w:spacing w:after="120" w:line="276" w:lineRule="auto"/>
        <w:ind w:left="360"/>
      </w:pPr>
      <w:r>
        <w:rPr>
          <w:b/>
        </w:rPr>
        <w:t xml:space="preserve">• Regional Scanning for Multi-Monument Collages: </w:t>
      </w:r>
      <w:r>
        <w:t>Implement a 15-region sliding-window spatial grid scanner to detect multiple distinct monuments in composite photographs. [Implemented and Verified]</w:t>
      </w:r>
    </w:p>
    <w:p>
      <w:pPr>
        <w:spacing w:after="120" w:line="276" w:lineRule="auto"/>
        <w:ind w:left="360"/>
      </w:pPr>
      <w:r>
        <w:rPr>
          <w:b/>
        </w:rPr>
        <w:t xml:space="preserve">• Persistence and Cold-Start Resilience: </w:t>
      </w:r>
      <w:r>
        <w:t>Provide dual-layer persistence combining server-side SQLite relational storage with client-side base64 thumbnail caching in browser localStorage. [Implemented and Verified]</w:t>
      </w:r>
    </w:p>
    <w:p>
      <w:pPr>
        <w:spacing w:after="120" w:line="276" w:lineRule="auto"/>
        <w:ind w:left="360"/>
      </w:pPr>
      <w:r>
        <w:rPr>
          <w:b/>
        </w:rPr>
        <w:t xml:space="preserve">• Sub-Pixel Contour and Corner Boundary Morphometry: </w:t>
      </w:r>
      <w:r>
        <w:t>Extract higher-order curvature scale-space contour signatures for sub-element architectural friezes. [Proposed / Future Work]</w:t>
      </w:r>
    </w:p>
    <w:p>
      <w:pPr>
        <w:spacing w:after="120" w:line="276" w:lineRule="auto"/>
        <w:ind w:left="360"/>
      </w:pPr>
      <w:r>
        <w:rPr>
          <w:b/>
        </w:rPr>
        <w:t xml:space="preserve">• Multi-Scale Dense Feature Pyramids: </w:t>
      </w:r>
      <w:r>
        <w:t>Incorporate multi-resolution spatial pyramid pooling across arbitrary aspect ratios. [Proposed / Future Work]</w:t>
      </w:r>
    </w:p>
    <w:p>
      <w:pPr>
        <w:pStyle w:val="Heading2"/>
        <w:keepNext/>
        <w:spacing w:before="280" w:after="120"/>
      </w:pPr>
      <w:r>
        <w:rPr>
          <w:rFonts w:ascii="Georgia" w:hAnsi="Georgia"/>
          <w:b/>
          <w:color w:val="22332A"/>
          <w:sz w:val="26"/>
        </w:rPr>
        <w:t>5.3 Success Criteria</w:t>
      </w:r>
    </w:p>
    <w:p>
      <w:pPr>
        <w:spacing w:after="120" w:line="276" w:lineRule="auto"/>
      </w:pPr>
      <w:r>
        <w:rPr>
          <w:rFonts w:ascii="Calibri" w:hAnsi="Calibri"/>
          <w:color w:val="222222"/>
          <w:sz w:val="22"/>
        </w:rPr>
        <w:t>The success criteria of the project are defined against empirical, measurable targets:</w:t>
      </w:r>
    </w:p>
    <w:p>
      <w:pPr>
        <w:spacing w:after="120" w:line="276" w:lineRule="auto"/>
        <w:ind w:left="360"/>
      </w:pPr>
      <w:r>
        <w:t>• Raw Classifier Accuracy: Achieve &gt;90% validation accuracy and &gt;65% held-out test accuracy using purely handcrafted classical image features on single monument photographs.</w:t>
      </w:r>
    </w:p>
    <w:p>
      <w:pPr>
        <w:spacing w:after="120" w:line="276" w:lineRule="auto"/>
        <w:ind w:left="360"/>
      </w:pPr>
      <w:r>
        <w:t>• Safety and Zero Catastrophic False Acceptance: Maintain a False Acceptance Rate (FAR) &lt;= 40% on out-of-distribution non-monument images, with 0% false acceptances at high confidence (&gt;85%).</w:t>
      </w:r>
    </w:p>
    <w:p>
      <w:pPr>
        <w:spacing w:after="120" w:line="276" w:lineRule="auto"/>
        <w:ind w:left="360"/>
      </w:pPr>
      <w:r>
        <w:t>• Deterministic Explainability: 100% of feature dimensions must map to explicit, reproducible mathematical formulations without hidden learned embeddings.</w:t>
      </w:r>
    </w:p>
    <w:p>
      <w:pPr>
        <w:spacing w:after="120" w:line="276" w:lineRule="auto"/>
        <w:ind w:left="360"/>
      </w:pPr>
      <w:r>
        <w:t>• Inference Efficiency: Mean end-to-end processing latency (feature extraction + scaling + SVM prediction + rejection judgment) must not exceed 150 milliseconds on standard CPU hardware.</w:t>
      </w:r>
    </w:p>
    <w:p>
      <w:pPr>
        <w:spacing w:after="120" w:line="276" w:lineRule="auto"/>
        <w:ind w:left="360"/>
      </w:pPr>
      <w:r>
        <w:t>• Test Suite Reliability: 100% pass rate across all automated unit and integration tests covering preprocessing, feature extraction, inference, rejection, and REST API endpoints.</w:t>
      </w:r>
    </w:p>
    <w:p>
      <w:pPr>
        <w:pStyle w:val="Heading1"/>
        <w:keepNext/>
        <w:spacing w:before="360" w:after="160"/>
      </w:pPr>
      <w:r>
        <w:rPr>
          <w:rFonts w:ascii="Georgia" w:hAnsi="Georgia"/>
          <w:b/>
          <w:color w:val="9C3818"/>
          <w:sz w:val="32"/>
        </w:rPr>
        <w:t>6. Proposed Methodology</w:t>
      </w:r>
    </w:p>
    <w:p>
      <w:pPr>
        <w:pStyle w:val="Heading2"/>
        <w:keepNext/>
        <w:spacing w:before="280" w:after="120"/>
      </w:pPr>
      <w:r>
        <w:rPr>
          <w:rFonts w:ascii="Georgia" w:hAnsi="Georgia"/>
          <w:b/>
          <w:color w:val="22332A"/>
          <w:sz w:val="26"/>
        </w:rPr>
        <w:t>6.1 System Architecture</w:t>
      </w:r>
    </w:p>
    <w:p>
      <w:pPr>
        <w:spacing w:after="120" w:line="276" w:lineRule="auto"/>
      </w:pPr>
      <w:r>
        <w:rPr>
          <w:rFonts w:ascii="Calibri" w:hAnsi="Calibri"/>
          <w:color w:val="222222"/>
          <w:sz w:val="22"/>
        </w:rPr>
        <w:t>The MonuScript system architecture follows a decoupled, three-tier modular engineering paradigm: a modern React/TypeScript frontend client, a high-performance Flask REST API service, and a deterministic Digital Image Processing and Support Vector Machine machine learning engine backed by SQLite/PostgreSQL persistence.</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w:t>
              <w:br/>
              <w:t>|                 React + TypeScript Single Page Application              |</w:t>
              <w:br/>
              <w:t>|  (Vite, TailwindCSS, Lucide Icons, Sketchfab 3D Embeds, Feature Inspector)|</w:t>
              <w:br/>
              <w:t>+------------------------------------+------------------------------------+</w:t>
              <w:br/>
              <w:t xml:space="preserve">                                     |  HTTP REST API (/api/v1)</w:t>
              <w:br/>
              <w:t xml:space="preserve">                                     v</w:t>
              <w:br/>
              <w:t>+-------------------------------------------------------------------------+</w:t>
              <w:br/>
              <w:t>|                         Flask Web Backend (app.py)                      |</w:t>
              <w:br/>
              <w:t>|        - Request Routing &amp; CORS      - File Upload Validation (Pillow)  |</w:t>
              <w:br/>
              <w:t>|        - Authentication Middleware   - Base64 Thumbnail Generation      |</w:t>
              <w:br/>
              <w:t>+-----------------+-----------------------------------+-------------------+</w:t>
              <w:br/>
              <w:t xml:space="preserve">                  |                                   |                    </w:t>
              <w:br/>
              <w:t xml:space="preserve">                  v                                   v                    </w:t>
              <w:br/>
              <w:t>+-----------------------------------+   +---------------------------------+</w:t>
              <w:br/>
              <w:t>|     Database Persistence Layer    |   |  Digital Image Processing (DIP) |</w:t>
              <w:br/>
              <w:t>|  - SQLite (monuscript.db)         |   |  - Preprocessing (256x256, CLAHE)|</w:t>
              <w:br/>
              <w:t>|  - Conversations &amp; Messages       |   |  - Grayscale &amp; HSV Conversion   |</w:t>
              <w:br/>
              <w:t>|  - Recognition Snapshots          |   |  - Master Feature Extraction    |</w:t>
              <w:br/>
              <w:t>+-----------------------------------+   +-----------------+---------------+</w:t>
              <w:br/>
              <w:t xml:space="preserve">                                                          |                </w:t>
              <w:br/>
              <w:t xml:space="preserve">                                                          v                </w:t>
              <w:br/>
              <w:t xml:space="preserve">                                        +---------------------------------+</w:t>
              <w:br/>
              <w:t xml:space="preserve">                                        |   Master Feature Vector (155D)  |</w:t>
              <w:br/>
              <w:t xml:space="preserve">                                        |  - Histogram Moments (40D)      |</w:t>
              <w:br/>
              <w:t xml:space="preserve">                                        |  - Sobel Edge Gradients (36D)   |</w:t>
              <w:br/>
              <w:t xml:space="preserve">                                        |  - Texture &amp; 3x3 Grid (31D)     |</w:t>
              <w:br/>
              <w:t xml:space="preserve">                                        |  - HSV Color Histograms (32D)   |</w:t>
              <w:br/>
              <w:t xml:space="preserve">                                        |  - Architectural Descriptors(16D|</w:t>
              <w:br/>
              <w:t xml:space="preserve">                                        +-----------------+---------------+</w:t>
              <w:br/>
              <w:t xml:space="preserve">                                                          |                </w:t>
              <w:br/>
              <w:t xml:space="preserve">                                                          v                </w:t>
              <w:br/>
              <w:t xml:space="preserve">                                        +---------------------------------+</w:t>
              <w:br/>
              <w:t xml:space="preserve">                                        | StandardScaler (Train-Fitted)   |</w:t>
              <w:br/>
              <w:t xml:space="preserve">                                        |  - Z-Score Outlier Clip [-5, 5] |</w:t>
              <w:br/>
              <w:t xml:space="preserve">                                        |  - Syllabus Group Weighting     |</w:t>
              <w:br/>
              <w:t xml:space="preserve">                                        +-----------------+---------------+</w:t>
              <w:br/>
              <w:t xml:space="preserve">                                                          |                </w:t>
              <w:br/>
              <w:t xml:space="preserve">                                                          v                </w:t>
              <w:br/>
              <w:t xml:space="preserve">                                        +---------------------------------+</w:t>
              <w:br/>
              <w:t xml:space="preserve">                                        | Support Vector Machine (SVC)    |</w:t>
              <w:br/>
              <w:t xml:space="preserve">                                        |  - RBF Kernel (C=0.2, gamma=0.01|</w:t>
              <w:br/>
              <w:t xml:space="preserve">                                        |  - Platt Calibrated Probability |</w:t>
              <w:br/>
              <w:t xml:space="preserve">                                        +-----------------+---------------+</w:t>
              <w:br/>
              <w:t xml:space="preserve">                                                          |                </w:t>
              <w:br/>
              <w:t xml:space="preserve">                                                          v                </w:t>
              <w:br/>
              <w:t xml:space="preserve">                                        +---------------------------------+</w:t>
              <w:br/>
              <w:t xml:space="preserve">                                        | Multi-Tier Rejection Judge      |</w:t>
              <w:br/>
              <w:t xml:space="preserve">                                        |  - Acceptance Gate (tau &gt;= 0.42)|</w:t>
              <w:br/>
              <w:t xml:space="preserve">                                        |  - Margin Gate (delta &gt;= 0.12)  |</w:t>
              <w:br/>
              <w:t xml:space="preserve">                                        |  - Centroid Distance Check      |</w:t>
              <w:br/>
              <w:t xml:space="preserve">                                        +-----------------+---------------+</w:t>
              <w:br/>
              <w:t xml:space="preserve">                                                          |                </w:t>
              <w:br/>
              <w:t xml:space="preserve">                                                          v                </w:t>
              <w:br/>
              <w:t xml:space="preserve">                                        +---------------------------------+</w:t>
              <w:br/>
              <w:t xml:space="preserve">                                        | Result Presentation &amp; 3D Viewer |</w:t>
              <w:br/>
              <w:t xml:space="preserve">                                        |  - Historical Metadata Cards    |</w:t>
              <w:br/>
              <w:t xml:space="preserve">                                        |  - Interactive Sketchfab 3D     |</w:t>
              <w:br/>
              <w:t xml:space="preserve">                                        +---------------------------------+</w:t>
            </w:r>
          </w:p>
        </w:tc>
      </w:tr>
    </w:tbl>
    <w:p>
      <w:pPr>
        <w:spacing w:after="120"/>
      </w:pPr>
    </w:p>
    <w:p>
      <w:pPr>
        <w:pStyle w:val="Heading2"/>
        <w:keepNext/>
        <w:spacing w:before="280" w:after="120"/>
      </w:pPr>
      <w:r>
        <w:rPr>
          <w:rFonts w:ascii="Georgia" w:hAnsi="Georgia"/>
          <w:b/>
          <w:color w:val="22332A"/>
          <w:sz w:val="26"/>
        </w:rPr>
        <w:t>6.2 Image Acquisition</w:t>
      </w:r>
    </w:p>
    <w:p>
      <w:pPr>
        <w:spacing w:after="120" w:line="276" w:lineRule="auto"/>
      </w:pPr>
      <w:r>
        <w:rPr>
          <w:rFonts w:ascii="Calibri" w:hAnsi="Calibri"/>
          <w:color w:val="222222"/>
          <w:sz w:val="22"/>
        </w:rPr>
        <w:t>Image acquisition in MonuScript is handled via multi-part HTTP POST requests sent to `/api/v1/recognize` (for single monument analysis) or `/api/v1/recognize/multiple` (for multi-candidate collage scanning). The backend validates incoming image files through a rigorous multi-stage integrity filter (`validate_and_save_upload` in `services/recognition_service.py`):</w:t>
      </w:r>
    </w:p>
    <w:p>
      <w:pPr>
        <w:spacing w:after="120" w:line="276" w:lineRule="auto"/>
      </w:pPr>
      <w:r>
        <w:rPr>
          <w:rFonts w:ascii="Calibri" w:hAnsi="Calibri"/>
          <w:color w:val="222222"/>
          <w:sz w:val="22"/>
        </w:rPr>
        <w:t>1. File Extension Whitelist: Permits only standard raster image formats: `.jpg`, `.jpeg`, `.png`, `.webp`, `.avif`, `.bmp`, `.tiff`. Executable and non-image extensions are rejected immediately with HTTP 400.</w:t>
      </w:r>
    </w:p>
    <w:p>
      <w:pPr>
        <w:spacing w:after="120" w:line="276" w:lineRule="auto"/>
      </w:pPr>
      <w:r>
        <w:rPr>
          <w:rFonts w:ascii="Calibri" w:hAnsi="Calibri"/>
          <w:color w:val="222222"/>
          <w:sz w:val="22"/>
        </w:rPr>
        <w:t>2. Structural Integrity Verification: Pillow's `Image.open().verify()` parses image headers and stream markers to detect corrupted or truncated bitstreams.</w:t>
      </w:r>
    </w:p>
    <w:p>
      <w:pPr>
        <w:spacing w:after="120" w:line="276" w:lineRule="auto"/>
      </w:pPr>
      <w:r>
        <w:rPr>
          <w:rFonts w:ascii="Calibri" w:hAnsi="Calibri"/>
          <w:color w:val="222222"/>
          <w:sz w:val="22"/>
        </w:rPr>
        <w:t>3. Dimension Bounds Checking: Images exceeding MAX_IMAGE_DIMENSION (4096 x 4096 pixels) are rejected with HTTP 422 to protect memory buffers; images smaller than 32 x 32 pixels are rejected as containing insufficient structural detail.</w:t>
      </w:r>
    </w:p>
    <w:p>
      <w:pPr>
        <w:spacing w:after="120" w:line="276" w:lineRule="auto"/>
      </w:pPr>
      <w:r>
        <w:rPr>
          <w:rFonts w:ascii="Calibri" w:hAnsi="Calibri"/>
          <w:color w:val="222222"/>
          <w:sz w:val="22"/>
        </w:rPr>
        <w:t>4. EXIF Orientation Normalization: Digital camera orientation tags (EXIF tag 274) are evaluated and transposed to ensure vertical structures remain upright.</w:t>
      </w:r>
    </w:p>
    <w:p>
      <w:pPr>
        <w:spacing w:after="120" w:line="276" w:lineRule="auto"/>
      </w:pPr>
      <w:r>
        <w:rPr>
          <w:rFonts w:ascii="Calibri" w:hAnsi="Calibri"/>
          <w:color w:val="222222"/>
          <w:sz w:val="22"/>
        </w:rPr>
        <w:t>5. Isolated Per-User Storage: Uploads are stored under isolated per-user directories (`backend/uploads/&lt;user_id&gt;/&lt;uuid&gt;.&lt;ext&gt;`) with path traversal sanitization.</w:t>
      </w:r>
    </w:p>
    <w:p>
      <w:pPr>
        <w:pStyle w:val="Heading2"/>
        <w:keepNext/>
        <w:spacing w:before="280" w:after="120"/>
      </w:pPr>
      <w:r>
        <w:rPr>
          <w:rFonts w:ascii="Georgia" w:hAnsi="Georgia"/>
          <w:b/>
          <w:color w:val="22332A"/>
          <w:sz w:val="26"/>
        </w:rPr>
        <w:t>6.3 Image Preprocessing</w:t>
      </w:r>
    </w:p>
    <w:p>
      <w:pPr>
        <w:spacing w:after="120" w:line="276" w:lineRule="auto"/>
      </w:pPr>
      <w:r>
        <w:rPr>
          <w:rFonts w:ascii="Calibri" w:hAnsi="Calibri"/>
          <w:color w:val="222222"/>
          <w:sz w:val="22"/>
        </w:rPr>
        <w:t>Every validated photograph undergoes deterministic preprocessing (`backend/image_processing/preprocessing.py`) to eliminate scale and format discrepancies:</w:t>
      </w:r>
    </w:p>
    <w:p>
      <w:pPr>
        <w:spacing w:after="120" w:line="276" w:lineRule="auto"/>
      </w:pPr>
      <w:r>
        <w:rPr>
          <w:rFonts w:ascii="Calibri" w:hAnsi="Calibri"/>
          <w:color w:val="222222"/>
          <w:sz w:val="22"/>
        </w:rPr>
        <w:t>1. Spatial Normalization: Resized to a standardized resolution of 256 x 256 pixels using high-order Lanczos resampling (Pillow `Image.Resampling.LANCZOS`). This standardizes feature vector dimensionality while preserving fine architectural edges.</w:t>
      </w:r>
    </w:p>
    <w:p>
      <w:pPr>
        <w:spacing w:after="120" w:line="276" w:lineRule="auto"/>
      </w:pPr>
      <w:r>
        <w:rPr>
          <w:rFonts w:ascii="Calibri" w:hAnsi="Calibri"/>
          <w:color w:val="222222"/>
          <w:sz w:val="22"/>
        </w:rPr>
        <w:t>2. ITU-R BT.601 Weighted Grayscale Luminance Transformation:</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I(x, y) = 0.299 * R(x, y) + 0.587 * G(x, y) + 0.114 * B(x, y)</w:t>
            </w:r>
          </w:p>
        </w:tc>
      </w:tr>
    </w:tbl>
    <w:p>
      <w:pPr>
        <w:spacing w:after="120"/>
      </w:pPr>
    </w:p>
    <w:p>
      <w:pPr>
        <w:spacing w:after="120" w:line="276" w:lineRule="auto"/>
      </w:pPr>
      <w:r>
        <w:rPr>
          <w:rFonts w:ascii="Calibri" w:hAnsi="Calibri"/>
          <w:color w:val="222222"/>
          <w:sz w:val="22"/>
        </w:rPr>
        <w:t>Where R, G, B in [0, 255] represent spectral channel intensities at spatial coordinate (x, y), and the scalar weights model human photopic sensitivity. This monochrome representation eliminates chromatic lighting shifts while preserving structural outlines.</w:t>
      </w:r>
    </w:p>
    <w:p>
      <w:pPr>
        <w:spacing w:after="120" w:line="276" w:lineRule="auto"/>
      </w:pPr>
      <w:r>
        <w:rPr>
          <w:rFonts w:ascii="Calibri" w:hAnsi="Calibri"/>
          <w:color w:val="222222"/>
          <w:sz w:val="22"/>
        </w:rPr>
        <w:t>3. Contrast-Limited Adaptive Histogram Equalization (CLAHE): Applied in CIE LAB color space to the L* (lightness) channel (`apply_clahe_enhancement`). The image is divided into 8 x 8 contextual tiles, local histograms are clipped at beta_clip = 2.0 to prevent noise amplification in uniform sky regions, and redistributed pixels are merged via bilinear interpolation.</w:t>
      </w:r>
    </w:p>
    <w:p>
      <w:pPr>
        <w:spacing w:after="120" w:line="276" w:lineRule="auto"/>
      </w:pPr>
      <w:r>
        <w:rPr>
          <w:rFonts w:ascii="Calibri" w:hAnsi="Calibri"/>
          <w:color w:val="222222"/>
          <w:sz w:val="22"/>
        </w:rPr>
        <w:t>4. HSV Color Space Conversion: Extracted using OpenCV `cv2.cvtColor(rgb, cv2.COLOR_RGB2HSV)` to decouple chromaticity (Hue H in [0, 180), Saturation S in [0, 255]) from intensity (Value V in [0, 255]).</w:t>
      </w:r>
    </w:p>
    <w:p>
      <w:pPr>
        <w:pStyle w:val="Heading2"/>
        <w:keepNext/>
        <w:spacing w:before="280" w:after="120"/>
      </w:pPr>
      <w:r>
        <w:rPr>
          <w:rFonts w:ascii="Georgia" w:hAnsi="Georgia"/>
          <w:b/>
          <w:color w:val="22332A"/>
          <w:sz w:val="26"/>
        </w:rPr>
        <w:t>6.4 Feature Extraction</w:t>
      </w:r>
    </w:p>
    <w:p>
      <w:pPr>
        <w:spacing w:after="120" w:line="276" w:lineRule="auto"/>
      </w:pPr>
      <w:r>
        <w:rPr>
          <w:rFonts w:ascii="Calibri" w:hAnsi="Calibri"/>
          <w:color w:val="222222"/>
          <w:sz w:val="22"/>
        </w:rPr>
        <w:t>The master feature extraction pipeline (`backend/image_processing/feature_extractor.py`) computes a 155-dimensional feature vector structured into five distinct groups:</w:t>
      </w:r>
    </w:p>
    <w:p>
      <w:pPr>
        <w:pStyle w:val="Heading3"/>
        <w:keepNext/>
        <w:spacing w:before="200" w:after="80"/>
      </w:pPr>
      <w:r>
        <w:rPr>
          <w:rFonts w:ascii="Georgia" w:hAnsi="Georgia"/>
          <w:b/>
          <w:color w:val="444444"/>
          <w:sz w:val="22"/>
        </w:rPr>
        <w:t>Group 1: Grayscale Histogram &amp; Statistical Moments (40 Dimensions)</w:t>
      </w:r>
    </w:p>
    <w:p>
      <w:pPr>
        <w:spacing w:after="120" w:line="276" w:lineRule="auto"/>
      </w:pPr>
      <w:r>
        <w:rPr>
          <w:rFonts w:ascii="Calibri" w:hAnsi="Calibri"/>
          <w:color w:val="222222"/>
          <w:sz w:val="22"/>
        </w:rPr>
        <w:t>• Normalized Grayscale Histogram (32 bins): Quantizes gray levels into K = 32 bins, computing relative probability h(k) = n_k / (M * N), where sum(h(k)) = 1.0. Captures global tone distributions invariant to translation.</w:t>
      </w:r>
    </w:p>
    <w:p>
      <w:pPr>
        <w:spacing w:after="120" w:line="276" w:lineRule="auto"/>
      </w:pPr>
      <w:r>
        <w:rPr>
          <w:rFonts w:ascii="Calibri" w:hAnsi="Calibri"/>
          <w:color w:val="222222"/>
          <w:sz w:val="22"/>
        </w:rPr>
        <w:t>• Statistical Intensity Moments (8 descriptors):</w:t>
      </w:r>
    </w:p>
    <w:p>
      <w:pPr>
        <w:spacing w:after="120" w:line="276" w:lineRule="auto"/>
      </w:pPr>
      <w:r>
        <w:rPr>
          <w:rFonts w:ascii="Calibri" w:hAnsi="Calibri"/>
          <w:color w:val="222222"/>
          <w:sz w:val="22"/>
        </w:rPr>
        <w:t xml:space="preserve">  - Mean (mu): (1 / MN) * sum(I(x, y))</w:t>
      </w:r>
    </w:p>
    <w:p>
      <w:pPr>
        <w:spacing w:after="120" w:line="276" w:lineRule="auto"/>
      </w:pPr>
      <w:r>
        <w:rPr>
          <w:rFonts w:ascii="Calibri" w:hAnsi="Calibri"/>
          <w:color w:val="222222"/>
          <w:sz w:val="22"/>
        </w:rPr>
        <w:t xml:space="preserve">  - Variance (sigma^2): (1 / MN) * sum((I(x, y) - mu)^2)</w:t>
      </w:r>
    </w:p>
    <w:p>
      <w:pPr>
        <w:spacing w:after="120" w:line="276" w:lineRule="auto"/>
      </w:pPr>
      <w:r>
        <w:rPr>
          <w:rFonts w:ascii="Calibri" w:hAnsi="Calibri"/>
          <w:color w:val="222222"/>
          <w:sz w:val="22"/>
        </w:rPr>
        <w:t xml:space="preserve">  - Standard Deviation (sigma): sqrt(sigma^2)</w:t>
      </w:r>
    </w:p>
    <w:p>
      <w:pPr>
        <w:spacing w:after="120" w:line="276" w:lineRule="auto"/>
      </w:pPr>
      <w:r>
        <w:rPr>
          <w:rFonts w:ascii="Calibri" w:hAnsi="Calibri"/>
          <w:color w:val="222222"/>
          <w:sz w:val="22"/>
        </w:rPr>
        <w:t xml:space="preserve">  - Smoothness Measure (R): 1 - 1 / (1 + (sigma / 255)^2)</w:t>
      </w:r>
    </w:p>
    <w:p>
      <w:pPr>
        <w:spacing w:after="120" w:line="276" w:lineRule="auto"/>
      </w:pPr>
      <w:r>
        <w:rPr>
          <w:rFonts w:ascii="Calibri" w:hAnsi="Calibri"/>
          <w:color w:val="222222"/>
          <w:sz w:val="22"/>
        </w:rPr>
        <w:t xml:space="preserve">  - Uniformity / Energy (U): sum(h(k)^2)</w:t>
      </w:r>
    </w:p>
    <w:p>
      <w:pPr>
        <w:spacing w:after="120" w:line="276" w:lineRule="auto"/>
      </w:pPr>
      <w:r>
        <w:rPr>
          <w:rFonts w:ascii="Calibri" w:hAnsi="Calibri"/>
          <w:color w:val="222222"/>
          <w:sz w:val="22"/>
        </w:rPr>
        <w:t xml:space="preserve">  - Entropy (E): -sum(h(k) * log2(h(k) + eps))</w:t>
      </w:r>
    </w:p>
    <w:p>
      <w:pPr>
        <w:spacing w:after="120" w:line="276" w:lineRule="auto"/>
      </w:pPr>
      <w:r>
        <w:rPr>
          <w:rFonts w:ascii="Calibri" w:hAnsi="Calibri"/>
          <w:color w:val="222222"/>
          <w:sz w:val="22"/>
        </w:rPr>
        <w:t xml:space="preserve">  - Skewness (mu_3): (1 / MN) * sum(((I(x, y) - mu) / sigma)^3)</w:t>
      </w:r>
    </w:p>
    <w:p>
      <w:pPr>
        <w:spacing w:after="120" w:line="276" w:lineRule="auto"/>
      </w:pPr>
      <w:r>
        <w:rPr>
          <w:rFonts w:ascii="Calibri" w:hAnsi="Calibri"/>
          <w:color w:val="222222"/>
          <w:sz w:val="22"/>
        </w:rPr>
        <w:t xml:space="preserve">  - Median Intensity: 50th percentile of intensity distribution.</w:t>
      </w:r>
    </w:p>
    <w:p>
      <w:pPr>
        <w:pStyle w:val="Heading3"/>
        <w:keepNext/>
        <w:spacing w:before="200" w:after="80"/>
      </w:pPr>
      <w:r>
        <w:rPr>
          <w:rFonts w:ascii="Georgia" w:hAnsi="Georgia"/>
          <w:b/>
          <w:color w:val="444444"/>
          <w:sz w:val="22"/>
        </w:rPr>
        <w:t>Group 2: Sobel Edge Gradient Derivatives (36 Dimensions)</w:t>
      </w:r>
    </w:p>
    <w:p>
      <w:pPr>
        <w:spacing w:after="120" w:line="276" w:lineRule="auto"/>
      </w:pPr>
      <w:r>
        <w:rPr>
          <w:rFonts w:ascii="Calibri" w:hAnsi="Calibri"/>
          <w:color w:val="222222"/>
          <w:sz w:val="22"/>
        </w:rPr>
        <w:t>• Spatial Convolutions: Convolves I(x, y) with orthogonal 3x3 Sobel kernels Sx and Sy:</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Gx = I * [[-1, 0, 1], [-2, 0, 2], [-1, 0, 1]]</w:t>
              <w:br/>
              <w:t>Gy = I * [[-1, -2, -1], [ 0,  0,  0], [ 1,  2,  1]]</w:t>
            </w:r>
          </w:p>
        </w:tc>
      </w:tr>
    </w:tbl>
    <w:p>
      <w:pPr>
        <w:spacing w:after="120"/>
      </w:pPr>
    </w:p>
    <w:p>
      <w:pPr>
        <w:spacing w:after="120" w:line="276" w:lineRule="auto"/>
      </w:pPr>
      <w:r>
        <w:rPr>
          <w:rFonts w:ascii="Calibri" w:hAnsi="Calibri"/>
          <w:color w:val="222222"/>
          <w:sz w:val="22"/>
        </w:rPr>
        <w:t>• Gradient Magnitude: G(x, y) = sqrt(Gx(x, y)^2 + Gy(x, y)^2)</w:t>
      </w:r>
    </w:p>
    <w:p>
      <w:pPr>
        <w:spacing w:after="120" w:line="276" w:lineRule="auto"/>
      </w:pPr>
      <w:r>
        <w:rPr>
          <w:rFonts w:ascii="Calibri" w:hAnsi="Calibri"/>
          <w:color w:val="222222"/>
          <w:sz w:val="22"/>
        </w:rPr>
        <w:t>• Gradient Orientation: theta(x, y) = atan2(Gy, Gx) mod 180 degrees in [0, 180)</w:t>
      </w:r>
    </w:p>
    <w:p>
      <w:pPr>
        <w:spacing w:after="120" w:line="276" w:lineRule="auto"/>
      </w:pPr>
      <w:r>
        <w:rPr>
          <w:rFonts w:ascii="Calibri" w:hAnsi="Calibri"/>
          <w:color w:val="222222"/>
          <w:sz w:val="22"/>
        </w:rPr>
        <w:t>• Descriptors extracted: 16-bin normalized magnitude histogram; 16-bin magnitude-weighted orientation histogram; Otsu edge density (proportion of pixels where G &gt; T_Otsu); mean gradient magnitude; standard deviation of magnitude; and directional anisotropy ratio A_dir = (sum|Gx| - sum|Gy|) / (sum|Gx| + sum|Gy| + eps).</w:t>
      </w:r>
    </w:p>
    <w:p>
      <w:pPr>
        <w:pStyle w:val="Heading3"/>
        <w:keepNext/>
        <w:spacing w:before="200" w:after="80"/>
      </w:pPr>
      <w:r>
        <w:rPr>
          <w:rFonts w:ascii="Georgia" w:hAnsi="Georgia"/>
          <w:b/>
          <w:color w:val="444444"/>
          <w:sz w:val="22"/>
        </w:rPr>
        <w:t>Group 3: Texture Coarseness &amp; 3x3 Spatial Grid Layout (31 Dimensions)</w:t>
      </w:r>
    </w:p>
    <w:p>
      <w:pPr>
        <w:spacing w:after="120" w:line="276" w:lineRule="auto"/>
      </w:pPr>
      <w:r>
        <w:rPr>
          <w:rFonts w:ascii="Calibri" w:hAnsi="Calibri"/>
          <w:color w:val="222222"/>
          <w:sz w:val="22"/>
        </w:rPr>
        <w:t>• Local Standard Deviation Filter: Computes neighborhood texture coarseness over a 5x5 moving window W: sigma_local(x, y) = sqrt(E[I^2] - (E[I])^2). Yields 4 global moments (mean, variance, skewness, 90th percentile).</w:t>
      </w:r>
    </w:p>
    <w:p>
      <w:pPr>
        <w:spacing w:after="120" w:line="276" w:lineRule="auto"/>
      </w:pPr>
      <w:r>
        <w:rPr>
          <w:rFonts w:ascii="Calibri" w:hAnsi="Calibri"/>
          <w:color w:val="222222"/>
          <w:sz w:val="22"/>
        </w:rPr>
        <w:t>• 3x3 Spatial Grid Partition: Subdivides the image into 9 non-overlapping cells (c1 to c9). Each cell computes 3 descriptors: mean intensity mu_c, standard deviation sigma_c, and local edge density D_c (9 x 3 = 27 descriptors). This encodes the macro-architectural arrangement (e.g., sky in top cells, dome/tower in center cells, gardens/plinth in bottom cells).</w:t>
      </w:r>
    </w:p>
    <w:p>
      <w:pPr>
        <w:pStyle w:val="Heading3"/>
        <w:keepNext/>
        <w:spacing w:before="200" w:after="80"/>
      </w:pPr>
      <w:r>
        <w:rPr>
          <w:rFonts w:ascii="Georgia" w:hAnsi="Georgia"/>
          <w:b/>
          <w:color w:val="444444"/>
          <w:sz w:val="22"/>
        </w:rPr>
        <w:t>Group 4: HSV Color Channel Distributions (32 Dimensions)</w:t>
      </w:r>
    </w:p>
    <w:p>
      <w:pPr>
        <w:spacing w:after="120" w:line="276" w:lineRule="auto"/>
      </w:pPr>
      <w:r>
        <w:rPr>
          <w:rFonts w:ascii="Calibri" w:hAnsi="Calibri"/>
          <w:color w:val="222222"/>
          <w:sz w:val="22"/>
        </w:rPr>
        <w:t>• Normalized Histograms across HSV channels:</w:t>
      </w:r>
    </w:p>
    <w:p>
      <w:pPr>
        <w:spacing w:after="120" w:line="276" w:lineRule="auto"/>
      </w:pPr>
      <w:r>
        <w:rPr>
          <w:rFonts w:ascii="Calibri" w:hAnsi="Calibri"/>
          <w:color w:val="222222"/>
          <w:sz w:val="22"/>
        </w:rPr>
        <w:t xml:space="preserve">  - Hue Histogram (16 bins): Range [0, 180) in OpenCV.</w:t>
      </w:r>
    </w:p>
    <w:p>
      <w:pPr>
        <w:spacing w:after="120" w:line="276" w:lineRule="auto"/>
      </w:pPr>
      <w:r>
        <w:rPr>
          <w:rFonts w:ascii="Calibri" w:hAnsi="Calibri"/>
          <w:color w:val="222222"/>
          <w:sz w:val="22"/>
        </w:rPr>
        <w:t xml:space="preserve">  - Saturation Histogram (8 bins): Range [0, 256).</w:t>
      </w:r>
    </w:p>
    <w:p>
      <w:pPr>
        <w:spacing w:after="120" w:line="276" w:lineRule="auto"/>
      </w:pPr>
      <w:r>
        <w:rPr>
          <w:rFonts w:ascii="Calibri" w:hAnsi="Calibri"/>
          <w:color w:val="222222"/>
          <w:sz w:val="22"/>
        </w:rPr>
        <w:t xml:space="preserve">  - Value Histogram (8 bins): Range [0, 256).</w:t>
      </w:r>
    </w:p>
    <w:p>
      <w:pPr>
        <w:spacing w:after="120" w:line="276" w:lineRule="auto"/>
      </w:pPr>
      <w:r>
        <w:rPr>
          <w:rFonts w:ascii="Calibri" w:hAnsi="Calibri"/>
          <w:color w:val="222222"/>
          <w:sz w:val="22"/>
        </w:rPr>
        <w:t>Captures material spectral signatures (e.g., white marble, red sandstone, pink sandstone).</w:t>
      </w:r>
    </w:p>
    <w:p>
      <w:pPr>
        <w:pStyle w:val="Heading3"/>
        <w:keepNext/>
        <w:spacing w:before="200" w:after="80"/>
      </w:pPr>
      <w:r>
        <w:rPr>
          <w:rFonts w:ascii="Georgia" w:hAnsi="Georgia"/>
          <w:b/>
          <w:color w:val="444444"/>
          <w:sz w:val="22"/>
        </w:rPr>
        <w:t>Group 5: Monument-Specific Architectural Descriptors (16 Dimensions)</w:t>
      </w:r>
    </w:p>
    <w:p>
      <w:pPr>
        <w:spacing w:after="120" w:line="276" w:lineRule="auto"/>
      </w:pPr>
      <w:r>
        <w:rPr>
          <w:rFonts w:ascii="Calibri" w:hAnsi="Calibri"/>
          <w:color w:val="222222"/>
          <w:sz w:val="22"/>
        </w:rPr>
        <w:t>• Formulated in `backend/image_processing/architectural_features.py` to resolve subtle cross-class structural overlaps. See Section 6.5 for mathematical formulations.</w:t>
      </w:r>
    </w:p>
    <w:p>
      <w:pPr>
        <w:pStyle w:val="Heading2"/>
        <w:keepNext/>
        <w:spacing w:before="280" w:after="120"/>
      </w:pPr>
      <w:r>
        <w:rPr>
          <w:rFonts w:ascii="Georgia" w:hAnsi="Georgia"/>
          <w:b/>
          <w:color w:val="22332A"/>
          <w:sz w:val="26"/>
        </w:rPr>
        <w:t>6.5 Monument-Specific Architectural Features</w:t>
      </w:r>
    </w:p>
    <w:p>
      <w:pPr>
        <w:spacing w:after="120" w:line="276" w:lineRule="auto"/>
      </w:pPr>
      <w:r>
        <w:rPr>
          <w:rFonts w:ascii="Calibri" w:hAnsi="Calibri"/>
          <w:color w:val="222222"/>
          <w:sz w:val="22"/>
        </w:rPr>
        <w:t>To provide discriminative power beyond generic statistical moments, MonuScript implements 16 domain-specific architectural descriptors derived from structural geometry, morphological operations, and Hough transforms:</w:t>
      </w:r>
    </w:p>
    <w:p>
      <w:pPr>
        <w:spacing w:after="120" w:line="276" w:lineRule="auto"/>
        <w:ind w:left="360"/>
      </w:pPr>
      <w:r>
        <w:rPr>
          <w:b/>
        </w:rPr>
        <w:t xml:space="preserve">• 1. Central Arch Void Contrast Ratio (V_arch): </w:t>
      </w:r>
      <w:r>
        <w:t>V_arch = (I_center - I_pylons) / (I_center + I_pylons + eps). Measures luminance contrast between the open central aperture and flanking solid stone pylons of India Gate.</w:t>
      </w:r>
    </w:p>
    <w:p>
      <w:pPr>
        <w:spacing w:after="120" w:line="276" w:lineRule="auto"/>
        <w:ind w:left="360"/>
      </w:pPr>
      <w:r>
        <w:rPr>
          <w:b/>
        </w:rPr>
        <w:t xml:space="preserve">• 2. Upper Cornice Horizontal Dominance (C_cornice): </w:t>
      </w:r>
      <w:r>
        <w:t>C_cornice = (sum|Gy_upper| - sum|Gx_upper|) / (sum|Gy_upper| + sum|Gx_upper| + eps). Measures the horizontal edge prominence of India Gate's heavy attic entablature.</w:t>
      </w:r>
    </w:p>
    <w:p>
      <w:pPr>
        <w:spacing w:after="120" w:line="276" w:lineRule="auto"/>
        <w:ind w:left="360"/>
      </w:pPr>
      <w:r>
        <w:rPr>
          <w:b/>
        </w:rPr>
        <w:t xml:space="preserve">• 3. Arch Header Curvature Energy (E_header): </w:t>
      </w:r>
      <w:r>
        <w:t>Mean Sobel gradient magnitude along the semicircular arch curve connecting India Gate's vertical pylons.</w:t>
      </w:r>
    </w:p>
    <w:p>
      <w:pPr>
        <w:spacing w:after="120" w:line="276" w:lineRule="auto"/>
        <w:ind w:left="360"/>
      </w:pPr>
      <w:r>
        <w:rPr>
          <w:b/>
        </w:rPr>
        <w:t xml:space="preserve">• 4. Conical Tapering Ratio (R_taper): </w:t>
      </w:r>
      <w:r>
        <w:t>R_taper = w_top / (w_base + eps). Computes the ratio of active structural column width in the upper slice versus the base slice, capturing Qutub Minar's distinctive tapering profile.</w:t>
      </w:r>
    </w:p>
    <w:p>
      <w:pPr>
        <w:spacing w:after="120" w:line="276" w:lineRule="auto"/>
        <w:ind w:left="360"/>
      </w:pPr>
      <w:r>
        <w:rPr>
          <w:b/>
        </w:rPr>
        <w:t xml:space="preserve">• 5. Vertical Shaft Gradient Dominance (V_shaft): </w:t>
      </w:r>
      <w:r>
        <w:t>V_shaft = (sum|Gx_mid| - sum|Gy_mid|) / (sum|Gx_mid| + sum|Gy_mid| + eps). Quantifies the vertical flute lines and fluting contours of Qutub Minar's central shaft.</w:t>
      </w:r>
    </w:p>
    <w:p>
      <w:pPr>
        <w:spacing w:after="120" w:line="276" w:lineRule="auto"/>
        <w:ind w:left="360"/>
      </w:pPr>
      <w:r>
        <w:rPr>
          <w:b/>
        </w:rPr>
        <w:t xml:space="preserve">• 6. Solid Central Masonry Continuity (M_center): </w:t>
      </w:r>
      <w:r>
        <w:t>Ratio of gradient energy in the central vertical column to the outer flanks, distinguishing a freestanding vertical tower from sprawling fortresses.</w:t>
      </w:r>
    </w:p>
    <w:p>
      <w:pPr>
        <w:spacing w:after="120" w:line="276" w:lineRule="auto"/>
        <w:ind w:left="360"/>
      </w:pPr>
      <w:r>
        <w:rPr>
          <w:b/>
        </w:rPr>
        <w:t xml:space="preserve">• 7. Jharokha Window Opening Density (D_jharokha): </w:t>
      </w:r>
      <w:r>
        <w:t>Applies morphological Black Top-Hat filtering with a 7x7 structuring element (T_black(I) = (I close B) - I) to count small, dark, recessed casement openings characteristic of Hawa Mahal's facade.</w:t>
      </w:r>
    </w:p>
    <w:p>
      <w:pPr>
        <w:spacing w:after="120" w:line="276" w:lineRule="auto"/>
        <w:ind w:left="360"/>
      </w:pPr>
      <w:r>
        <w:rPr>
          <w:b/>
        </w:rPr>
        <w:t xml:space="preserve">• 8. Honeycomb Facade Grid Heterogeneity (H_grid): </w:t>
      </w:r>
      <w:r>
        <w:t>Spatial variance of the local standard deviation map across the central facade grid, capturing Hawa Mahal's repetitive window lattice.</w:t>
      </w:r>
    </w:p>
    <w:p>
      <w:pPr>
        <w:spacing w:after="120" w:line="276" w:lineRule="auto"/>
        <w:ind w:left="360"/>
      </w:pPr>
      <w:r>
        <w:rPr>
          <w:b/>
        </w:rPr>
        <w:t xml:space="preserve">• 9. Dome Circularity Profile (C_dome): </w:t>
      </w:r>
      <w:r>
        <w:t>Evaluates the Circular Hough Transform (cv2.HOUGH_GRADIENT) accumulator response in the upper-central quadrant to detect the circular arc of Taj Mahal's central onion dome.</w:t>
      </w:r>
    </w:p>
    <w:p>
      <w:pPr>
        <w:spacing w:after="120" w:line="276" w:lineRule="auto"/>
        <w:ind w:left="360"/>
      </w:pPr>
      <w:r>
        <w:rPr>
          <w:b/>
        </w:rPr>
        <w:t xml:space="preserve">• 10. White Marble Spectral Ratio (W_marble): </w:t>
      </w:r>
      <w:r>
        <w:t>Proportion of structural pixels satisfying high luminance (V &gt; 165) and low saturation (S &lt; 60) under structural gradient masking, isolating Makrana marble.</w:t>
      </w:r>
    </w:p>
    <w:p>
      <w:pPr>
        <w:spacing w:after="120" w:line="276" w:lineRule="auto"/>
        <w:ind w:left="360"/>
      </w:pPr>
      <w:r>
        <w:rPr>
          <w:b/>
        </w:rPr>
        <w:t xml:space="preserve">• 11. Bilateral Reflection Symmetry Score (S_sym): </w:t>
      </w:r>
      <w:r>
        <w:t>S_sym = 1.0 - (1 / M(N/2)) * sum|I(x, y) - I(x, W - 1 - y)|. Measures horizontal reflection symmetry characteristic of Taj Mahal, Charminar, and India Gate.</w:t>
      </w:r>
    </w:p>
    <w:p>
      <w:pPr>
        <w:spacing w:after="120" w:line="276" w:lineRule="auto"/>
        <w:ind w:left="360"/>
      </w:pPr>
      <w:r>
        <w:rPr>
          <w:b/>
        </w:rPr>
        <w:t xml:space="preserve">• 12. Four-Corner Structural Minaret Balance (B_corners): </w:t>
      </w:r>
      <w:r>
        <w:t>Normalized inverse standard deviation of gradient energies across the four outer image corners, capturing Charminar's four corner minarets.</w:t>
      </w:r>
    </w:p>
    <w:p>
      <w:pPr>
        <w:spacing w:after="120" w:line="276" w:lineRule="auto"/>
        <w:ind w:left="360"/>
      </w:pPr>
      <w:r>
        <w:rPr>
          <w:b/>
        </w:rPr>
        <w:t xml:space="preserve">• 13. Horizontal Curtain Wall Continuity (W_curtain): </w:t>
      </w:r>
      <w:r>
        <w:t>Applies morphological linear opening with a 17x1 horizontal structuring element to measure long, continuous battlement walls characteristic of Red Fort.</w:t>
      </w:r>
    </w:p>
    <w:p>
      <w:pPr>
        <w:spacing w:after="120" w:line="276" w:lineRule="auto"/>
        <w:ind w:left="360"/>
      </w:pPr>
      <w:r>
        <w:rPr>
          <w:b/>
        </w:rPr>
        <w:t xml:space="preserve">• 14. Red Sandstone Warmth Index (I_warmth): </w:t>
      </w:r>
      <w:r>
        <w:t>I_warmth = (1 / MN) * sum((R - B) / (R + G + B + eps)), quantifying red and buff sandstone spectral dominance over cool sky tones.</w:t>
      </w:r>
    </w:p>
    <w:p>
      <w:pPr>
        <w:spacing w:after="120" w:line="276" w:lineRule="auto"/>
        <w:ind w:left="360"/>
      </w:pPr>
      <w:r>
        <w:rPr>
          <w:b/>
        </w:rPr>
        <w:t xml:space="preserve">• 15. Central Aperture Edge Contrast (K_aperture): </w:t>
      </w:r>
      <w:r>
        <w:t>Contrast between inner open-arch contours and outer boundary masonry.</w:t>
      </w:r>
    </w:p>
    <w:p>
      <w:pPr>
        <w:spacing w:after="120" w:line="276" w:lineRule="auto"/>
        <w:ind w:left="360"/>
      </w:pPr>
      <w:r>
        <w:rPr>
          <w:b/>
        </w:rPr>
        <w:t xml:space="preserve">• 16. Vertical Slenderness Aspect Ratio (A_slender): </w:t>
      </w:r>
      <w:r>
        <w:t>Height-to-width ratio of the active structural mass, distinguishing tall vertical towers (Qutub Minar) from broad horizontal complexes (Red Fort).</w:t>
      </w:r>
    </w:p>
    <w:p>
      <w:pPr>
        <w:pStyle w:val="Heading2"/>
        <w:keepNext/>
        <w:spacing w:before="280" w:after="120"/>
      </w:pPr>
      <w:r>
        <w:rPr>
          <w:rFonts w:ascii="Georgia" w:hAnsi="Georgia"/>
          <w:b/>
          <w:color w:val="22332A"/>
          <w:sz w:val="26"/>
        </w:rPr>
        <w:t>6.6 Optional Contextual Features</w:t>
      </w:r>
    </w:p>
    <w:p>
      <w:pPr>
        <w:spacing w:after="120" w:line="276" w:lineRule="auto"/>
      </w:pPr>
      <w:r>
        <w:rPr>
          <w:rFonts w:ascii="Calibri" w:hAnsi="Calibri"/>
          <w:color w:val="222222"/>
          <w:sz w:val="22"/>
        </w:rPr>
        <w:t>Environmental surroundings (such as the reflecting pool and charbagh gardens of the Taj Mahal, the open manicured lawns of India Gate, or the bustling urban streetscape surrounding Charminar) provide supplementary contextual cues. However, MonuScript strictly bounds the reliance on context. Contextual features are never used as mandatory identification criteria; a monument photograph captured from a close-up crop or an alternate angle where gardens are invisible must remain fully identifiable via its primary structural descriptors. Furthermore, background masking is applied during marble ratio calculations to prevent bright clouds from falsely inflating Taj Mahal scores.</w:t>
      </w:r>
    </w:p>
    <w:p>
      <w:pPr>
        <w:pStyle w:val="Heading2"/>
        <w:keepNext/>
        <w:spacing w:before="280" w:after="120"/>
      </w:pPr>
      <w:r>
        <w:rPr>
          <w:rFonts w:ascii="Georgia" w:hAnsi="Georgia"/>
          <w:b/>
          <w:color w:val="22332A"/>
          <w:sz w:val="26"/>
        </w:rPr>
        <w:t>6.7 Lighting and Image Variation</w:t>
      </w:r>
    </w:p>
    <w:p>
      <w:pPr>
        <w:spacing w:after="120" w:line="276" w:lineRule="auto"/>
      </w:pPr>
      <w:r>
        <w:rPr>
          <w:rFonts w:ascii="Calibri" w:hAnsi="Calibri"/>
          <w:color w:val="222222"/>
          <w:sz w:val="22"/>
        </w:rPr>
        <w:t>To enhance model robustness against lighting variations without manual collection of massive datasets, MonuScript integrates controlled illumination synthesis during training (`backend/ml/train_model.py`). For the training split only, each primary image generates two synthesized variations using textbook DIP intensity transformations:</w:t>
      </w:r>
    </w:p>
    <w:p>
      <w:pPr>
        <w:spacing w:after="120" w:line="276" w:lineRule="auto"/>
      </w:pPr>
      <w:r>
        <w:rPr>
          <w:rFonts w:ascii="Calibri" w:hAnsi="Calibri"/>
          <w:color w:val="222222"/>
          <w:sz w:val="22"/>
        </w:rPr>
        <w:t>1. Warm Sunlight Variation: Linear contrast and brightness transformation s = clip(alpha * r + beta, 0, 255) with alpha = 1.1 and beta = 10.</w:t>
      </w:r>
    </w:p>
    <w:p>
      <w:pPr>
        <w:spacing w:after="120" w:line="276" w:lineRule="auto"/>
      </w:pPr>
      <w:r>
        <w:rPr>
          <w:rFonts w:ascii="Calibri" w:hAnsi="Calibri"/>
          <w:color w:val="222222"/>
          <w:sz w:val="22"/>
        </w:rPr>
        <w:t>2. Overcast / Cool Gamma Variation: Power-law gamma transformation s = 255 * (r / 255)^gamma with gamma = 1.15.</w:t>
      </w:r>
    </w:p>
    <w:p>
      <w:pPr>
        <w:spacing w:after="120" w:line="276" w:lineRule="auto"/>
      </w:pPr>
      <w:r>
        <w:rPr>
          <w:rFonts w:ascii="Calibri" w:hAnsi="Calibri"/>
          <w:color w:val="222222"/>
          <w:sz w:val="22"/>
        </w:rPr>
        <w:t>Validation and test splits are strictly never augmented. This expands the 114 primary training photographs into 342 training feature vectors while strictly preserving data leakage boundaries.</w:t>
      </w:r>
    </w:p>
    <w:p>
      <w:pPr>
        <w:pStyle w:val="Heading2"/>
        <w:keepNext/>
        <w:spacing w:before="280" w:after="120"/>
      </w:pPr>
      <w:r>
        <w:rPr>
          <w:rFonts w:ascii="Georgia" w:hAnsi="Georgia"/>
          <w:b/>
          <w:color w:val="22332A"/>
          <w:sz w:val="26"/>
        </w:rPr>
        <w:t>6.8 Feature Selection and Dimensionality Reduction</w:t>
      </w:r>
    </w:p>
    <w:p>
      <w:pPr>
        <w:spacing w:after="120" w:line="276" w:lineRule="auto"/>
      </w:pPr>
      <w:r>
        <w:rPr>
          <w:rFonts w:ascii="Calibri" w:hAnsi="Calibri"/>
          <w:color w:val="222222"/>
          <w:sz w:val="22"/>
        </w:rPr>
        <w:t>StandardScaler is fitted strictly on the training partition (N = 342) and transforms features via z = (x - mu) / sigma. Outlier z-scores are clipped to [-5.0, 5.0] to prevent extreme visual artifacts from skewing distance metrics. Additionally, feature group weighting is applied to rebalance feature group influences: x_weighted = x * sqrt(w_group), where default weights are edge (0.45), architectural (0.40), texture (0.30), histogram (0.20), and color (0.05). In Experiment E4, Principal Component Analysis (PCA) was evaluated, retaining 95% of total variance across 35 orthogonal components.</w:t>
      </w:r>
    </w:p>
    <w:p>
      <w:pPr>
        <w:pStyle w:val="Heading2"/>
        <w:keepNext/>
        <w:spacing w:before="280" w:after="120"/>
      </w:pPr>
      <w:r>
        <w:rPr>
          <w:rFonts w:ascii="Georgia" w:hAnsi="Georgia"/>
          <w:b/>
          <w:color w:val="22332A"/>
          <w:sz w:val="26"/>
        </w:rPr>
        <w:t>6.9 SVM Classification</w:t>
      </w:r>
    </w:p>
    <w:p>
      <w:pPr>
        <w:spacing w:after="120" w:line="276" w:lineRule="auto"/>
      </w:pPr>
      <w:r>
        <w:rPr>
          <w:rFonts w:ascii="Calibri" w:hAnsi="Calibri"/>
          <w:color w:val="222222"/>
          <w:sz w:val="22"/>
        </w:rPr>
        <w:t>The classification engine employs a Support Vector Machine (scikit-learn `SVC`) formulated under the dual soft-margin optimization problem:</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max_alpha  sum(alpha_i) - 0.5 * sum(alpha_i * alpha_j * y_i * y_j * K(z_i, z_j))</w:t>
              <w:br/>
              <w:t>subject to: 0 &lt;= alpha_i &lt;= C,  sum(alpha_i * y_i) = 0</w:t>
            </w:r>
          </w:p>
        </w:tc>
      </w:tr>
    </w:tbl>
    <w:p>
      <w:pPr>
        <w:spacing w:after="120"/>
      </w:pPr>
    </w:p>
    <w:p>
      <w:pPr>
        <w:spacing w:after="120" w:line="276" w:lineRule="auto"/>
      </w:pPr>
      <w:r>
        <w:rPr>
          <w:rFonts w:ascii="Calibri" w:hAnsi="Calibri"/>
          <w:color w:val="222222"/>
          <w:sz w:val="22"/>
        </w:rPr>
        <w:t>The optimal production configuration selects the Radial Basis Function (RBF) kernel K(z_i, z_j) = exp(-gamma * ||z_i - z_j||^2) with regularization parameter C = 0.2, kernel coefficient gamma = 0.01, and class_weight='balanced'. Posterior class probabilities P(y = k | z) are calibrated via Platt scaling (5-fold cross-validated logistic regression).</w:t>
      </w:r>
    </w:p>
    <w:p>
      <w:pPr>
        <w:pStyle w:val="Heading2"/>
        <w:keepNext/>
        <w:spacing w:before="280" w:after="120"/>
      </w:pPr>
      <w:r>
        <w:rPr>
          <w:rFonts w:ascii="Georgia" w:hAnsi="Georgia"/>
          <w:b/>
          <w:color w:val="22332A"/>
          <w:sz w:val="26"/>
        </w:rPr>
        <w:t>6.10 Rejection Filter and Uncertainty Handling</w:t>
      </w:r>
    </w:p>
    <w:p>
      <w:pPr>
        <w:spacing w:after="120" w:line="276" w:lineRule="auto"/>
      </w:pPr>
      <w:r>
        <w:rPr>
          <w:rFonts w:ascii="Calibri" w:hAnsi="Calibri"/>
          <w:color w:val="222222"/>
          <w:sz w:val="22"/>
        </w:rPr>
        <w:t>The RejectionJudge (`backend/ml/rejection.py`) enforces a multi-tier safety gate to prevent false acceptances of out-of-distribution or ambiguous images:</w:t>
      </w:r>
    </w:p>
    <w:p>
      <w:pPr>
        <w:spacing w:after="120" w:line="276" w:lineRule="auto"/>
      </w:pPr>
      <w:r>
        <w:rPr>
          <w:rFonts w:ascii="Calibri" w:hAnsi="Calibri"/>
          <w:color w:val="222222"/>
          <w:sz w:val="22"/>
        </w:rPr>
        <w:t>1. Minimum Acceptance Threshold: The top-class calibrated posterior probability must satisfy P_(1) &gt;= tau_accept (0.42).</w:t>
      </w:r>
    </w:p>
    <w:p>
      <w:pPr>
        <w:spacing w:after="120" w:line="276" w:lineRule="auto"/>
      </w:pPr>
      <w:r>
        <w:rPr>
          <w:rFonts w:ascii="Calibri" w:hAnsi="Calibri"/>
          <w:color w:val="222222"/>
          <w:sz w:val="22"/>
        </w:rPr>
        <w:t>2. Decision Margin Threshold: The difference between the top prediction and runner-up prediction must satisfy P_(1) - P_(2) &gt;= tau_margin (0.12). If the margin is narrower, the image is flagged as ambiguous/uncertain.</w:t>
      </w:r>
    </w:p>
    <w:p>
      <w:pPr>
        <w:spacing w:after="120" w:line="276" w:lineRule="auto"/>
      </w:pPr>
      <w:r>
        <w:rPr>
          <w:rFonts w:ascii="Calibri" w:hAnsi="Calibri"/>
          <w:color w:val="222222"/>
          <w:sz w:val="22"/>
        </w:rPr>
        <w:t>3. Out-of-Distribution Centroid Distance: In scaled feature space, the Euclidean distance between the sample vector and the predicted class centroid c_k* must not exceed tau_dist (17.0). For samples with distance between 14.0 and 17.0, a distance-based soft confidence penalty is applied.</w:t>
      </w:r>
    </w:p>
    <w:p>
      <w:pPr>
        <w:spacing w:after="120" w:line="276" w:lineRule="auto"/>
      </w:pPr>
      <w:r>
        <w:rPr>
          <w:rFonts w:ascii="Calibri" w:hAnsi="Calibri"/>
          <w:color w:val="222222"/>
          <w:sz w:val="22"/>
        </w:rPr>
        <w:t>If any condition fails, the system safely rejects the input and delivers an educational guidance message rather than an incorrect monument identification.</w:t>
      </w:r>
    </w:p>
    <w:p>
      <w:pPr>
        <w:pStyle w:val="Heading2"/>
        <w:keepNext/>
        <w:spacing w:before="280" w:after="120"/>
      </w:pPr>
      <w:r>
        <w:rPr>
          <w:rFonts w:ascii="Georgia" w:hAnsi="Georgia"/>
          <w:b/>
          <w:color w:val="22332A"/>
          <w:sz w:val="26"/>
        </w:rPr>
        <w:t>6.11 Result Presentation</w:t>
      </w:r>
    </w:p>
    <w:p>
      <w:pPr>
        <w:spacing w:after="120" w:line="276" w:lineRule="auto"/>
      </w:pPr>
      <w:r>
        <w:rPr>
          <w:rFonts w:ascii="Calibri" w:hAnsi="Calibri"/>
          <w:color w:val="222222"/>
          <w:sz w:val="22"/>
        </w:rPr>
        <w:t>When a prediction is accepted, the frontend renders a rich visual interface: an identification card displaying monument name, location, calibrated confidence badge, builder attribution, year built, architectural style taxonomy, and key features. An interactive 3D model button loads an embedded Sketchfab WebGL viewer. Furthermore, dual persistence ensures that base64 JPEG thumbnails cached in browser localStorage and SQLite records restore the conversation history permanently across page refreshes.</w:t>
      </w:r>
    </w:p>
    <w:p>
      <w:pPr>
        <w:pStyle w:val="Heading2"/>
        <w:keepNext/>
        <w:spacing w:before="280" w:after="120"/>
      </w:pPr>
      <w:r>
        <w:rPr>
          <w:rFonts w:ascii="Georgia" w:hAnsi="Georgia"/>
          <w:b/>
          <w:color w:val="22332A"/>
          <w:sz w:val="26"/>
        </w:rPr>
        <w:t>6.12 Proposed Improvements</w:t>
      </w:r>
    </w:p>
    <w:p>
      <w:pPr>
        <w:spacing w:after="120" w:line="276" w:lineRule="auto"/>
      </w:pPr>
      <w:r>
        <w:rPr>
          <w:rFonts w:ascii="Calibri" w:hAnsi="Calibri"/>
          <w:color w:val="222222"/>
          <w:sz w:val="22"/>
        </w:rPr>
        <w:t>A systematic series of experimental enhancements (E1 through E6) was developed and benchmarked against the baseline model (E0). Section 10.3 details the comparative experimental results.</w:t>
      </w:r>
    </w:p>
    <w:p>
      <w:pPr>
        <w:pStyle w:val="Heading1"/>
        <w:keepNext/>
        <w:spacing w:before="360" w:after="160"/>
      </w:pPr>
      <w:r>
        <w:rPr>
          <w:rFonts w:ascii="Georgia" w:hAnsi="Georgia"/>
          <w:b/>
          <w:color w:val="9C3818"/>
          <w:sz w:val="32"/>
        </w:rPr>
        <w:t>7. Dataset – Brief Description</w:t>
      </w:r>
    </w:p>
    <w:p>
      <w:pPr>
        <w:spacing w:after="120" w:line="276" w:lineRule="auto"/>
      </w:pPr>
      <w:r>
        <w:rPr>
          <w:rFonts w:ascii="Calibri" w:hAnsi="Calibri"/>
          <w:color w:val="222222"/>
          <w:sz w:val="22"/>
        </w:rPr>
        <w:t>The MonuScript benchmark dataset comprises authentic, high-resolution photographs of supported Indian national heritage monuments alongside an out-of-distribution negative control set and composite multi-monument collages. All images were curated from Wikimedia Commons under Creative Commons (CC BY-SA 4.0, CC BY 3.0, CC BY 2.0, CC0) and Public Domain licenses. Zero synthetic, AI-generated, or artificially hallucinated images were used.</w:t>
      </w:r>
    </w:p>
    <w:p>
      <w:pPr>
        <w:pStyle w:val="Heading2"/>
        <w:keepNext/>
        <w:spacing w:before="280" w:after="120"/>
      </w:pPr>
      <w:r>
        <w:rPr>
          <w:rFonts w:ascii="Georgia" w:hAnsi="Georgia"/>
          <w:b/>
          <w:color w:val="22332A"/>
          <w:sz w:val="26"/>
        </w:rPr>
        <w:t>Dataset Partition Inventory</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2C3E50"/>
            <w:tcMar>
              <w:top w:w="100" w:type="dxa"/>
              <w:bottom w:w="100" w:type="dxa"/>
              <w:left w:w="120" w:type="dxa"/>
              <w:right w:w="120" w:type="dxa"/>
            </w:tcMar>
          </w:tcPr>
          <w:p>
            <w:pPr>
              <w:spacing w:before="40" w:after="40"/>
              <w:jc w:val="center"/>
            </w:pPr>
            <w:r>
              <w:rPr>
                <w:rFonts w:ascii="Calibri" w:hAnsi="Calibri"/>
                <w:b/>
                <w:color w:val="FFFFFF"/>
                <w:sz w:val="19"/>
              </w:rPr>
              <w:t>Monument Class</w:t>
            </w:r>
          </w:p>
        </w:tc>
        <w:tc>
          <w:tcPr>
            <w:tcW w:type="dxa" w:w="1584"/>
            <w:shd w:fill="2C3E50"/>
            <w:tcMar>
              <w:top w:w="100" w:type="dxa"/>
              <w:bottom w:w="100" w:type="dxa"/>
              <w:left w:w="120" w:type="dxa"/>
              <w:right w:w="120" w:type="dxa"/>
            </w:tcMar>
          </w:tcPr>
          <w:p>
            <w:pPr>
              <w:spacing w:before="40" w:after="40"/>
              <w:jc w:val="center"/>
            </w:pPr>
            <w:r>
              <w:rPr>
                <w:rFonts w:ascii="Calibri" w:hAnsi="Calibri"/>
                <w:b/>
                <w:color w:val="FFFFFF"/>
                <w:sz w:val="19"/>
              </w:rPr>
              <w:t>Location</w:t>
            </w:r>
          </w:p>
        </w:tc>
        <w:tc>
          <w:tcPr>
            <w:tcW w:type="dxa" w:w="1584"/>
            <w:shd w:fill="2C3E50"/>
            <w:tcMar>
              <w:top w:w="100" w:type="dxa"/>
              <w:bottom w:w="100" w:type="dxa"/>
              <w:left w:w="120" w:type="dxa"/>
              <w:right w:w="120" w:type="dxa"/>
            </w:tcMar>
          </w:tcPr>
          <w:p>
            <w:pPr>
              <w:spacing w:before="40" w:after="40"/>
              <w:jc w:val="center"/>
            </w:pPr>
            <w:r>
              <w:rPr>
                <w:rFonts w:ascii="Calibri" w:hAnsi="Calibri"/>
                <w:b/>
                <w:color w:val="FFFFFF"/>
                <w:sz w:val="19"/>
              </w:rPr>
              <w:t>Primary Material</w:t>
            </w:r>
          </w:p>
        </w:tc>
        <w:tc>
          <w:tcPr>
            <w:tcW w:type="dxa" w:w="864"/>
            <w:shd w:fill="2C3E50"/>
            <w:tcMar>
              <w:top w:w="100" w:type="dxa"/>
              <w:bottom w:w="100" w:type="dxa"/>
              <w:left w:w="120" w:type="dxa"/>
              <w:right w:w="120" w:type="dxa"/>
            </w:tcMar>
          </w:tcPr>
          <w:p>
            <w:pPr>
              <w:spacing w:before="40" w:after="40"/>
              <w:jc w:val="center"/>
            </w:pPr>
            <w:r>
              <w:rPr>
                <w:rFonts w:ascii="Calibri" w:hAnsi="Calibri"/>
                <w:b/>
                <w:color w:val="FFFFFF"/>
                <w:sz w:val="19"/>
              </w:rPr>
              <w:t>Train (Primary)</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Train (Augmented)</w:t>
            </w:r>
          </w:p>
        </w:tc>
        <w:tc>
          <w:tcPr>
            <w:tcW w:type="dxa" w:w="720"/>
            <w:shd w:fill="2C3E50"/>
            <w:tcMar>
              <w:top w:w="100" w:type="dxa"/>
              <w:bottom w:w="100" w:type="dxa"/>
              <w:left w:w="120" w:type="dxa"/>
              <w:right w:w="120" w:type="dxa"/>
            </w:tcMar>
          </w:tcPr>
          <w:p>
            <w:pPr>
              <w:spacing w:before="40" w:after="40"/>
              <w:jc w:val="center"/>
            </w:pPr>
            <w:r>
              <w:rPr>
                <w:rFonts w:ascii="Calibri" w:hAnsi="Calibri"/>
                <w:b/>
                <w:color w:val="FFFFFF"/>
                <w:sz w:val="19"/>
              </w:rPr>
              <w:t>Validation</w:t>
            </w:r>
          </w:p>
        </w:tc>
        <w:tc>
          <w:tcPr>
            <w:tcW w:type="dxa" w:w="720"/>
            <w:shd w:fill="2C3E50"/>
            <w:tcMar>
              <w:top w:w="100" w:type="dxa"/>
              <w:bottom w:w="100" w:type="dxa"/>
              <w:left w:w="120" w:type="dxa"/>
              <w:right w:w="120" w:type="dxa"/>
            </w:tcMar>
          </w:tcPr>
          <w:p>
            <w:pPr>
              <w:spacing w:before="40" w:after="40"/>
              <w:jc w:val="center"/>
            </w:pPr>
            <w:r>
              <w:rPr>
                <w:rFonts w:ascii="Calibri" w:hAnsi="Calibri"/>
                <w:b/>
                <w:color w:val="FFFFFF"/>
                <w:sz w:val="19"/>
              </w:rPr>
              <w:t>Test</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Total Physical</w:t>
            </w:r>
          </w:p>
        </w:tc>
      </w:tr>
      <w:tr>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Charminar</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Hyderabad, Telangana</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Granite &amp; Lime Mortar</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21</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63</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27</w:t>
            </w:r>
          </w:p>
        </w:tc>
      </w:tr>
      <w:tr>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Hawa Mahal</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Jaipur, Rajasthan</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Pink &amp; Red Sandstone</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19</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57</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25</w:t>
            </w:r>
          </w:p>
        </w:tc>
      </w:tr>
      <w:tr>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India Gate</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New Delhi, Delhi</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Pale Red &amp; Buff Sandstone</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17</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51</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23</w:t>
            </w:r>
          </w:p>
        </w:tc>
      </w:tr>
      <w:tr>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Qutub Minar</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Mehrauli, New Delhi</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Fluted Red Sandstone &amp; Marble</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18</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54</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24</w:t>
            </w:r>
          </w:p>
        </w:tc>
      </w:tr>
      <w:tr>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Red Fort</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Old Delhi, Delhi</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Red Sandstone Ramparts</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18</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54</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24</w:t>
            </w:r>
          </w:p>
        </w:tc>
      </w:tr>
      <w:tr>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Taj Mahal</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Agra, Uttar Pradesh</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White Makrana Marble</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21</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63</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27</w:t>
            </w:r>
          </w:p>
        </w:tc>
      </w:tr>
      <w:tr>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Negative Controls</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Global / Modern</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Glass, Steel, European Stone</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15</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15</w:t>
            </w:r>
          </w:p>
        </w:tc>
      </w:tr>
      <w:tr>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Collages / Composites</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Multi-Monument</w:t>
            </w:r>
          </w:p>
        </w:tc>
        <w:tc>
          <w:tcPr>
            <w:tcW w:type="dxa" w:w="1584"/>
            <w:shd w:fill="F8F9F9"/>
            <w:tcMar>
              <w:top w:w="80" w:type="dxa"/>
              <w:bottom w:w="80" w:type="dxa"/>
              <w:left w:w="120" w:type="dxa"/>
              <w:right w:w="120" w:type="dxa"/>
            </w:tcMar>
          </w:tcPr>
          <w:p>
            <w:pPr>
              <w:spacing w:before="40" w:after="40" w:line="264" w:lineRule="auto"/>
            </w:pPr>
            <w:r>
              <w:rPr>
                <w:rFonts w:ascii="Calibri" w:hAnsi="Calibri"/>
                <w:color w:val="222222"/>
                <w:sz w:val="18"/>
              </w:rPr>
              <w:t>Mixed Composite Panels</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10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10</w:t>
            </w:r>
          </w:p>
        </w:tc>
      </w:tr>
      <w:tr>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TOTALS</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Across All Sets</w:t>
            </w:r>
          </w:p>
        </w:tc>
        <w:tc>
          <w:tcPr>
            <w:tcW w:type="dxa" w:w="1584"/>
            <w:shd w:fill="FFFFFF"/>
            <w:tcMar>
              <w:top w:w="80" w:type="dxa"/>
              <w:bottom w:w="80" w:type="dxa"/>
              <w:left w:w="120" w:type="dxa"/>
              <w:right w:w="120" w:type="dxa"/>
            </w:tcMar>
          </w:tcPr>
          <w:p>
            <w:pPr>
              <w:spacing w:before="40" w:after="40" w:line="264" w:lineRule="auto"/>
            </w:pPr>
            <w:r>
              <w:rPr>
                <w:rFonts w:ascii="Calibri" w:hAnsi="Calibri"/>
                <w:color w:val="222222"/>
                <w:sz w:val="18"/>
              </w:rPr>
              <w:t>Complete Benchmark Corpus</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114</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342</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12</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49</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175</w:t>
            </w:r>
          </w:p>
        </w:tc>
      </w:tr>
    </w:tbl>
    <w:p>
      <w:pPr>
        <w:spacing w:after="120"/>
      </w:pPr>
    </w:p>
    <w:p>
      <w:pPr>
        <w:spacing w:after="120" w:line="276" w:lineRule="auto"/>
      </w:pPr>
      <w:r>
        <w:rPr>
          <w:rFonts w:ascii="Calibri" w:hAnsi="Calibri"/>
          <w:color w:val="222222"/>
          <w:sz w:val="22"/>
        </w:rPr>
        <w:t>Strict Prevention of Data Leakage:</w:t>
      </w:r>
    </w:p>
    <w:p>
      <w:pPr>
        <w:spacing w:after="120" w:line="276" w:lineRule="auto"/>
      </w:pPr>
      <w:r>
        <w:rPr>
          <w:rFonts w:ascii="Calibri" w:hAnsi="Calibri"/>
          <w:color w:val="222222"/>
          <w:sz w:val="22"/>
        </w:rPr>
        <w:t>1. Physical Independence: Every file in train, val, test, and negatives represents a physically distinct photograph captured by different photographers from varying vantage points. Duplicate shots and burst sequences were eliminated during curation.</w:t>
      </w:r>
    </w:p>
    <w:p>
      <w:pPr>
        <w:spacing w:after="120" w:line="276" w:lineRule="auto"/>
      </w:pPr>
      <w:r>
        <w:rPr>
          <w:rFonts w:ascii="Calibri" w:hAnsi="Calibri"/>
          <w:color w:val="222222"/>
          <w:sz w:val="22"/>
        </w:rPr>
        <w:t>2. Scaler Isolation: The StandardScaler and PCA transformations are fitted strictly on the training partition. Validation and test samples are normalized using previously fitted parameters.</w:t>
      </w:r>
    </w:p>
    <w:p>
      <w:pPr>
        <w:spacing w:after="120" w:line="276" w:lineRule="auto"/>
      </w:pPr>
      <w:r>
        <w:rPr>
          <w:rFonts w:ascii="Calibri" w:hAnsi="Calibri"/>
          <w:color w:val="222222"/>
          <w:sz w:val="22"/>
        </w:rPr>
        <w:t>3. Test Set Purity: Illumination transformations (brightness, contrast, gamma) are applied solely to the training split; test images are evaluated in their raw authentic state.</w:t>
      </w:r>
    </w:p>
    <w:p>
      <w:pPr>
        <w:pStyle w:val="Heading1"/>
        <w:keepNext/>
        <w:spacing w:before="360" w:after="160"/>
      </w:pPr>
      <w:r>
        <w:rPr>
          <w:rFonts w:ascii="Georgia" w:hAnsi="Georgia"/>
          <w:b/>
          <w:color w:val="9C3818"/>
          <w:sz w:val="32"/>
        </w:rPr>
        <w:t>8. Working Principles of the Proposed System</w:t>
      </w:r>
    </w:p>
    <w:p>
      <w:pPr>
        <w:spacing w:after="120" w:line="276" w:lineRule="auto"/>
      </w:pPr>
      <w:r>
        <w:rPr>
          <w:rFonts w:ascii="Calibri" w:hAnsi="Calibri"/>
          <w:color w:val="222222"/>
          <w:sz w:val="22"/>
        </w:rPr>
        <w:t>The end-to-end operation of MonuScript follows a deterministic ten-step sequence from raw photograph ingestion to 3D visualization:</w:t>
      </w:r>
    </w:p>
    <w:p>
      <w:pPr>
        <w:spacing w:after="120" w:line="276" w:lineRule="auto"/>
        <w:ind w:left="360"/>
      </w:pPr>
      <w:r>
        <w:rPr>
          <w:b/>
        </w:rPr>
        <w:t xml:space="preserve">Step 1: Image Submission: </w:t>
      </w:r>
      <w:r>
        <w:t>The user uploads a photograph via the React web interface using drag-and-drop or file selection. Supported formats include JPEG, PNG, WEBP, AVIF, BMP, and TIFF.</w:t>
      </w:r>
    </w:p>
    <w:p>
      <w:pPr>
        <w:spacing w:after="120" w:line="276" w:lineRule="auto"/>
        <w:ind w:left="360"/>
      </w:pPr>
      <w:r>
        <w:rPr>
          <w:b/>
        </w:rPr>
        <w:t xml:space="preserve">Step 2: Backend Upload Validation: </w:t>
      </w:r>
      <w:r>
        <w:t>Flask receives the multi-part request. Pillow verifies bitstream integrity, checks dimension limits (32px to 4096px), normalizes EXIF orientation, generates a persistent base64 JPEG thumbnail, and saves the image to a user-isolated directory.</w:t>
      </w:r>
    </w:p>
    <w:p>
      <w:pPr>
        <w:spacing w:after="120" w:line="276" w:lineRule="auto"/>
        <w:ind w:left="360"/>
      </w:pPr>
      <w:r>
        <w:rPr>
          <w:b/>
        </w:rPr>
        <w:t xml:space="preserve">Step 3: Resolution &amp; Preprocessing Normalization: </w:t>
      </w:r>
      <w:r>
        <w:t>The image is resized to 256 x 256 pixels via Lanczos resampling. Preprocessing computes ITU-R BT.601 grayscale luminance, applies CLAHE contrast enhancement across 8x8 tiles in CIE LAB space, and converts RGB to HSV color space.</w:t>
      </w:r>
    </w:p>
    <w:p>
      <w:pPr>
        <w:spacing w:after="120" w:line="276" w:lineRule="auto"/>
        <w:ind w:left="360"/>
      </w:pPr>
      <w:r>
        <w:rPr>
          <w:b/>
        </w:rPr>
        <w:t xml:space="preserve">Step 4: Operational Mode Branching: </w:t>
      </w:r>
      <w:r>
        <w:t>If single-monument mode is selected, the pipeline extracts full-image features. If multi-candidate collage mode is active (or triggered automatically via collage fallback), a 15-region spatial grid scanner crops halves, quadrants, third-columns, and central windows.</w:t>
      </w:r>
    </w:p>
    <w:p>
      <w:pPr>
        <w:spacing w:after="120" w:line="276" w:lineRule="auto"/>
        <w:ind w:left="360"/>
      </w:pPr>
      <w:r>
        <w:rPr>
          <w:b/>
        </w:rPr>
        <w:t xml:space="preserve">Step 5: Master Feature Extraction (155D): </w:t>
      </w:r>
      <w:r>
        <w:t>The feature extractor computes the 155-dimensional feature vector: Grayscale Histogram &amp; Moments (40D), Sobel Gradient Magnitude &amp; Orientations (36D), Texture Moments &amp; 3x3 Spatial Grid (31D), HSV Color Histograms (32D), and Monument-Specific Architectural Descriptors (16D).</w:t>
      </w:r>
    </w:p>
    <w:p>
      <w:pPr>
        <w:spacing w:after="120" w:line="276" w:lineRule="auto"/>
        <w:ind w:left="360"/>
      </w:pPr>
      <w:r>
        <w:rPr>
          <w:b/>
        </w:rPr>
        <w:t xml:space="preserve">Step 6: Normalization &amp; Feature Weighting: </w:t>
      </w:r>
      <w:r>
        <w:t>The feature vector is normalized using the train-fitted StandardScaler, clipped to [-5.0, 5.0] z-scores, and weighted by syllabus group coefficients.</w:t>
      </w:r>
    </w:p>
    <w:p>
      <w:pPr>
        <w:spacing w:after="120" w:line="276" w:lineRule="auto"/>
        <w:ind w:left="360"/>
      </w:pPr>
      <w:r>
        <w:rPr>
          <w:b/>
        </w:rPr>
        <w:t xml:space="preserve">Step 7: SVM Classification &amp; Platt Scaling: </w:t>
      </w:r>
      <w:r>
        <w:t>The RBF-kernel SVM computes uncalibrated decision margins f_k(x) across all six classes. Platt scaling converts margins into calibrated posterior probabilities P(y = k | x) that sum to 1.0.</w:t>
      </w:r>
    </w:p>
    <w:p>
      <w:pPr>
        <w:spacing w:after="120" w:line="276" w:lineRule="auto"/>
        <w:ind w:left="360"/>
      </w:pPr>
      <w:r>
        <w:rPr>
          <w:b/>
        </w:rPr>
        <w:t xml:space="preserve">Step 8: Multi-Tier Rejection Judgment: </w:t>
      </w:r>
      <w:r>
        <w:t>The RejectionJudge evaluates top-class confidence P_(1) against tau_accept (0.42), decision margin P_(1) - P_(2) against tau_margin (0.12), and centroid distance against tau_dist (17.0). Borderline boundary outliers receive distance-based soft confidence penalties.</w:t>
      </w:r>
    </w:p>
    <w:p>
      <w:pPr>
        <w:spacing w:after="120" w:line="276" w:lineRule="auto"/>
        <w:ind w:left="360"/>
      </w:pPr>
      <w:r>
        <w:rPr>
          <w:b/>
        </w:rPr>
        <w:t xml:space="preserve">Step 9: Database Persistence: </w:t>
      </w:r>
      <w:r>
        <w:t>The exchange (user message, image thumbnail, assistant response, candidate scores, acceptance status) is committed to SQLite (monuscript.db).</w:t>
      </w:r>
    </w:p>
    <w:p>
      <w:pPr>
        <w:spacing w:after="120" w:line="276" w:lineRule="auto"/>
        <w:ind w:left="360"/>
      </w:pPr>
      <w:r>
        <w:rPr>
          <w:b/>
        </w:rPr>
        <w:t xml:space="preserve">Step 10: Result Hydration &amp; 3D Model Rendering: </w:t>
      </w:r>
      <w:r>
        <w:t>If accepted, the frontend renders the monument's historical overview, builder, epoch, key architectural features, and activates the embedded Sketchfab 3D WebGL viewer. If rejected, an educational feedback card guides the user.</w:t>
      </w:r>
    </w:p>
    <w:p>
      <w:pPr>
        <w:pStyle w:val="Heading2"/>
        <w:keepNext/>
        <w:spacing w:before="280" w:after="120"/>
      </w:pPr>
      <w:r>
        <w:rPr>
          <w:rFonts w:ascii="Georgia" w:hAnsi="Georgia"/>
          <w:b/>
          <w:color w:val="22332A"/>
          <w:sz w:val="26"/>
        </w:rPr>
        <w:t>System Workflow Flowchart</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 xml:space="preserve">  [User Uploads Image] ---&gt; [Integrity &amp; Dimension Filter]</w:t>
              <w:br/>
              <w:t xml:space="preserve">                                      |</w:t>
              <w:br/>
              <w:t xml:space="preserve">                                      v</w:t>
              <w:br/>
              <w:t xml:space="preserve">                         [Resize 256x256 &amp; LAB CLAHE]</w:t>
              <w:br/>
              <w:t xml:space="preserve">                                      |</w:t>
              <w:br/>
              <w:t xml:space="preserve">                 +--------------------+--------------------+</w:t>
              <w:br/>
              <w:t xml:space="preserve">                 |                                         |</w:t>
              <w:br/>
              <w:t xml:space="preserve">          [Single Mode]                            [Collage Mode]</w:t>
              <w:br/>
              <w:t xml:space="preserve">                 |                                         |</w:t>
              <w:br/>
              <w:t xml:space="preserve">     [Extract 155D Features]                   [15-Region Grid Scan]</w:t>
              <w:br/>
              <w:t xml:space="preserve">                 |                                         |</w:t>
              <w:br/>
              <w:t xml:space="preserve">                 +--------------------+--------------------+</w:t>
              <w:br/>
              <w:t xml:space="preserve">                                      |</w:t>
              <w:br/>
              <w:t xml:space="preserve">                                      v</w:t>
              <w:br/>
              <w:t xml:space="preserve">                         [StandardScaler &amp; Weighting]</w:t>
              <w:br/>
              <w:t xml:space="preserve">                                      |</w:t>
              <w:br/>
              <w:t xml:space="preserve">                                      v</w:t>
              <w:br/>
              <w:t xml:space="preserve">                         [RBF SVM + Platt Scaling]</w:t>
              <w:br/>
              <w:t xml:space="preserve">                                      |</w:t>
              <w:br/>
              <w:t xml:space="preserve">                                      v</w:t>
              <w:br/>
              <w:t xml:space="preserve">                         [Multi-Tier Rejection Judge]</w:t>
              <w:br/>
              <w:t xml:space="preserve">                         /                          \</w:t>
              <w:br/>
              <w:t xml:space="preserve">           Passed (tau&gt;=0.42, delta&gt;=0.12)     Failed / Ambiguous / OOD</w:t>
              <w:br/>
              <w:t xml:space="preserve">                       /                              \</w:t>
              <w:br/>
              <w:t xml:space="preserve">                      v                                v</w:t>
              <w:br/>
              <w:t xml:space="preserve">          [Hydrate Metadata &amp; 3D Model]       [Deliver Educational Rejection]</w:t>
              <w:br/>
              <w:t xml:space="preserve">                      \                                /</w:t>
              <w:br/>
              <w:t xml:space="preserve">                       +--------------+---------------+</w:t>
              <w:br/>
              <w:t xml:space="preserve">                                      |</w:t>
              <w:br/>
              <w:t xml:space="preserve">                                      v</w:t>
              <w:br/>
              <w:t xml:space="preserve">                          [SQLite + Cache Persistence]</w:t>
            </w:r>
          </w:p>
        </w:tc>
      </w:tr>
    </w:tbl>
    <w:p>
      <w:pPr>
        <w:spacing w:after="120"/>
      </w:pPr>
    </w:p>
    <w:p>
      <w:pPr>
        <w:pStyle w:val="Heading2"/>
        <w:keepNext/>
        <w:spacing w:before="280" w:after="120"/>
      </w:pPr>
      <w:r>
        <w:rPr>
          <w:rFonts w:ascii="Georgia" w:hAnsi="Georgia"/>
          <w:b/>
          <w:color w:val="22332A"/>
          <w:sz w:val="26"/>
        </w:rPr>
        <w:t>Handling of Challenging Photographic Scenarios</w:t>
      </w:r>
    </w:p>
    <w:p>
      <w:pPr>
        <w:spacing w:after="120" w:line="276" w:lineRule="auto"/>
      </w:pPr>
      <w:r>
        <w:rPr>
          <w:rFonts w:ascii="Calibri" w:hAnsi="Calibri"/>
          <w:color w:val="222222"/>
          <w:sz w:val="22"/>
        </w:rPr>
        <w:t>• Blurry Photographs: Blur attenuates high-frequency gradients, lowering Sobel edge density and gradient energy. When edge density falls below threshold, the feature vector drifts from the training distribution, triggering safe centroid distance rejection.</w:t>
      </w:r>
    </w:p>
    <w:p>
      <w:pPr>
        <w:spacing w:after="120" w:line="276" w:lineRule="auto"/>
      </w:pPr>
      <w:r>
        <w:rPr>
          <w:rFonts w:ascii="Calibri" w:hAnsi="Calibri"/>
          <w:color w:val="222222"/>
          <w:sz w:val="22"/>
        </w:rPr>
        <w:t>• Partial Monument Views: When a monument is cropped or partially occluded, full-image 3x3 grid statistics can degrade. MonuScript's collage/sub-region scanner evaluates candidate sub-windows to isolate unobstructed portions.</w:t>
      </w:r>
    </w:p>
    <w:p>
      <w:pPr>
        <w:spacing w:after="120" w:line="276" w:lineRule="auto"/>
      </w:pPr>
      <w:r>
        <w:rPr>
          <w:rFonts w:ascii="Calibri" w:hAnsi="Calibri"/>
          <w:color w:val="222222"/>
          <w:sz w:val="22"/>
        </w:rPr>
        <w:t>• Lighting Extremes: Harsh shadows and bright sunlight are stabilized via LAB-space CLAHE and HSV color decoupling.</w:t>
      </w:r>
    </w:p>
    <w:p>
      <w:pPr>
        <w:spacing w:after="120" w:line="276" w:lineRule="auto"/>
      </w:pPr>
      <w:r>
        <w:rPr>
          <w:rFonts w:ascii="Calibri" w:hAnsi="Calibri"/>
          <w:color w:val="222222"/>
          <w:sz w:val="22"/>
        </w:rPr>
        <w:t>• Multiple Monuments in Single Image: The 15-region spatial grid scanner crops vertical halves, horizontal halves, quadrants, and column thirds, evaluating each sub-window through the classifier and deduplicating distinct accepted monuments.</w:t>
      </w:r>
    </w:p>
    <w:p>
      <w:pPr>
        <w:spacing w:after="120" w:line="276" w:lineRule="auto"/>
      </w:pPr>
      <w:r>
        <w:rPr>
          <w:rFonts w:ascii="Calibri" w:hAnsi="Calibri"/>
          <w:color w:val="222222"/>
          <w:sz w:val="22"/>
        </w:rPr>
        <w:t>• Unsupported Monuments: Images of global landmarks (Eiffel Tower, Colosseum) generate low top probabilities and large centroid distances, safely triggering out-of-distribution rejection.</w:t>
      </w:r>
    </w:p>
    <w:p>
      <w:pPr>
        <w:spacing w:after="120" w:line="276" w:lineRule="auto"/>
      </w:pPr>
      <w:r>
        <w:rPr>
          <w:rFonts w:ascii="Calibri" w:hAnsi="Calibri"/>
          <w:color w:val="222222"/>
          <w:sz w:val="22"/>
        </w:rPr>
        <w:t>• Ambiguous Predictions: When competing classes produce nearly equal scores (e.g., India Gate vs Hawa Mahal margin &lt; 0.12), the rejection judge flags the result as uncertain and prompts the user for a clearer angle.</w:t>
      </w:r>
    </w:p>
    <w:p>
      <w:pPr>
        <w:pStyle w:val="Heading1"/>
        <w:keepNext/>
        <w:spacing w:before="360" w:after="160"/>
      </w:pPr>
      <w:r>
        <w:rPr>
          <w:rFonts w:ascii="Georgia" w:hAnsi="Georgia"/>
          <w:b/>
          <w:color w:val="9C3818"/>
          <w:sz w:val="32"/>
        </w:rPr>
        <w:t>9. Performance Metrics</w:t>
      </w:r>
    </w:p>
    <w:p>
      <w:pPr>
        <w:spacing w:after="120" w:line="276" w:lineRule="auto"/>
      </w:pPr>
      <w:r>
        <w:rPr>
          <w:rFonts w:ascii="Calibri" w:hAnsi="Calibri"/>
          <w:color w:val="222222"/>
          <w:sz w:val="22"/>
        </w:rPr>
        <w:t>To evaluate classification, rejection, and computational efficiency rigorously, MonuScript defines the following academic metrics:</w:t>
      </w:r>
    </w:p>
    <w:p>
      <w:pPr>
        <w:pStyle w:val="Heading2"/>
        <w:keepNext/>
        <w:spacing w:before="280" w:after="120"/>
      </w:pPr>
      <w:r>
        <w:rPr>
          <w:rFonts w:ascii="Georgia" w:hAnsi="Georgia"/>
          <w:b/>
          <w:color w:val="22332A"/>
          <w:sz w:val="26"/>
        </w:rPr>
        <w:t>9.1 Accuracy</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Accuracy = (TP + TN) / (TP + TN + FP + FN) = (Number of Correct Predictions) / (Total Test Samples)</w:t>
            </w:r>
          </w:p>
        </w:tc>
      </w:tr>
    </w:tbl>
    <w:p>
      <w:pPr>
        <w:spacing w:after="120"/>
      </w:pPr>
    </w:p>
    <w:p>
      <w:pPr>
        <w:spacing w:after="120" w:line="276" w:lineRule="auto"/>
      </w:pPr>
      <w:r>
        <w:rPr>
          <w:rFonts w:ascii="Calibri" w:hAnsi="Calibri"/>
          <w:color w:val="222222"/>
          <w:sz w:val="22"/>
        </w:rPr>
        <w:t>While standard in balanced multiclass problems, accuracy does not capture per-class error distribution or penalize confident misclassifications. It is supplemented by precision, recall, and F1-score.</w:t>
      </w:r>
    </w:p>
    <w:p>
      <w:pPr>
        <w:pStyle w:val="Heading2"/>
        <w:keepNext/>
        <w:spacing w:before="280" w:after="120"/>
      </w:pPr>
      <w:r>
        <w:rPr>
          <w:rFonts w:ascii="Georgia" w:hAnsi="Georgia"/>
          <w:b/>
          <w:color w:val="22332A"/>
          <w:sz w:val="26"/>
        </w:rPr>
        <w:t>9.2 Precision</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Precision_k = TP_k / (TP_k + FP_k)</w:t>
            </w:r>
          </w:p>
        </w:tc>
      </w:tr>
    </w:tbl>
    <w:p>
      <w:pPr>
        <w:spacing w:after="120"/>
      </w:pPr>
    </w:p>
    <w:p>
      <w:pPr>
        <w:spacing w:after="120" w:line="276" w:lineRule="auto"/>
      </w:pPr>
      <w:r>
        <w:rPr>
          <w:rFonts w:ascii="Calibri" w:hAnsi="Calibri"/>
          <w:color w:val="222222"/>
          <w:sz w:val="22"/>
        </w:rPr>
        <w:t>Measures the proportion of predictions assigned to monument class k that are genuinely class k. High precision indicates minimal false alarms.</w:t>
      </w:r>
    </w:p>
    <w:p>
      <w:pPr>
        <w:pStyle w:val="Heading2"/>
        <w:keepNext/>
        <w:spacing w:before="280" w:after="120"/>
      </w:pPr>
      <w:r>
        <w:rPr>
          <w:rFonts w:ascii="Georgia" w:hAnsi="Georgia"/>
          <w:b/>
          <w:color w:val="22332A"/>
          <w:sz w:val="26"/>
        </w:rPr>
        <w:t>9.3 Recall (Sensitivity)</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Recall_k = TP_k / (TP_k + FN_k)</w:t>
            </w:r>
          </w:p>
        </w:tc>
      </w:tr>
    </w:tbl>
    <w:p>
      <w:pPr>
        <w:spacing w:after="120"/>
      </w:pPr>
    </w:p>
    <w:p>
      <w:pPr>
        <w:spacing w:after="120" w:line="276" w:lineRule="auto"/>
      </w:pPr>
      <w:r>
        <w:rPr>
          <w:rFonts w:ascii="Calibri" w:hAnsi="Calibri"/>
          <w:color w:val="222222"/>
          <w:sz w:val="22"/>
        </w:rPr>
        <w:t>Measures the proportion of authentic class k test images successfully identified by the classifier.</w:t>
      </w:r>
    </w:p>
    <w:p>
      <w:pPr>
        <w:pStyle w:val="Heading2"/>
        <w:keepNext/>
        <w:spacing w:before="280" w:after="120"/>
      </w:pPr>
      <w:r>
        <w:rPr>
          <w:rFonts w:ascii="Georgia" w:hAnsi="Georgia"/>
          <w:b/>
          <w:color w:val="22332A"/>
          <w:sz w:val="26"/>
        </w:rPr>
        <w:t>9.4 F1-Score and Macro-Averaging</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F1_k = 2 * (Precision_k * Recall_k) / (Precision_k + Recall_k)</w:t>
              <w:br/>
              <w:t>Macro-F1 = (1 / K) * sum_{k=1}^K F1_k</w:t>
            </w:r>
          </w:p>
        </w:tc>
      </w:tr>
    </w:tbl>
    <w:p>
      <w:pPr>
        <w:spacing w:after="120"/>
      </w:pPr>
    </w:p>
    <w:p>
      <w:pPr>
        <w:spacing w:after="120" w:line="276" w:lineRule="auto"/>
      </w:pPr>
      <w:r>
        <w:rPr>
          <w:rFonts w:ascii="Calibri" w:hAnsi="Calibri"/>
          <w:color w:val="222222"/>
          <w:sz w:val="22"/>
        </w:rPr>
        <w:t>Macro-averaged F1 calculates the unweighted mean of per-class F1-scores, giving equal importance to every monument class regardless of sample count.</w:t>
      </w:r>
    </w:p>
    <w:p>
      <w:pPr>
        <w:pStyle w:val="Heading2"/>
        <w:keepNext/>
        <w:spacing w:before="280" w:after="120"/>
      </w:pPr>
      <w:r>
        <w:rPr>
          <w:rFonts w:ascii="Georgia" w:hAnsi="Georgia"/>
          <w:b/>
          <w:color w:val="22332A"/>
          <w:sz w:val="26"/>
        </w:rPr>
        <w:t>9.5 Confusion Matrix</w:t>
      </w:r>
    </w:p>
    <w:p>
      <w:pPr>
        <w:spacing w:after="120" w:line="276" w:lineRule="auto"/>
      </w:pPr>
      <w:r>
        <w:rPr>
          <w:rFonts w:ascii="Calibri" w:hAnsi="Calibri"/>
          <w:color w:val="222222"/>
          <w:sz w:val="22"/>
        </w:rPr>
        <w:t>A 6x6 contingency table C where cell C(i, j) denotes the count of test samples known to belong to true class i that were predicted as class j. Diagonal elements represent correct classifications; off-diagonal elements expose pairwise confusions.</w:t>
      </w:r>
    </w:p>
    <w:p>
      <w:pPr>
        <w:pStyle w:val="Heading2"/>
        <w:keepNext/>
        <w:spacing w:before="280" w:after="120"/>
      </w:pPr>
      <w:r>
        <w:rPr>
          <w:rFonts w:ascii="Georgia" w:hAnsi="Georgia"/>
          <w:b/>
          <w:color w:val="22332A"/>
          <w:sz w:val="26"/>
        </w:rPr>
        <w:t>9.6 Rejection Metrics</w:t>
      </w:r>
    </w:p>
    <w:p>
      <w:pPr>
        <w:spacing w:after="120" w:line="276" w:lineRule="auto"/>
      </w:pPr>
      <w:r>
        <w:rPr>
          <w:rFonts w:ascii="Calibri" w:hAnsi="Calibri"/>
          <w:color w:val="222222"/>
          <w:sz w:val="22"/>
        </w:rPr>
        <w:t>Evaluated across supported test images (N_test = 24) and out-of-distribution negative images (N_neg = 15):</w:t>
      </w:r>
    </w:p>
    <w:tbl>
      <w:tblPr>
        <w:tblW w:type="auto" w:w="0"/>
        <w:jc w:val="center"/>
        <w:tblLook w:firstColumn="1" w:firstRow="1" w:lastColumn="0" w:lastRow="0" w:noHBand="0" w:noVBand="1" w:val="04A0"/>
      </w:tblPr>
      <w:tblGrid>
        <w:gridCol w:w="9360"/>
      </w:tblGrid>
      <w:tr>
        <w:tc>
          <w:tcPr>
            <w:tcW w:type="dxa" w:w="9360"/>
            <w:shd w:fill="F4F6F6"/>
            <w:tcMar>
              <w:top w:w="100" w:type="dxa"/>
              <w:bottom w:w="100" w:type="dxa"/>
              <w:left w:w="140" w:type="dxa"/>
              <w:right w:w="140" w:type="dxa"/>
            </w:tcMar>
            <w:tcBorders>
              <w:top w:val="single" w:sz="6" w:space="0" w:color="D5DBDB"/>
              <w:left w:val="single" w:sz="6" w:space="0" w:color="D5DBDB"/>
              <w:bottom w:val="single" w:sz="6" w:space="0" w:color="D5DBDB"/>
              <w:right w:val="single" w:sz="6" w:space="0" w:color="D5DBDB"/>
            </w:tcBorders>
          </w:tcPr>
          <w:p>
            <w:pPr>
              <w:spacing w:before="40" w:after="40"/>
            </w:pPr>
            <w:r>
              <w:rPr>
                <w:rFonts w:ascii="Consolas" w:hAnsi="Consolas"/>
                <w:color w:val="2C3E50"/>
                <w:sz w:val="17"/>
              </w:rPr>
              <w:t>Correct Acceptance Rate (CAR) = (Accepted Correct Test Samples) / (Total Correct Predictions)</w:t>
              <w:br/>
              <w:t>False Rejection Rate (FRR)   = (Rejected Correct Test Samples) / (Total Correct Predictions)</w:t>
              <w:br/>
              <w:t>False Acceptance Rate (FAR)  = (Accepted Negative Samples) / (Total Negative Samples)</w:t>
              <w:br/>
              <w:t>True Rejection Rate (TRR)    = (Rejected Negative Samples) / (Total Negative Samples)</w:t>
              <w:br/>
              <w:t>Coverage                     = (Total Accepted Inputs) / (Total Evaluated Inputs)</w:t>
            </w:r>
          </w:p>
        </w:tc>
      </w:tr>
    </w:tbl>
    <w:p>
      <w:pPr>
        <w:spacing w:after="120"/>
      </w:pPr>
    </w:p>
    <w:p>
      <w:pPr>
        <w:pStyle w:val="Heading2"/>
        <w:keepNext/>
        <w:spacing w:before="280" w:after="120"/>
      </w:pPr>
      <w:r>
        <w:rPr>
          <w:rFonts w:ascii="Georgia" w:hAnsi="Georgia"/>
          <w:b/>
          <w:color w:val="22332A"/>
          <w:sz w:val="26"/>
        </w:rPr>
        <w:t>9.7 Computational Latency Metrics</w:t>
      </w:r>
    </w:p>
    <w:p>
      <w:pPr>
        <w:spacing w:after="120" w:line="276" w:lineRule="auto"/>
      </w:pPr>
      <w:r>
        <w:rPr>
          <w:rFonts w:ascii="Calibri" w:hAnsi="Calibri"/>
          <w:color w:val="222222"/>
          <w:sz w:val="22"/>
        </w:rPr>
        <w:t>Measured in milliseconds per image on standard CPU hardware:</w:t>
      </w:r>
    </w:p>
    <w:p>
      <w:pPr>
        <w:spacing w:after="120" w:line="276" w:lineRule="auto"/>
      </w:pPr>
      <w:r>
        <w:rPr>
          <w:rFonts w:ascii="Calibri" w:hAnsi="Calibri"/>
          <w:color w:val="222222"/>
          <w:sz w:val="22"/>
        </w:rPr>
        <w:t>• Preprocessing Latency: Lanczos resize, grayscale conversion, LAB CLAHE (~25–35 ms).</w:t>
      </w:r>
    </w:p>
    <w:p>
      <w:pPr>
        <w:spacing w:after="120" w:line="276" w:lineRule="auto"/>
      </w:pPr>
      <w:r>
        <w:rPr>
          <w:rFonts w:ascii="Calibri" w:hAnsi="Calibri"/>
          <w:color w:val="222222"/>
          <w:sz w:val="22"/>
        </w:rPr>
        <w:t>• Feature Extraction Latency: Histogram, Sobel gradients, texture, HSV, architectural features (~75–85 ms).</w:t>
      </w:r>
    </w:p>
    <w:p>
      <w:pPr>
        <w:spacing w:after="120" w:line="276" w:lineRule="auto"/>
      </w:pPr>
      <w:r>
        <w:rPr>
          <w:rFonts w:ascii="Calibri" w:hAnsi="Calibri"/>
          <w:color w:val="222222"/>
          <w:sz w:val="22"/>
        </w:rPr>
        <w:t>• Inference Latency: StandardScaler transformation, feature weighting, SVM prediction, Platt scaling (~0.5–1.5 ms).</w:t>
      </w:r>
    </w:p>
    <w:p>
      <w:pPr>
        <w:spacing w:after="120" w:line="276" w:lineRule="auto"/>
      </w:pPr>
      <w:r>
        <w:rPr>
          <w:rFonts w:ascii="Calibri" w:hAnsi="Calibri"/>
          <w:color w:val="222222"/>
          <w:sz w:val="22"/>
        </w:rPr>
        <w:t>• Mean End-to-End Processing Latency: ~110–130 ms per image (zero GPU requirement).</w:t>
      </w:r>
    </w:p>
    <w:p>
      <w:pPr>
        <w:pStyle w:val="Heading1"/>
        <w:keepNext/>
        <w:spacing w:before="360" w:after="160"/>
      </w:pPr>
      <w:r>
        <w:rPr>
          <w:rFonts w:ascii="Georgia" w:hAnsi="Georgia"/>
          <w:b/>
          <w:color w:val="9C3818"/>
          <w:sz w:val="32"/>
        </w:rPr>
        <w:t>10. Results and Discussion</w:t>
      </w:r>
    </w:p>
    <w:p>
      <w:pPr>
        <w:pStyle w:val="Heading2"/>
        <w:keepNext/>
        <w:spacing w:before="280" w:after="120"/>
      </w:pPr>
      <w:r>
        <w:rPr>
          <w:rFonts w:ascii="Georgia" w:hAnsi="Georgia"/>
          <w:b/>
          <w:color w:val="22332A"/>
          <w:sz w:val="26"/>
        </w:rPr>
        <w:t>10.1 Baseline Results (Experiment E0)</w:t>
      </w:r>
    </w:p>
    <w:p>
      <w:pPr>
        <w:spacing w:after="120" w:line="276" w:lineRule="auto"/>
      </w:pPr>
      <w:r>
        <w:rPr>
          <w:rFonts w:ascii="Calibri" w:hAnsi="Calibri"/>
          <w:color w:val="222222"/>
          <w:sz w:val="22"/>
        </w:rPr>
        <w:t>The existing baseline model was trained using a Linear SVM (C = 0.5) over 139-dimensional basic DIP features without CLAHE contrast enhancement or architectural descriptors. Evaluated on the held-out test set (24 images, 4 per class), the baseline achieved an overall accuracy of 54.17% (13/24 correct) and a Macro F1-score of 0.4870.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2C3E50"/>
            <w:tcMar>
              <w:top w:w="100" w:type="dxa"/>
              <w:bottom w:w="100" w:type="dxa"/>
              <w:left w:w="120" w:type="dxa"/>
              <w:right w:w="120" w:type="dxa"/>
            </w:tcMar>
          </w:tcPr>
          <w:p>
            <w:pPr>
              <w:spacing w:before="40" w:after="40"/>
              <w:jc w:val="center"/>
            </w:pPr>
            <w:r>
              <w:rPr>
                <w:rFonts w:ascii="Calibri" w:hAnsi="Calibri"/>
                <w:b/>
                <w:color w:val="FFFFFF"/>
                <w:sz w:val="19"/>
              </w:rPr>
              <w:t>Monument Class</w:t>
            </w:r>
          </w:p>
        </w:tc>
        <w:tc>
          <w:tcPr>
            <w:tcW w:type="dxa" w:w="1152"/>
            <w:shd w:fill="2C3E50"/>
            <w:tcMar>
              <w:top w:w="100" w:type="dxa"/>
              <w:bottom w:w="100" w:type="dxa"/>
              <w:left w:w="120" w:type="dxa"/>
              <w:right w:w="120" w:type="dxa"/>
            </w:tcMar>
          </w:tcPr>
          <w:p>
            <w:pPr>
              <w:spacing w:before="40" w:after="40"/>
              <w:jc w:val="center"/>
            </w:pPr>
            <w:r>
              <w:rPr>
                <w:rFonts w:ascii="Calibri" w:hAnsi="Calibri"/>
                <w:b/>
                <w:color w:val="FFFFFF"/>
                <w:sz w:val="19"/>
              </w:rPr>
              <w:t>Test Support</w:t>
            </w:r>
          </w:p>
        </w:tc>
        <w:tc>
          <w:tcPr>
            <w:tcW w:type="dxa" w:w="1152"/>
            <w:shd w:fill="2C3E50"/>
            <w:tcMar>
              <w:top w:w="100" w:type="dxa"/>
              <w:bottom w:w="100" w:type="dxa"/>
              <w:left w:w="120" w:type="dxa"/>
              <w:right w:w="120" w:type="dxa"/>
            </w:tcMar>
          </w:tcPr>
          <w:p>
            <w:pPr>
              <w:spacing w:before="40" w:after="40"/>
              <w:jc w:val="center"/>
            </w:pPr>
            <w:r>
              <w:rPr>
                <w:rFonts w:ascii="Calibri" w:hAnsi="Calibri"/>
                <w:b/>
                <w:color w:val="FFFFFF"/>
                <w:sz w:val="19"/>
              </w:rPr>
              <w:t>Precision</w:t>
            </w:r>
          </w:p>
        </w:tc>
        <w:tc>
          <w:tcPr>
            <w:tcW w:type="dxa" w:w="1152"/>
            <w:shd w:fill="2C3E50"/>
            <w:tcMar>
              <w:top w:w="100" w:type="dxa"/>
              <w:bottom w:w="100" w:type="dxa"/>
              <w:left w:w="120" w:type="dxa"/>
              <w:right w:w="120" w:type="dxa"/>
            </w:tcMar>
          </w:tcPr>
          <w:p>
            <w:pPr>
              <w:spacing w:before="40" w:after="40"/>
              <w:jc w:val="center"/>
            </w:pPr>
            <w:r>
              <w:rPr>
                <w:rFonts w:ascii="Calibri" w:hAnsi="Calibri"/>
                <w:b/>
                <w:color w:val="FFFFFF"/>
                <w:sz w:val="19"/>
              </w:rPr>
              <w:t>Recall</w:t>
            </w:r>
          </w:p>
        </w:tc>
        <w:tc>
          <w:tcPr>
            <w:tcW w:type="dxa" w:w="1152"/>
            <w:shd w:fill="2C3E50"/>
            <w:tcMar>
              <w:top w:w="100" w:type="dxa"/>
              <w:bottom w:w="100" w:type="dxa"/>
              <w:left w:w="120" w:type="dxa"/>
              <w:right w:w="120" w:type="dxa"/>
            </w:tcMar>
          </w:tcPr>
          <w:p>
            <w:pPr>
              <w:spacing w:before="40" w:after="40"/>
              <w:jc w:val="center"/>
            </w:pPr>
            <w:r>
              <w:rPr>
                <w:rFonts w:ascii="Calibri" w:hAnsi="Calibri"/>
                <w:b/>
                <w:color w:val="FFFFFF"/>
                <w:sz w:val="19"/>
              </w:rPr>
              <w:t>F1-Score</w:t>
            </w:r>
          </w:p>
        </w:tc>
        <w:tc>
          <w:tcPr>
            <w:tcW w:type="dxa" w:w="3024"/>
            <w:shd w:fill="2C3E50"/>
            <w:tcMar>
              <w:top w:w="100" w:type="dxa"/>
              <w:bottom w:w="100" w:type="dxa"/>
              <w:left w:w="120" w:type="dxa"/>
              <w:right w:w="120" w:type="dxa"/>
            </w:tcMar>
          </w:tcPr>
          <w:p>
            <w:pPr>
              <w:spacing w:before="40" w:after="40"/>
              <w:jc w:val="center"/>
            </w:pPr>
            <w:r>
              <w:rPr>
                <w:rFonts w:ascii="Calibri" w:hAnsi="Calibri"/>
                <w:b/>
                <w:color w:val="FFFFFF"/>
                <w:sz w:val="19"/>
              </w:rPr>
              <w:t>Baseline Diagnosis</w:t>
            </w:r>
          </w:p>
        </w:tc>
      </w:tr>
      <w:tr>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Charminar</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0.75</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0.75</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0.75</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222222"/>
                <w:sz w:val="18"/>
              </w:rPr>
              <w:t>Moderate; 1 misclassified as Hawa Mahal</w:t>
            </w:r>
          </w:p>
        </w:tc>
      </w:tr>
      <w:tr>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Hawa Mahal</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0.57</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1.00</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0.73</w:t>
            </w:r>
          </w:p>
        </w:tc>
        <w:tc>
          <w:tcPr>
            <w:tcW w:type="dxa" w:w="3024"/>
            <w:shd w:fill="F8F9F9"/>
            <w:tcMar>
              <w:top w:w="80" w:type="dxa"/>
              <w:bottom w:w="80" w:type="dxa"/>
              <w:left w:w="120" w:type="dxa"/>
              <w:right w:w="120" w:type="dxa"/>
            </w:tcMar>
          </w:tcPr>
          <w:p>
            <w:pPr>
              <w:spacing w:before="40" w:after="40" w:line="264" w:lineRule="auto"/>
            </w:pPr>
            <w:r>
              <w:rPr>
                <w:rFonts w:ascii="Calibri" w:hAnsi="Calibri"/>
                <w:color w:val="222222"/>
                <w:sz w:val="18"/>
              </w:rPr>
              <w:t>High recall, but attracts false positives</w:t>
            </w:r>
          </w:p>
        </w:tc>
      </w:tr>
      <w:tr>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India Gate</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0.40</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0.50</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0.44</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222222"/>
                <w:sz w:val="18"/>
              </w:rPr>
              <w:t>Severe confusion; misclassified as Hawa Mahal &amp; Taj</w:t>
            </w:r>
          </w:p>
        </w:tc>
      </w:tr>
      <w:tr>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Qutub Minar</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0.50</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0.25</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0.33</w:t>
            </w:r>
          </w:p>
        </w:tc>
        <w:tc>
          <w:tcPr>
            <w:tcW w:type="dxa" w:w="3024"/>
            <w:shd w:fill="F8F9F9"/>
            <w:tcMar>
              <w:top w:w="80" w:type="dxa"/>
              <w:bottom w:w="80" w:type="dxa"/>
              <w:left w:w="120" w:type="dxa"/>
              <w:right w:w="120" w:type="dxa"/>
            </w:tcMar>
          </w:tcPr>
          <w:p>
            <w:pPr>
              <w:spacing w:before="40" w:after="40" w:line="264" w:lineRule="auto"/>
            </w:pPr>
            <w:r>
              <w:rPr>
                <w:rFonts w:ascii="Calibri" w:hAnsi="Calibri"/>
                <w:color w:val="222222"/>
                <w:sz w:val="18"/>
              </w:rPr>
              <w:t>Severely under-predicted (1/4 correct)</w:t>
            </w:r>
          </w:p>
        </w:tc>
      </w:tr>
      <w:tr>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Red Fort</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0.00</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0.00</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0.00</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222222"/>
                <w:sz w:val="18"/>
              </w:rPr>
              <w:t>Complete failure (0/4 correct); confused with India Gate</w:t>
            </w:r>
          </w:p>
        </w:tc>
      </w:tr>
      <w:tr>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Taj Mahal</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0.60</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0.75</w:t>
            </w:r>
          </w:p>
        </w:tc>
        <w:tc>
          <w:tcPr>
            <w:tcW w:type="dxa" w:w="1152"/>
            <w:shd w:fill="F8F9F9"/>
            <w:tcMar>
              <w:top w:w="80" w:type="dxa"/>
              <w:bottom w:w="80" w:type="dxa"/>
              <w:left w:w="120" w:type="dxa"/>
              <w:right w:w="120" w:type="dxa"/>
            </w:tcMar>
          </w:tcPr>
          <w:p>
            <w:pPr>
              <w:spacing w:before="40" w:after="40" w:line="264" w:lineRule="auto"/>
            </w:pPr>
            <w:r>
              <w:rPr>
                <w:rFonts w:ascii="Calibri" w:hAnsi="Calibri"/>
                <w:color w:val="222222"/>
                <w:sz w:val="18"/>
              </w:rPr>
              <w:t>0.67</w:t>
            </w:r>
          </w:p>
        </w:tc>
        <w:tc>
          <w:tcPr>
            <w:tcW w:type="dxa" w:w="3024"/>
            <w:shd w:fill="F8F9F9"/>
            <w:tcMar>
              <w:top w:w="80" w:type="dxa"/>
              <w:bottom w:w="80" w:type="dxa"/>
              <w:left w:w="120" w:type="dxa"/>
              <w:right w:w="120" w:type="dxa"/>
            </w:tcMar>
          </w:tcPr>
          <w:p>
            <w:pPr>
              <w:spacing w:before="40" w:after="40" w:line="264" w:lineRule="auto"/>
            </w:pPr>
            <w:r>
              <w:rPr>
                <w:rFonts w:ascii="Calibri" w:hAnsi="Calibri"/>
                <w:color w:val="222222"/>
                <w:sz w:val="18"/>
              </w:rPr>
              <w:t>Good; 1 misclassified as Red Fort</w:t>
            </w:r>
          </w:p>
        </w:tc>
      </w:tr>
      <w:tr>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OVERALL / MACRO</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24</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0.47</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0.54</w:t>
            </w:r>
          </w:p>
        </w:tc>
        <w:tc>
          <w:tcPr>
            <w:tcW w:type="dxa" w:w="1152"/>
            <w:shd w:fill="FFFFFF"/>
            <w:tcMar>
              <w:top w:w="80" w:type="dxa"/>
              <w:bottom w:w="80" w:type="dxa"/>
              <w:left w:w="120" w:type="dxa"/>
              <w:right w:w="120" w:type="dxa"/>
            </w:tcMar>
          </w:tcPr>
          <w:p>
            <w:pPr>
              <w:spacing w:before="40" w:after="40" w:line="264" w:lineRule="auto"/>
            </w:pPr>
            <w:r>
              <w:rPr>
                <w:rFonts w:ascii="Calibri" w:hAnsi="Calibri"/>
                <w:color w:val="222222"/>
                <w:sz w:val="18"/>
              </w:rPr>
              <w:t>0.49</w:t>
            </w:r>
          </w:p>
        </w:tc>
        <w:tc>
          <w:tcPr>
            <w:tcW w:type="dxa" w:w="3024"/>
            <w:shd w:fill="FFFFFF"/>
            <w:tcMar>
              <w:top w:w="80" w:type="dxa"/>
              <w:bottom w:w="80" w:type="dxa"/>
              <w:left w:w="120" w:type="dxa"/>
              <w:right w:w="120" w:type="dxa"/>
            </w:tcMar>
          </w:tcPr>
          <w:p>
            <w:pPr>
              <w:spacing w:before="40" w:after="40" w:line="264" w:lineRule="auto"/>
            </w:pPr>
            <w:r>
              <w:rPr>
                <w:rFonts w:ascii="Calibri" w:hAnsi="Calibri"/>
                <w:color w:val="222222"/>
                <w:sz w:val="18"/>
              </w:rPr>
              <w:t>Overall Accuracy: 54.17%, Latency: 98.7 ms</w:t>
            </w:r>
          </w:p>
        </w:tc>
      </w:tr>
    </w:tbl>
    <w:p>
      <w:pPr>
        <w:spacing w:after="120"/>
      </w:pPr>
    </w:p>
    <w:p>
      <w:pPr>
        <w:pStyle w:val="Heading2"/>
        <w:keepNext/>
        <w:spacing w:before="280" w:after="120"/>
      </w:pPr>
      <w:r>
        <w:rPr>
          <w:rFonts w:ascii="Georgia" w:hAnsi="Georgia"/>
          <w:b/>
          <w:color w:val="22332A"/>
          <w:sz w:val="26"/>
        </w:rPr>
        <w:t>10.2 Monument-Specific Analysis &amp; The India Gate Confusion</w:t>
      </w:r>
    </w:p>
    <w:p>
      <w:pPr>
        <w:spacing w:after="120" w:line="276" w:lineRule="auto"/>
      </w:pPr>
      <w:r>
        <w:rPr>
          <w:rFonts w:ascii="Calibri" w:hAnsi="Calibri"/>
          <w:color w:val="222222"/>
          <w:sz w:val="22"/>
        </w:rPr>
        <w:t>A forensic examination of per-class classification dynamics reveals critical architectural insights:</w:t>
      </w:r>
    </w:p>
    <w:p>
      <w:pPr>
        <w:spacing w:after="120" w:line="276" w:lineRule="auto"/>
      </w:pPr>
      <w:r>
        <w:rPr>
          <w:rFonts w:ascii="Calibri" w:hAnsi="Calibri"/>
          <w:color w:val="222222"/>
          <w:sz w:val="22"/>
        </w:rPr>
        <w:t>1. Charminar: Consistently strong performance (100% precision and recall in production). Its four prominent corner minarets and four grand arches provide balanced gradient energy in all four quadrants, easily separated by spatial grid and Sobel orientation features.</w:t>
      </w:r>
    </w:p>
    <w:p>
      <w:pPr>
        <w:spacing w:after="120" w:line="276" w:lineRule="auto"/>
      </w:pPr>
      <w:r>
        <w:rPr>
          <w:rFonts w:ascii="Calibri" w:hAnsi="Calibri"/>
          <w:color w:val="222222"/>
          <w:sz w:val="22"/>
        </w:rPr>
        <w:t>2. Hawa Mahal: Exhibits high recall (100%), but in the baseline acted as an attractor for false positives due to its high edge density. The addition of the Black Top-Hat window opening density descriptor successfully resolved false positives from other classes.</w:t>
      </w:r>
    </w:p>
    <w:p>
      <w:pPr>
        <w:spacing w:after="120" w:line="276" w:lineRule="auto"/>
      </w:pPr>
      <w:r>
        <w:rPr>
          <w:rFonts w:ascii="Calibri" w:hAnsi="Calibri"/>
          <w:color w:val="222222"/>
          <w:sz w:val="22"/>
        </w:rPr>
        <w:t>3. India Gate Misclassification Analysis: In the baseline interface, India Gate test images frequently exhibited ambiguous competition with Qutub Minar and Hawa Mahal. Forensic inspection (`backend/ml/debug_india_gate_vs_qutub.py`) reveals the root cause:</w:t>
      </w:r>
    </w:p>
    <w:p>
      <w:pPr>
        <w:spacing w:after="120" w:line="276" w:lineRule="auto"/>
      </w:pPr>
      <w:r>
        <w:rPr>
          <w:rFonts w:ascii="Calibri" w:hAnsi="Calibri"/>
          <w:color w:val="222222"/>
          <w:sz w:val="22"/>
        </w:rPr>
        <w:t xml:space="preserve">   • Material Spectral Overlap: India Gate is constructed of pale red and yellow Bharatpur sandstone, matching the red/buff sandstone of Qutub Minar and Hawa Mahal. In unenhanced HSV feature space, color histograms overlap significantly.</w:t>
      </w:r>
    </w:p>
    <w:p>
      <w:pPr>
        <w:spacing w:after="120" w:line="276" w:lineRule="auto"/>
      </w:pPr>
      <w:r>
        <w:rPr>
          <w:rFonts w:ascii="Calibri" w:hAnsi="Calibri"/>
          <w:color w:val="222222"/>
          <w:sz w:val="22"/>
        </w:rPr>
        <w:t xml:space="preserve">   • Flanking Pylon Verticality vs Minaret Shaft: In tight crops of India Gate, the massive vertical stone pylons flanking the central arch produce strong vertical Sobel gradients (Gx), mimicking the vertical shaft of Qutub Minar.</w:t>
      </w:r>
    </w:p>
    <w:p>
      <w:pPr>
        <w:spacing w:after="120" w:line="276" w:lineRule="auto"/>
      </w:pPr>
      <w:r>
        <w:rPr>
          <w:rFonts w:ascii="Calibri" w:hAnsi="Calibri"/>
          <w:color w:val="222222"/>
          <w:sz w:val="22"/>
        </w:rPr>
        <w:t xml:space="preserve">   • Attic Cornice Texture vs Window Lattice: When subjected to linear contrast without CLAHE, India Gate's attic relief inscriptions resembled the high-frequency facade texture of Hawa Mahal.</w:t>
      </w:r>
    </w:p>
    <w:p>
      <w:pPr>
        <w:spacing w:after="120" w:line="276" w:lineRule="auto"/>
      </w:pPr>
      <w:r>
        <w:rPr>
          <w:rFonts w:ascii="Calibri" w:hAnsi="Calibri"/>
          <w:color w:val="222222"/>
          <w:sz w:val="22"/>
        </w:rPr>
        <w:t xml:space="preserve">   • Production Resolution: Adding the Central Arch Void Contrast descriptor (V_arch) and Upper Cornice Dominance (C_cornice) elevated India Gate test recall to 50% and precision to 66.7%, while routing remaining ambiguous cases safely into the rejection buffer.</w:t>
      </w:r>
    </w:p>
    <w:p>
      <w:pPr>
        <w:spacing w:after="120" w:line="276" w:lineRule="auto"/>
      </w:pPr>
      <w:r>
        <w:rPr>
          <w:rFonts w:ascii="Calibri" w:hAnsi="Calibri"/>
          <w:color w:val="222222"/>
          <w:sz w:val="22"/>
        </w:rPr>
        <w:t>4. Red Fort: The baseline model suffered a complete failure on Red Fort (0% recall), misclassifying 3 samples as India Gate and 1 as Qutub Minar due to identical red sandstone color. Introducing the Horizontal Curtain Wall Continuity descriptor (morphological opening with 17x1 kernel) captures long horizontal ramparts, substantially improving fortress separation.</w:t>
      </w:r>
    </w:p>
    <w:p>
      <w:pPr>
        <w:spacing w:after="120" w:line="276" w:lineRule="auto"/>
      </w:pPr>
      <w:r>
        <w:rPr>
          <w:rFonts w:ascii="Calibri" w:hAnsi="Calibri"/>
          <w:color w:val="222222"/>
          <w:sz w:val="22"/>
        </w:rPr>
        <w:t>5. Taj Mahal: Achieves 75% recall and 60% precision. High-reflectance white marble and the Circular Hough Transform dome profile provide robust separation from sandstone monuments, with rare confusion occurring under extreme dark shadows.</w:t>
      </w:r>
    </w:p>
    <w:p>
      <w:pPr>
        <w:pStyle w:val="Heading2"/>
        <w:keepNext/>
        <w:spacing w:before="280" w:after="120"/>
      </w:pPr>
      <w:r>
        <w:rPr>
          <w:rFonts w:ascii="Georgia" w:hAnsi="Georgia"/>
          <w:b/>
          <w:color w:val="22332A"/>
          <w:sz w:val="26"/>
        </w:rPr>
        <w:t>10.3 Experimental Improvements (Experiments E0 through E6)</w:t>
      </w:r>
    </w:p>
    <w:p>
      <w:pPr>
        <w:spacing w:after="120" w:line="276" w:lineRule="auto"/>
      </w:pPr>
      <w:r>
        <w:rPr>
          <w:rFonts w:ascii="Calibri" w:hAnsi="Calibri"/>
          <w:color w:val="222222"/>
          <w:sz w:val="22"/>
        </w:rPr>
        <w:t>To systematically advance performance, six controlled experiments were conducted and logged (`backend/ml/model_artifacts/experiment_results.json`):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fill="2C3E50"/>
            <w:tcMar>
              <w:top w:w="100" w:type="dxa"/>
              <w:bottom w:w="100" w:type="dxa"/>
              <w:left w:w="120" w:type="dxa"/>
              <w:right w:w="120" w:type="dxa"/>
            </w:tcMar>
          </w:tcPr>
          <w:p>
            <w:pPr>
              <w:spacing w:before="40" w:after="40"/>
              <w:jc w:val="center"/>
            </w:pPr>
            <w:r>
              <w:rPr>
                <w:rFonts w:ascii="Calibri" w:hAnsi="Calibri"/>
                <w:b/>
                <w:color w:val="FFFFFF"/>
                <w:sz w:val="19"/>
              </w:rPr>
              <w:t>Exp ID</w:t>
            </w:r>
          </w:p>
        </w:tc>
        <w:tc>
          <w:tcPr>
            <w:tcW w:type="dxa" w:w="3168"/>
            <w:shd w:fill="2C3E50"/>
            <w:tcMar>
              <w:top w:w="100" w:type="dxa"/>
              <w:bottom w:w="100" w:type="dxa"/>
              <w:left w:w="120" w:type="dxa"/>
              <w:right w:w="120" w:type="dxa"/>
            </w:tcMar>
          </w:tcPr>
          <w:p>
            <w:pPr>
              <w:spacing w:before="40" w:after="40"/>
              <w:jc w:val="center"/>
            </w:pPr>
            <w:r>
              <w:rPr>
                <w:rFonts w:ascii="Calibri" w:hAnsi="Calibri"/>
                <w:b/>
                <w:color w:val="FFFFFF"/>
                <w:sz w:val="19"/>
              </w:rPr>
              <w:t>Enhancement Configuration</w:t>
            </w:r>
          </w:p>
        </w:tc>
        <w:tc>
          <w:tcPr>
            <w:tcW w:type="dxa" w:w="720"/>
            <w:shd w:fill="2C3E50"/>
            <w:tcMar>
              <w:top w:w="100" w:type="dxa"/>
              <w:bottom w:w="100" w:type="dxa"/>
              <w:left w:w="120" w:type="dxa"/>
              <w:right w:w="120" w:type="dxa"/>
            </w:tcMar>
          </w:tcPr>
          <w:p>
            <w:pPr>
              <w:spacing w:before="40" w:after="40"/>
              <w:jc w:val="center"/>
            </w:pPr>
            <w:r>
              <w:rPr>
                <w:rFonts w:ascii="Calibri" w:hAnsi="Calibri"/>
                <w:b/>
                <w:color w:val="FFFFFF"/>
                <w:sz w:val="19"/>
              </w:rPr>
              <w:t>Dim</w:t>
            </w:r>
          </w:p>
        </w:tc>
        <w:tc>
          <w:tcPr>
            <w:tcW w:type="dxa" w:w="864"/>
            <w:shd w:fill="2C3E50"/>
            <w:tcMar>
              <w:top w:w="100" w:type="dxa"/>
              <w:bottom w:w="100" w:type="dxa"/>
              <w:left w:w="120" w:type="dxa"/>
              <w:right w:w="120" w:type="dxa"/>
            </w:tcMar>
          </w:tcPr>
          <w:p>
            <w:pPr>
              <w:spacing w:before="40" w:after="40"/>
              <w:jc w:val="center"/>
            </w:pPr>
            <w:r>
              <w:rPr>
                <w:rFonts w:ascii="Calibri" w:hAnsi="Calibri"/>
                <w:b/>
                <w:color w:val="FFFFFF"/>
                <w:sz w:val="19"/>
              </w:rPr>
              <w:t>Val Acc</w:t>
            </w:r>
          </w:p>
        </w:tc>
        <w:tc>
          <w:tcPr>
            <w:tcW w:type="dxa" w:w="864"/>
            <w:shd w:fill="2C3E50"/>
            <w:tcMar>
              <w:top w:w="100" w:type="dxa"/>
              <w:bottom w:w="100" w:type="dxa"/>
              <w:left w:w="120" w:type="dxa"/>
              <w:right w:w="120" w:type="dxa"/>
            </w:tcMar>
          </w:tcPr>
          <w:p>
            <w:pPr>
              <w:spacing w:before="40" w:after="40"/>
              <w:jc w:val="center"/>
            </w:pPr>
            <w:r>
              <w:rPr>
                <w:rFonts w:ascii="Calibri" w:hAnsi="Calibri"/>
                <w:b/>
                <w:color w:val="FFFFFF"/>
                <w:sz w:val="19"/>
              </w:rPr>
              <w:t>Test Acc</w:t>
            </w:r>
          </w:p>
        </w:tc>
        <w:tc>
          <w:tcPr>
            <w:tcW w:type="dxa" w:w="864"/>
            <w:shd w:fill="2C3E50"/>
            <w:tcMar>
              <w:top w:w="100" w:type="dxa"/>
              <w:bottom w:w="100" w:type="dxa"/>
              <w:left w:w="120" w:type="dxa"/>
              <w:right w:w="120" w:type="dxa"/>
            </w:tcMar>
          </w:tcPr>
          <w:p>
            <w:pPr>
              <w:spacing w:before="40" w:after="40"/>
              <w:jc w:val="center"/>
            </w:pPr>
            <w:r>
              <w:rPr>
                <w:rFonts w:ascii="Calibri" w:hAnsi="Calibri"/>
                <w:b/>
                <w:color w:val="FFFFFF"/>
                <w:sz w:val="19"/>
              </w:rPr>
              <w:t>Macro F1</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FAR (Neg)</w:t>
            </w:r>
          </w:p>
        </w:tc>
        <w:tc>
          <w:tcPr>
            <w:tcW w:type="dxa" w:w="1728"/>
            <w:shd w:fill="2C3E50"/>
            <w:tcMar>
              <w:top w:w="100" w:type="dxa"/>
              <w:bottom w:w="100" w:type="dxa"/>
              <w:left w:w="120" w:type="dxa"/>
              <w:right w:w="120" w:type="dxa"/>
            </w:tcMar>
          </w:tcPr>
          <w:p>
            <w:pPr>
              <w:spacing w:before="40" w:after="40"/>
              <w:jc w:val="center"/>
            </w:pPr>
            <w:r>
              <w:rPr>
                <w:rFonts w:ascii="Calibri" w:hAnsi="Calibri"/>
                <w:b/>
                <w:color w:val="FFFFFF"/>
                <w:sz w:val="19"/>
              </w:rPr>
              <w:t>Decision / Status</w:t>
            </w:r>
          </w:p>
        </w:tc>
      </w:tr>
      <w:tr>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E0</w:t>
            </w:r>
          </w:p>
        </w:tc>
        <w:tc>
          <w:tcPr>
            <w:tcW w:type="dxa" w:w="3168"/>
            <w:shd w:fill="FFFFFF"/>
            <w:tcMar>
              <w:top w:w="80" w:type="dxa"/>
              <w:bottom w:w="80" w:type="dxa"/>
              <w:left w:w="120" w:type="dxa"/>
              <w:right w:w="120" w:type="dxa"/>
            </w:tcMar>
          </w:tcPr>
          <w:p>
            <w:pPr>
              <w:spacing w:before="40" w:after="40" w:line="264" w:lineRule="auto"/>
            </w:pPr>
            <w:r>
              <w:rPr>
                <w:rFonts w:ascii="Calibri" w:hAnsi="Calibri"/>
                <w:color w:val="222222"/>
                <w:sz w:val="18"/>
              </w:rPr>
              <w:t>Baseline: 139D DIP + Linear SVM (C=0.1)</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139</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83.3%</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45.8%</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0.400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73.3%</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Baseline reference</w:t>
            </w:r>
          </w:p>
        </w:tc>
      </w:tr>
      <w:tr>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E1</w:t>
            </w:r>
          </w:p>
        </w:tc>
        <w:tc>
          <w:tcPr>
            <w:tcW w:type="dxa" w:w="3168"/>
            <w:shd w:fill="F8F9F9"/>
            <w:tcMar>
              <w:top w:w="80" w:type="dxa"/>
              <w:bottom w:w="80" w:type="dxa"/>
              <w:left w:w="120" w:type="dxa"/>
              <w:right w:w="120" w:type="dxa"/>
            </w:tcMar>
          </w:tcPr>
          <w:p>
            <w:pPr>
              <w:spacing w:before="40" w:after="40" w:line="264" w:lineRule="auto"/>
            </w:pPr>
            <w:r>
              <w:rPr>
                <w:rFonts w:ascii="Calibri" w:hAnsi="Calibri"/>
                <w:color w:val="222222"/>
                <w:sz w:val="18"/>
              </w:rPr>
              <w:t>Baseline + LAB-space CLAHE Contrast</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139</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91.7%</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54.2%</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0.456</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66.7%</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Strong local detail; adopted</w:t>
            </w:r>
          </w:p>
        </w:tc>
      </w:tr>
      <w:tr>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E2</w:t>
            </w:r>
          </w:p>
        </w:tc>
        <w:tc>
          <w:tcPr>
            <w:tcW w:type="dxa" w:w="3168"/>
            <w:shd w:fill="FFFFFF"/>
            <w:tcMar>
              <w:top w:w="80" w:type="dxa"/>
              <w:bottom w:w="80" w:type="dxa"/>
              <w:left w:w="120" w:type="dxa"/>
              <w:right w:w="120" w:type="dxa"/>
            </w:tcMar>
          </w:tcPr>
          <w:p>
            <w:pPr>
              <w:spacing w:before="40" w:after="40" w:line="264" w:lineRule="auto"/>
            </w:pPr>
            <w:r>
              <w:rPr>
                <w:rFonts w:ascii="Calibri" w:hAnsi="Calibri"/>
                <w:color w:val="222222"/>
                <w:sz w:val="18"/>
              </w:rPr>
              <w:t>Baseline + 2D Haar Wavelet Features</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155</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83.3%</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45.8%</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0.410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73.3%</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Marginal gain; high complexity</w:t>
            </w:r>
          </w:p>
        </w:tc>
      </w:tr>
      <w:tr>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E3</w:t>
            </w:r>
          </w:p>
        </w:tc>
        <w:tc>
          <w:tcPr>
            <w:tcW w:type="dxa" w:w="3168"/>
            <w:shd w:fill="F8F9F9"/>
            <w:tcMar>
              <w:top w:w="80" w:type="dxa"/>
              <w:bottom w:w="80" w:type="dxa"/>
              <w:left w:w="120" w:type="dxa"/>
              <w:right w:w="120" w:type="dxa"/>
            </w:tcMar>
          </w:tcPr>
          <w:p>
            <w:pPr>
              <w:spacing w:before="40" w:after="40" w:line="264" w:lineRule="auto"/>
            </w:pPr>
            <w:r>
              <w:rPr>
                <w:rFonts w:ascii="Calibri" w:hAnsi="Calibri"/>
                <w:color w:val="222222"/>
                <w:sz w:val="18"/>
              </w:rPr>
              <w:t>Baseline + Morphological Shape Descriptors</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148</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83.3%</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50.0%</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0.442</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66.7%</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Improves Taj Mahal; contour sensitive</w:t>
            </w:r>
          </w:p>
        </w:tc>
      </w:tr>
      <w:tr>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E4</w:t>
            </w:r>
          </w:p>
        </w:tc>
        <w:tc>
          <w:tcPr>
            <w:tcW w:type="dxa" w:w="3168"/>
            <w:shd w:fill="FFFFFF"/>
            <w:tcMar>
              <w:top w:w="80" w:type="dxa"/>
              <w:bottom w:w="80" w:type="dxa"/>
              <w:left w:w="120" w:type="dxa"/>
              <w:right w:w="120" w:type="dxa"/>
            </w:tcMar>
          </w:tcPr>
          <w:p>
            <w:pPr>
              <w:spacing w:before="40" w:after="40" w:line="264" w:lineRule="auto"/>
            </w:pPr>
            <w:r>
              <w:rPr>
                <w:rFonts w:ascii="Calibri" w:hAnsi="Calibri"/>
                <w:color w:val="222222"/>
                <w:sz w:val="18"/>
              </w:rPr>
              <w:t>Baseline + PCA Dimensionality Reduction (95%)</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35</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83.3%</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50.0%</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0.458</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66.7%</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Compresses 75% dims; retains accuracy</w:t>
            </w:r>
          </w:p>
        </w:tc>
      </w:tr>
      <w:tr>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E5</w:t>
            </w:r>
          </w:p>
        </w:tc>
        <w:tc>
          <w:tcPr>
            <w:tcW w:type="dxa" w:w="3168"/>
            <w:shd w:fill="F8F9F9"/>
            <w:tcMar>
              <w:top w:w="80" w:type="dxa"/>
              <w:bottom w:w="80" w:type="dxa"/>
              <w:left w:w="120" w:type="dxa"/>
              <w:right w:w="120" w:type="dxa"/>
            </w:tcMar>
          </w:tcPr>
          <w:p>
            <w:pPr>
              <w:spacing w:before="40" w:after="40" w:line="264" w:lineRule="auto"/>
            </w:pPr>
            <w:r>
              <w:rPr>
                <w:rFonts w:ascii="Calibri" w:hAnsi="Calibri"/>
                <w:color w:val="222222"/>
                <w:sz w:val="18"/>
              </w:rPr>
              <w:t>Baseline + Multi-Evidence Rejection Calibration</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139</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83.3%</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45.8%</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0.400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33.3%</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Cuts FAR from 73% to 33%; adopted</w:t>
            </w:r>
          </w:p>
        </w:tc>
      </w:tr>
      <w:tr>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E6</w:t>
            </w:r>
          </w:p>
        </w:tc>
        <w:tc>
          <w:tcPr>
            <w:tcW w:type="dxa" w:w="3168"/>
            <w:shd w:fill="FFFFFF"/>
            <w:tcMar>
              <w:top w:w="80" w:type="dxa"/>
              <w:bottom w:w="80" w:type="dxa"/>
              <w:left w:w="120" w:type="dxa"/>
              <w:right w:w="120" w:type="dxa"/>
            </w:tcMar>
          </w:tcPr>
          <w:p>
            <w:pPr>
              <w:spacing w:before="40" w:after="40" w:line="264" w:lineRule="auto"/>
            </w:pPr>
            <w:r>
              <w:rPr>
                <w:rFonts w:ascii="Calibri" w:hAnsi="Calibri"/>
                <w:color w:val="222222"/>
                <w:sz w:val="18"/>
              </w:rPr>
              <w:t>Best Combination: CLAHE + Calibrated Rejection</w:t>
            </w:r>
          </w:p>
        </w:tc>
        <w:tc>
          <w:tcPr>
            <w:tcW w:type="dxa" w:w="720"/>
            <w:shd w:fill="FFFFFF"/>
            <w:tcMar>
              <w:top w:w="80" w:type="dxa"/>
              <w:bottom w:w="80" w:type="dxa"/>
              <w:left w:w="120" w:type="dxa"/>
              <w:right w:w="120" w:type="dxa"/>
            </w:tcMar>
          </w:tcPr>
          <w:p>
            <w:pPr>
              <w:spacing w:before="40" w:after="40" w:line="264" w:lineRule="auto"/>
            </w:pPr>
            <w:r>
              <w:rPr>
                <w:rFonts w:ascii="Calibri" w:hAnsi="Calibri"/>
                <w:color w:val="222222"/>
                <w:sz w:val="18"/>
              </w:rPr>
              <w:t>139</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91.7%</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54.2%</w:t>
            </w:r>
          </w:p>
        </w:tc>
        <w:tc>
          <w:tcPr>
            <w:tcW w:type="dxa" w:w="864"/>
            <w:shd w:fill="FFFFFF"/>
            <w:tcMar>
              <w:top w:w="80" w:type="dxa"/>
              <w:bottom w:w="80" w:type="dxa"/>
              <w:left w:w="120" w:type="dxa"/>
              <w:right w:w="120" w:type="dxa"/>
            </w:tcMar>
          </w:tcPr>
          <w:p>
            <w:pPr>
              <w:spacing w:before="40" w:after="40" w:line="264" w:lineRule="auto"/>
            </w:pPr>
            <w:r>
              <w:rPr>
                <w:rFonts w:ascii="Calibri" w:hAnsi="Calibri"/>
                <w:color w:val="222222"/>
                <w:sz w:val="18"/>
              </w:rPr>
              <w:t>0.456</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60.0%</w:t>
            </w:r>
          </w:p>
        </w:tc>
        <w:tc>
          <w:tcPr>
            <w:tcW w:type="dxa" w:w="1728"/>
            <w:shd w:fill="FFFFFF"/>
            <w:tcMar>
              <w:top w:w="80" w:type="dxa"/>
              <w:bottom w:w="80" w:type="dxa"/>
              <w:left w:w="120" w:type="dxa"/>
              <w:right w:w="120" w:type="dxa"/>
            </w:tcMar>
          </w:tcPr>
          <w:p>
            <w:pPr>
              <w:spacing w:before="40" w:after="40" w:line="264" w:lineRule="auto"/>
            </w:pPr>
            <w:r>
              <w:rPr>
                <w:rFonts w:ascii="Calibri" w:hAnsi="Calibri"/>
                <w:color w:val="222222"/>
                <w:sz w:val="18"/>
              </w:rPr>
              <w:t>Validated benchmark combination</w:t>
            </w:r>
          </w:p>
        </w:tc>
      </w:tr>
      <w:tr>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PROD</w:t>
            </w:r>
          </w:p>
        </w:tc>
        <w:tc>
          <w:tcPr>
            <w:tcW w:type="dxa" w:w="3168"/>
            <w:shd w:fill="F8F9F9"/>
            <w:tcMar>
              <w:top w:w="80" w:type="dxa"/>
              <w:bottom w:w="80" w:type="dxa"/>
              <w:left w:w="120" w:type="dxa"/>
              <w:right w:w="120" w:type="dxa"/>
            </w:tcMar>
          </w:tcPr>
          <w:p>
            <w:pPr>
              <w:spacing w:before="40" w:after="40" w:line="264" w:lineRule="auto"/>
            </w:pPr>
            <w:r>
              <w:rPr>
                <w:rFonts w:ascii="Calibri" w:hAnsi="Calibri"/>
                <w:color w:val="222222"/>
                <w:sz w:val="18"/>
              </w:rPr>
              <w:t>Production Model: CLAHE + 16D Arch Descriptors + RBF</w:t>
            </w:r>
          </w:p>
        </w:tc>
        <w:tc>
          <w:tcPr>
            <w:tcW w:type="dxa" w:w="720"/>
            <w:shd w:fill="F8F9F9"/>
            <w:tcMar>
              <w:top w:w="80" w:type="dxa"/>
              <w:bottom w:w="80" w:type="dxa"/>
              <w:left w:w="120" w:type="dxa"/>
              <w:right w:w="120" w:type="dxa"/>
            </w:tcMar>
          </w:tcPr>
          <w:p>
            <w:pPr>
              <w:spacing w:before="40" w:after="40" w:line="264" w:lineRule="auto"/>
            </w:pPr>
            <w:r>
              <w:rPr>
                <w:rFonts w:ascii="Calibri" w:hAnsi="Calibri"/>
                <w:color w:val="222222"/>
                <w:sz w:val="18"/>
              </w:rPr>
              <w:t>155</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91.7%</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66.7%</w:t>
            </w:r>
          </w:p>
        </w:tc>
        <w:tc>
          <w:tcPr>
            <w:tcW w:type="dxa" w:w="864"/>
            <w:shd w:fill="F8F9F9"/>
            <w:tcMar>
              <w:top w:w="80" w:type="dxa"/>
              <w:bottom w:w="80" w:type="dxa"/>
              <w:left w:w="120" w:type="dxa"/>
              <w:right w:w="120" w:type="dxa"/>
            </w:tcMar>
          </w:tcPr>
          <w:p>
            <w:pPr>
              <w:spacing w:before="40" w:after="40" w:line="264" w:lineRule="auto"/>
            </w:pPr>
            <w:r>
              <w:rPr>
                <w:rFonts w:ascii="Calibri" w:hAnsi="Calibri"/>
                <w:color w:val="222222"/>
                <w:sz w:val="18"/>
              </w:rPr>
              <w:t>0.631</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40.0%</w:t>
            </w:r>
          </w:p>
        </w:tc>
        <w:tc>
          <w:tcPr>
            <w:tcW w:type="dxa" w:w="1728"/>
            <w:shd w:fill="F8F9F9"/>
            <w:tcMar>
              <w:top w:w="80" w:type="dxa"/>
              <w:bottom w:w="80" w:type="dxa"/>
              <w:left w:w="120" w:type="dxa"/>
              <w:right w:w="120" w:type="dxa"/>
            </w:tcMar>
          </w:tcPr>
          <w:p>
            <w:pPr>
              <w:spacing w:before="40" w:after="40" w:line="264" w:lineRule="auto"/>
            </w:pPr>
            <w:r>
              <w:rPr>
                <w:rFonts w:ascii="Calibri" w:hAnsi="Calibri"/>
                <w:color w:val="222222"/>
                <w:sz w:val="18"/>
              </w:rPr>
              <w:t>CURRENT PRODUCTION ARTIFACT</w:t>
            </w:r>
          </w:p>
        </w:tc>
      </w:tr>
    </w:tbl>
    <w:p>
      <w:pPr>
        <w:spacing w:after="120"/>
      </w:pPr>
    </w:p>
    <w:p>
      <w:pPr>
        <w:pStyle w:val="Heading2"/>
        <w:keepNext/>
        <w:spacing w:before="280" w:after="120"/>
      </w:pPr>
      <w:r>
        <w:rPr>
          <w:rFonts w:ascii="Georgia" w:hAnsi="Georgia"/>
          <w:b/>
          <w:color w:val="22332A"/>
          <w:sz w:val="26"/>
        </w:rPr>
        <w:t>Production Model Confusion Matrix (Test Set, N = 24)</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872"/>
            <w:shd w:fill="2C3E50"/>
            <w:tcMar>
              <w:top w:w="100" w:type="dxa"/>
              <w:bottom w:w="100" w:type="dxa"/>
              <w:left w:w="120" w:type="dxa"/>
              <w:right w:w="120" w:type="dxa"/>
            </w:tcMar>
          </w:tcPr>
          <w:p>
            <w:pPr>
              <w:spacing w:before="40" w:after="40"/>
              <w:jc w:val="center"/>
            </w:pPr>
            <w:r>
              <w:rPr>
                <w:rFonts w:ascii="Calibri" w:hAnsi="Calibri"/>
                <w:b/>
                <w:color w:val="FFFFFF"/>
                <w:sz w:val="19"/>
              </w:rPr>
              <w:t>True Class \ Pred</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Charminar</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Hawa Mahal</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India Gate</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Qutub Minar</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Red Fort</w:t>
            </w:r>
          </w:p>
        </w:tc>
        <w:tc>
          <w:tcPr>
            <w:tcW w:type="dxa" w:w="1008"/>
            <w:shd w:fill="2C3E50"/>
            <w:tcMar>
              <w:top w:w="100" w:type="dxa"/>
              <w:bottom w:w="100" w:type="dxa"/>
              <w:left w:w="120" w:type="dxa"/>
              <w:right w:w="120" w:type="dxa"/>
            </w:tcMar>
          </w:tcPr>
          <w:p>
            <w:pPr>
              <w:spacing w:before="40" w:after="40"/>
              <w:jc w:val="center"/>
            </w:pPr>
            <w:r>
              <w:rPr>
                <w:rFonts w:ascii="Calibri" w:hAnsi="Calibri"/>
                <w:b/>
                <w:color w:val="FFFFFF"/>
                <w:sz w:val="19"/>
              </w:rPr>
              <w:t>Taj Mahal</w:t>
            </w:r>
          </w:p>
        </w:tc>
        <w:tc>
          <w:tcPr>
            <w:tcW w:type="dxa" w:w="1440"/>
            <w:shd w:fill="2C3E50"/>
            <w:tcMar>
              <w:top w:w="100" w:type="dxa"/>
              <w:bottom w:w="100" w:type="dxa"/>
              <w:left w:w="120" w:type="dxa"/>
              <w:right w:w="120" w:type="dxa"/>
            </w:tcMar>
          </w:tcPr>
          <w:p>
            <w:pPr>
              <w:spacing w:before="40" w:after="40"/>
              <w:jc w:val="center"/>
            </w:pPr>
            <w:r>
              <w:rPr>
                <w:rFonts w:ascii="Calibri" w:hAnsi="Calibri"/>
                <w:b/>
                <w:color w:val="FFFFFF"/>
                <w:sz w:val="19"/>
              </w:rPr>
              <w:t>Class Recall</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Charminar</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100.0% (4/4)</w:t>
            </w:r>
          </w:p>
        </w:tc>
      </w:tr>
      <w:tr>
        <w:tc>
          <w:tcPr>
            <w:tcW w:type="dxa" w:w="1872"/>
            <w:shd w:fill="F8F9F9"/>
            <w:tcMar>
              <w:top w:w="80" w:type="dxa"/>
              <w:bottom w:w="80" w:type="dxa"/>
              <w:left w:w="120" w:type="dxa"/>
              <w:right w:w="120" w:type="dxa"/>
            </w:tcMar>
          </w:tcPr>
          <w:p>
            <w:pPr>
              <w:spacing w:before="40" w:after="40" w:line="264" w:lineRule="auto"/>
            </w:pPr>
            <w:r>
              <w:rPr>
                <w:rFonts w:ascii="Calibri" w:hAnsi="Calibri"/>
                <w:color w:val="222222"/>
                <w:sz w:val="18"/>
              </w:rPr>
              <w:t>Hawa Mahal</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100.0% (4/4)</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India Gate</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1</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1</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50.0% (2/4)</w:t>
            </w:r>
          </w:p>
        </w:tc>
      </w:tr>
      <w:tr>
        <w:tc>
          <w:tcPr>
            <w:tcW w:type="dxa" w:w="1872"/>
            <w:shd w:fill="F8F9F9"/>
            <w:tcMar>
              <w:top w:w="80" w:type="dxa"/>
              <w:bottom w:w="80" w:type="dxa"/>
              <w:left w:w="120" w:type="dxa"/>
              <w:right w:w="120" w:type="dxa"/>
            </w:tcMar>
          </w:tcPr>
          <w:p>
            <w:pPr>
              <w:spacing w:before="40" w:after="40" w:line="264" w:lineRule="auto"/>
            </w:pPr>
            <w:r>
              <w:rPr>
                <w:rFonts w:ascii="Calibri" w:hAnsi="Calibri"/>
                <w:color w:val="222222"/>
                <w:sz w:val="18"/>
              </w:rPr>
              <w:t>Qutub Minar</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3</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1</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75.0% (3/4)</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Red Fort</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1</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1</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0.0% (0/4)</w:t>
            </w:r>
          </w:p>
        </w:tc>
      </w:tr>
      <w:tr>
        <w:tc>
          <w:tcPr>
            <w:tcW w:type="dxa" w:w="1872"/>
            <w:shd w:fill="F8F9F9"/>
            <w:tcMar>
              <w:top w:w="80" w:type="dxa"/>
              <w:bottom w:w="80" w:type="dxa"/>
              <w:left w:w="120" w:type="dxa"/>
              <w:right w:w="120" w:type="dxa"/>
            </w:tcMar>
          </w:tcPr>
          <w:p>
            <w:pPr>
              <w:spacing w:before="40" w:after="40" w:line="264" w:lineRule="auto"/>
            </w:pPr>
            <w:r>
              <w:rPr>
                <w:rFonts w:ascii="Calibri" w:hAnsi="Calibri"/>
                <w:color w:val="222222"/>
                <w:sz w:val="18"/>
              </w:rPr>
              <w:t>Taj Mahal</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0</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1</w:t>
            </w:r>
          </w:p>
        </w:tc>
        <w:tc>
          <w:tcPr>
            <w:tcW w:type="dxa" w:w="1008"/>
            <w:shd w:fill="F8F9F9"/>
            <w:tcMar>
              <w:top w:w="80" w:type="dxa"/>
              <w:bottom w:w="80" w:type="dxa"/>
              <w:left w:w="120" w:type="dxa"/>
              <w:right w:w="120" w:type="dxa"/>
            </w:tcMar>
          </w:tcPr>
          <w:p>
            <w:pPr>
              <w:spacing w:before="40" w:after="40" w:line="264" w:lineRule="auto"/>
            </w:pPr>
            <w:r>
              <w:rPr>
                <w:rFonts w:ascii="Calibri" w:hAnsi="Calibri"/>
                <w:color w:val="222222"/>
                <w:sz w:val="18"/>
              </w:rPr>
              <w:t>3</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75.0% (3/4)</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TOTAL PRED</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4</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5</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3</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5</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2</w:t>
            </w:r>
          </w:p>
        </w:tc>
        <w:tc>
          <w:tcPr>
            <w:tcW w:type="dxa" w:w="1008"/>
            <w:shd w:fill="FFFFFF"/>
            <w:tcMar>
              <w:top w:w="80" w:type="dxa"/>
              <w:bottom w:w="80" w:type="dxa"/>
              <w:left w:w="120" w:type="dxa"/>
              <w:right w:w="120" w:type="dxa"/>
            </w:tcMar>
          </w:tcPr>
          <w:p>
            <w:pPr>
              <w:spacing w:before="40" w:after="40" w:line="264" w:lineRule="auto"/>
            </w:pPr>
            <w:r>
              <w:rPr>
                <w:rFonts w:ascii="Calibri" w:hAnsi="Calibri"/>
                <w:color w:val="222222"/>
                <w:sz w:val="18"/>
              </w:rPr>
              <w:t>5</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Overall Acc: 66.67%</w:t>
            </w:r>
          </w:p>
        </w:tc>
      </w:tr>
    </w:tbl>
    <w:p>
      <w:pPr>
        <w:spacing w:after="120"/>
      </w:pPr>
    </w:p>
    <w:p>
      <w:pPr>
        <w:pStyle w:val="Heading2"/>
        <w:keepNext/>
        <w:spacing w:before="280" w:after="120"/>
      </w:pPr>
      <w:r>
        <w:rPr>
          <w:rFonts w:ascii="Georgia" w:hAnsi="Georgia"/>
          <w:b/>
          <w:color w:val="22332A"/>
          <w:sz w:val="26"/>
        </w:rPr>
        <w:t>Robustness Analysis Under Image Transformations</w:t>
      </w:r>
    </w:p>
    <w:tbl>
      <w:tblPr>
        <w:tblW w:type="auto" w:w="0"/>
        <w:jc w:val="center"/>
        <w:tblLook w:firstColumn="1" w:firstRow="1" w:lastColumn="0" w:lastRow="0" w:noHBand="0" w:noVBand="1" w:val="04A0"/>
      </w:tblPr>
      <w:tblGrid>
        <w:gridCol w:w="2340"/>
        <w:gridCol w:w="2340"/>
        <w:gridCol w:w="2340"/>
        <w:gridCol w:w="2340"/>
      </w:tblGrid>
      <w:tr>
        <w:tc>
          <w:tcPr>
            <w:tcW w:type="dxa" w:w="1872"/>
            <w:shd w:fill="2C3E50"/>
            <w:tcMar>
              <w:top w:w="100" w:type="dxa"/>
              <w:bottom w:w="100" w:type="dxa"/>
              <w:left w:w="120" w:type="dxa"/>
              <w:right w:w="120" w:type="dxa"/>
            </w:tcMar>
          </w:tcPr>
          <w:p>
            <w:pPr>
              <w:spacing w:before="40" w:after="40"/>
              <w:jc w:val="center"/>
            </w:pPr>
            <w:r>
              <w:rPr>
                <w:rFonts w:ascii="Calibri" w:hAnsi="Calibri"/>
                <w:b/>
                <w:color w:val="FFFFFF"/>
                <w:sz w:val="19"/>
              </w:rPr>
              <w:t>Transformation Scenario</w:t>
            </w:r>
          </w:p>
        </w:tc>
        <w:tc>
          <w:tcPr>
            <w:tcW w:type="dxa" w:w="2592"/>
            <w:shd w:fill="2C3E50"/>
            <w:tcMar>
              <w:top w:w="100" w:type="dxa"/>
              <w:bottom w:w="100" w:type="dxa"/>
              <w:left w:w="120" w:type="dxa"/>
              <w:right w:w="120" w:type="dxa"/>
            </w:tcMar>
          </w:tcPr>
          <w:p>
            <w:pPr>
              <w:spacing w:before="40" w:after="40"/>
              <w:jc w:val="center"/>
            </w:pPr>
            <w:r>
              <w:rPr>
                <w:rFonts w:ascii="Calibri" w:hAnsi="Calibri"/>
                <w:b/>
                <w:color w:val="FFFFFF"/>
                <w:sz w:val="19"/>
              </w:rPr>
              <w:t>DIP Transformation Parameters</w:t>
            </w:r>
          </w:p>
        </w:tc>
        <w:tc>
          <w:tcPr>
            <w:tcW w:type="dxa" w:w="1440"/>
            <w:shd w:fill="2C3E50"/>
            <w:tcMar>
              <w:top w:w="100" w:type="dxa"/>
              <w:bottom w:w="100" w:type="dxa"/>
              <w:left w:w="120" w:type="dxa"/>
              <w:right w:w="120" w:type="dxa"/>
            </w:tcMar>
          </w:tcPr>
          <w:p>
            <w:pPr>
              <w:spacing w:before="40" w:after="40"/>
              <w:jc w:val="center"/>
            </w:pPr>
            <w:r>
              <w:rPr>
                <w:rFonts w:ascii="Calibri" w:hAnsi="Calibri"/>
                <w:b/>
                <w:color w:val="FFFFFF"/>
                <w:sz w:val="19"/>
              </w:rPr>
              <w:t>Empirical Test Accuracy</w:t>
            </w:r>
          </w:p>
        </w:tc>
        <w:tc>
          <w:tcPr>
            <w:tcW w:type="dxa" w:w="3456"/>
            <w:shd w:fill="2C3E50"/>
            <w:tcMar>
              <w:top w:w="100" w:type="dxa"/>
              <w:bottom w:w="100" w:type="dxa"/>
              <w:left w:w="120" w:type="dxa"/>
              <w:right w:w="120" w:type="dxa"/>
            </w:tcMar>
          </w:tcPr>
          <w:p>
            <w:pPr>
              <w:spacing w:before="40" w:after="40"/>
              <w:jc w:val="center"/>
            </w:pPr>
            <w:r>
              <w:rPr>
                <w:rFonts w:ascii="Calibri" w:hAnsi="Calibri"/>
                <w:b/>
                <w:color w:val="FFFFFF"/>
                <w:sz w:val="19"/>
              </w:rPr>
              <w:t>Behavioral Analysis</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Standard Test Set</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222222"/>
                <w:sz w:val="18"/>
              </w:rPr>
              <w:t>Unaltered benchmark images</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66.67%</w:t>
            </w:r>
          </w:p>
        </w:tc>
        <w:tc>
          <w:tcPr>
            <w:tcW w:type="dxa" w:w="3456"/>
            <w:shd w:fill="FFFFFF"/>
            <w:tcMar>
              <w:top w:w="80" w:type="dxa"/>
              <w:bottom w:w="80" w:type="dxa"/>
              <w:left w:w="120" w:type="dxa"/>
              <w:right w:w="120" w:type="dxa"/>
            </w:tcMar>
          </w:tcPr>
          <w:p>
            <w:pPr>
              <w:spacing w:before="40" w:after="40" w:line="264" w:lineRule="auto"/>
            </w:pPr>
            <w:r>
              <w:rPr>
                <w:rFonts w:ascii="Calibri" w:hAnsi="Calibri"/>
                <w:color w:val="222222"/>
                <w:sz w:val="18"/>
              </w:rPr>
              <w:t>Optimal reference performance</w:t>
            </w:r>
          </w:p>
        </w:tc>
      </w:tr>
      <w:tr>
        <w:tc>
          <w:tcPr>
            <w:tcW w:type="dxa" w:w="1872"/>
            <w:shd w:fill="F8F9F9"/>
            <w:tcMar>
              <w:top w:w="80" w:type="dxa"/>
              <w:bottom w:w="80" w:type="dxa"/>
              <w:left w:w="120" w:type="dxa"/>
              <w:right w:w="120" w:type="dxa"/>
            </w:tcMar>
          </w:tcPr>
          <w:p>
            <w:pPr>
              <w:spacing w:before="40" w:after="40" w:line="264" w:lineRule="auto"/>
            </w:pPr>
            <w:r>
              <w:rPr>
                <w:rFonts w:ascii="Calibri" w:hAnsi="Calibri"/>
                <w:color w:val="222222"/>
                <w:sz w:val="18"/>
              </w:rPr>
              <w:t>Darker Illumination</w:t>
            </w:r>
          </w:p>
        </w:tc>
        <w:tc>
          <w:tcPr>
            <w:tcW w:type="dxa" w:w="2592"/>
            <w:shd w:fill="F8F9F9"/>
            <w:tcMar>
              <w:top w:w="80" w:type="dxa"/>
              <w:bottom w:w="80" w:type="dxa"/>
              <w:left w:w="120" w:type="dxa"/>
              <w:right w:w="120" w:type="dxa"/>
            </w:tcMar>
          </w:tcPr>
          <w:p>
            <w:pPr>
              <w:spacing w:before="40" w:after="40" w:line="264" w:lineRule="auto"/>
            </w:pPr>
            <w:r>
              <w:rPr>
                <w:rFonts w:ascii="Calibri" w:hAnsi="Calibri"/>
                <w:color w:val="222222"/>
                <w:sz w:val="18"/>
              </w:rPr>
              <w:t>Linear transformation: alpha=1.0, beta=-25</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66.67%</w:t>
            </w:r>
          </w:p>
        </w:tc>
        <w:tc>
          <w:tcPr>
            <w:tcW w:type="dxa" w:w="3456"/>
            <w:shd w:fill="F8F9F9"/>
            <w:tcMar>
              <w:top w:w="80" w:type="dxa"/>
              <w:bottom w:w="80" w:type="dxa"/>
              <w:left w:w="120" w:type="dxa"/>
              <w:right w:w="120" w:type="dxa"/>
            </w:tcMar>
          </w:tcPr>
          <w:p>
            <w:pPr>
              <w:spacing w:before="40" w:after="40" w:line="264" w:lineRule="auto"/>
            </w:pPr>
            <w:r>
              <w:rPr>
                <w:rFonts w:ascii="Calibri" w:hAnsi="Calibri"/>
                <w:color w:val="222222"/>
                <w:sz w:val="18"/>
              </w:rPr>
              <w:t>High stability; Sobel orientations invariant to linear shift</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Brighter Illumination</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222222"/>
                <w:sz w:val="18"/>
              </w:rPr>
              <w:t>Linear transformation: alpha=1.0, beta=+25</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62.50%</w:t>
            </w:r>
          </w:p>
        </w:tc>
        <w:tc>
          <w:tcPr>
            <w:tcW w:type="dxa" w:w="3456"/>
            <w:shd w:fill="FFFFFF"/>
            <w:tcMar>
              <w:top w:w="80" w:type="dxa"/>
              <w:bottom w:w="80" w:type="dxa"/>
              <w:left w:w="120" w:type="dxa"/>
              <w:right w:w="120" w:type="dxa"/>
            </w:tcMar>
          </w:tcPr>
          <w:p>
            <w:pPr>
              <w:spacing w:before="40" w:after="40" w:line="264" w:lineRule="auto"/>
            </w:pPr>
            <w:r>
              <w:rPr>
                <w:rFonts w:ascii="Calibri" w:hAnsi="Calibri"/>
                <w:color w:val="222222"/>
                <w:sz w:val="18"/>
              </w:rPr>
              <w:t>Slight saturation clipping in highlight regions</w:t>
            </w:r>
          </w:p>
        </w:tc>
      </w:tr>
      <w:tr>
        <w:tc>
          <w:tcPr>
            <w:tcW w:type="dxa" w:w="1872"/>
            <w:shd w:fill="F8F9F9"/>
            <w:tcMar>
              <w:top w:w="80" w:type="dxa"/>
              <w:bottom w:w="80" w:type="dxa"/>
              <w:left w:w="120" w:type="dxa"/>
              <w:right w:w="120" w:type="dxa"/>
            </w:tcMar>
          </w:tcPr>
          <w:p>
            <w:pPr>
              <w:spacing w:before="40" w:after="40" w:line="264" w:lineRule="auto"/>
            </w:pPr>
            <w:r>
              <w:rPr>
                <w:rFonts w:ascii="Calibri" w:hAnsi="Calibri"/>
                <w:color w:val="222222"/>
                <w:sz w:val="18"/>
              </w:rPr>
              <w:t>Lower Contrast</w:t>
            </w:r>
          </w:p>
        </w:tc>
        <w:tc>
          <w:tcPr>
            <w:tcW w:type="dxa" w:w="2592"/>
            <w:shd w:fill="F8F9F9"/>
            <w:tcMar>
              <w:top w:w="80" w:type="dxa"/>
              <w:bottom w:w="80" w:type="dxa"/>
              <w:left w:w="120" w:type="dxa"/>
              <w:right w:w="120" w:type="dxa"/>
            </w:tcMar>
          </w:tcPr>
          <w:p>
            <w:pPr>
              <w:spacing w:before="40" w:after="40" w:line="264" w:lineRule="auto"/>
            </w:pPr>
            <w:r>
              <w:rPr>
                <w:rFonts w:ascii="Calibri" w:hAnsi="Calibri"/>
                <w:color w:val="222222"/>
                <w:sz w:val="18"/>
              </w:rPr>
              <w:t>Dynamic compression: alpha=0.8, beta=0</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50.00%</w:t>
            </w:r>
          </w:p>
        </w:tc>
        <w:tc>
          <w:tcPr>
            <w:tcW w:type="dxa" w:w="3456"/>
            <w:shd w:fill="F8F9F9"/>
            <w:tcMar>
              <w:top w:w="80" w:type="dxa"/>
              <w:bottom w:w="80" w:type="dxa"/>
              <w:left w:w="120" w:type="dxa"/>
              <w:right w:w="120" w:type="dxa"/>
            </w:tcMar>
          </w:tcPr>
          <w:p>
            <w:pPr>
              <w:spacing w:before="40" w:after="40" w:line="264" w:lineRule="auto"/>
            </w:pPr>
            <w:r>
              <w:rPr>
                <w:rFonts w:ascii="Calibri" w:hAnsi="Calibri"/>
                <w:color w:val="222222"/>
                <w:sz w:val="18"/>
              </w:rPr>
              <w:t>Weakens low-gradient architectural edges</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Higher Contrast</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222222"/>
                <w:sz w:val="18"/>
              </w:rPr>
              <w:t>Dynamic expansion: alpha=1.2, beta=0</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58.33%</w:t>
            </w:r>
          </w:p>
        </w:tc>
        <w:tc>
          <w:tcPr>
            <w:tcW w:type="dxa" w:w="3456"/>
            <w:shd w:fill="FFFFFF"/>
            <w:tcMar>
              <w:top w:w="80" w:type="dxa"/>
              <w:bottom w:w="80" w:type="dxa"/>
              <w:left w:w="120" w:type="dxa"/>
              <w:right w:w="120" w:type="dxa"/>
            </w:tcMar>
          </w:tcPr>
          <w:p>
            <w:pPr>
              <w:spacing w:before="40" w:after="40" w:line="264" w:lineRule="auto"/>
            </w:pPr>
            <w:r>
              <w:rPr>
                <w:rFonts w:ascii="Calibri" w:hAnsi="Calibri"/>
                <w:color w:val="222222"/>
                <w:sz w:val="18"/>
              </w:rPr>
              <w:t>Enhances structural boundaries with mild noise</w:t>
            </w:r>
          </w:p>
        </w:tc>
      </w:tr>
      <w:tr>
        <w:tc>
          <w:tcPr>
            <w:tcW w:type="dxa" w:w="1872"/>
            <w:shd w:fill="F8F9F9"/>
            <w:tcMar>
              <w:top w:w="80" w:type="dxa"/>
              <w:bottom w:w="80" w:type="dxa"/>
              <w:left w:w="120" w:type="dxa"/>
              <w:right w:w="120" w:type="dxa"/>
            </w:tcMar>
          </w:tcPr>
          <w:p>
            <w:pPr>
              <w:spacing w:before="40" w:after="40" w:line="264" w:lineRule="auto"/>
            </w:pPr>
            <w:r>
              <w:rPr>
                <w:rFonts w:ascii="Calibri" w:hAnsi="Calibri"/>
                <w:color w:val="222222"/>
                <w:sz w:val="18"/>
              </w:rPr>
              <w:t>Gamma Compressed</w:t>
            </w:r>
          </w:p>
        </w:tc>
        <w:tc>
          <w:tcPr>
            <w:tcW w:type="dxa" w:w="2592"/>
            <w:shd w:fill="F8F9F9"/>
            <w:tcMar>
              <w:top w:w="80" w:type="dxa"/>
              <w:bottom w:w="80" w:type="dxa"/>
              <w:left w:w="120" w:type="dxa"/>
              <w:right w:w="120" w:type="dxa"/>
            </w:tcMar>
          </w:tcPr>
          <w:p>
            <w:pPr>
              <w:spacing w:before="40" w:after="40" w:line="264" w:lineRule="auto"/>
            </w:pPr>
            <w:r>
              <w:rPr>
                <w:rFonts w:ascii="Calibri" w:hAnsi="Calibri"/>
                <w:color w:val="222222"/>
                <w:sz w:val="18"/>
              </w:rPr>
              <w:t>Power-law transformation: gamma=1.20</w:t>
            </w:r>
          </w:p>
        </w:tc>
        <w:tc>
          <w:tcPr>
            <w:tcW w:type="dxa" w:w="1440"/>
            <w:shd w:fill="F8F9F9"/>
            <w:tcMar>
              <w:top w:w="80" w:type="dxa"/>
              <w:bottom w:w="80" w:type="dxa"/>
              <w:left w:w="120" w:type="dxa"/>
              <w:right w:w="120" w:type="dxa"/>
            </w:tcMar>
          </w:tcPr>
          <w:p>
            <w:pPr>
              <w:spacing w:before="40" w:after="40" w:line="264" w:lineRule="auto"/>
            </w:pPr>
            <w:r>
              <w:rPr>
                <w:rFonts w:ascii="Calibri" w:hAnsi="Calibri"/>
                <w:color w:val="222222"/>
                <w:sz w:val="18"/>
              </w:rPr>
              <w:t>66.67%</w:t>
            </w:r>
          </w:p>
        </w:tc>
        <w:tc>
          <w:tcPr>
            <w:tcW w:type="dxa" w:w="3456"/>
            <w:shd w:fill="F8F9F9"/>
            <w:tcMar>
              <w:top w:w="80" w:type="dxa"/>
              <w:bottom w:w="80" w:type="dxa"/>
              <w:left w:w="120" w:type="dxa"/>
              <w:right w:w="120" w:type="dxa"/>
            </w:tcMar>
          </w:tcPr>
          <w:p>
            <w:pPr>
              <w:spacing w:before="40" w:after="40" w:line="264" w:lineRule="auto"/>
            </w:pPr>
            <w:r>
              <w:rPr>
                <w:rFonts w:ascii="Calibri" w:hAnsi="Calibri"/>
                <w:color w:val="222222"/>
                <w:sz w:val="18"/>
              </w:rPr>
              <w:t>Robust against shadow darkening via CLAHE</w:t>
            </w:r>
          </w:p>
        </w:tc>
      </w:tr>
      <w:tr>
        <w:tc>
          <w:tcPr>
            <w:tcW w:type="dxa" w:w="1872"/>
            <w:shd w:fill="FFFFFF"/>
            <w:tcMar>
              <w:top w:w="80" w:type="dxa"/>
              <w:bottom w:w="80" w:type="dxa"/>
              <w:left w:w="120" w:type="dxa"/>
              <w:right w:w="120" w:type="dxa"/>
            </w:tcMar>
          </w:tcPr>
          <w:p>
            <w:pPr>
              <w:spacing w:before="40" w:after="40" w:line="264" w:lineRule="auto"/>
            </w:pPr>
            <w:r>
              <w:rPr>
                <w:rFonts w:ascii="Calibri" w:hAnsi="Calibri"/>
                <w:color w:val="222222"/>
                <w:sz w:val="18"/>
              </w:rPr>
              <w:t>Gamma Expanded</w:t>
            </w:r>
          </w:p>
        </w:tc>
        <w:tc>
          <w:tcPr>
            <w:tcW w:type="dxa" w:w="2592"/>
            <w:shd w:fill="FFFFFF"/>
            <w:tcMar>
              <w:top w:w="80" w:type="dxa"/>
              <w:bottom w:w="80" w:type="dxa"/>
              <w:left w:w="120" w:type="dxa"/>
              <w:right w:w="120" w:type="dxa"/>
            </w:tcMar>
          </w:tcPr>
          <w:p>
            <w:pPr>
              <w:spacing w:before="40" w:after="40" w:line="264" w:lineRule="auto"/>
            </w:pPr>
            <w:r>
              <w:rPr>
                <w:rFonts w:ascii="Calibri" w:hAnsi="Calibri"/>
                <w:color w:val="222222"/>
                <w:sz w:val="18"/>
              </w:rPr>
              <w:t>Power-law transformation: gamma=0.80</w:t>
            </w:r>
          </w:p>
        </w:tc>
        <w:tc>
          <w:tcPr>
            <w:tcW w:type="dxa" w:w="1440"/>
            <w:shd w:fill="FFFFFF"/>
            <w:tcMar>
              <w:top w:w="80" w:type="dxa"/>
              <w:bottom w:w="80" w:type="dxa"/>
              <w:left w:w="120" w:type="dxa"/>
              <w:right w:w="120" w:type="dxa"/>
            </w:tcMar>
          </w:tcPr>
          <w:p>
            <w:pPr>
              <w:spacing w:before="40" w:after="40" w:line="264" w:lineRule="auto"/>
            </w:pPr>
            <w:r>
              <w:rPr>
                <w:rFonts w:ascii="Calibri" w:hAnsi="Calibri"/>
                <w:color w:val="222222"/>
                <w:sz w:val="18"/>
              </w:rPr>
              <w:t>58.33%</w:t>
            </w:r>
          </w:p>
        </w:tc>
        <w:tc>
          <w:tcPr>
            <w:tcW w:type="dxa" w:w="3456"/>
            <w:shd w:fill="FFFFFF"/>
            <w:tcMar>
              <w:top w:w="80" w:type="dxa"/>
              <w:bottom w:w="80" w:type="dxa"/>
              <w:left w:w="120" w:type="dxa"/>
              <w:right w:w="120" w:type="dxa"/>
            </w:tcMar>
          </w:tcPr>
          <w:p>
            <w:pPr>
              <w:spacing w:before="40" w:after="40" w:line="264" w:lineRule="auto"/>
            </w:pPr>
            <w:r>
              <w:rPr>
                <w:rFonts w:ascii="Calibri" w:hAnsi="Calibri"/>
                <w:color w:val="222222"/>
                <w:sz w:val="18"/>
              </w:rPr>
              <w:t>Washes out subtle sandstone texture gradients</w:t>
            </w:r>
          </w:p>
        </w:tc>
      </w:tr>
    </w:tbl>
    <w:p>
      <w:pPr>
        <w:spacing w:after="120"/>
      </w:pPr>
    </w:p>
    <w:p>
      <w:pPr>
        <w:pStyle w:val="Heading2"/>
        <w:keepNext/>
        <w:spacing w:before="280" w:after="120"/>
      </w:pPr>
      <w:r>
        <w:rPr>
          <w:rFonts w:ascii="Georgia" w:hAnsi="Georgia"/>
          <w:b/>
          <w:color w:val="22332A"/>
          <w:sz w:val="26"/>
        </w:rPr>
        <w:t>10.4 Error Analysis</w:t>
      </w:r>
    </w:p>
    <w:p>
      <w:pPr>
        <w:spacing w:after="120" w:line="276" w:lineRule="auto"/>
      </w:pPr>
      <w:r>
        <w:rPr>
          <w:rFonts w:ascii="Calibri" w:hAnsi="Calibri"/>
          <w:color w:val="222222"/>
          <w:sz w:val="22"/>
        </w:rPr>
        <w:t>Forensic analysis of classification errors highlights three primary failure mechanisms:</w:t>
      </w:r>
    </w:p>
    <w:p>
      <w:pPr>
        <w:spacing w:after="120" w:line="276" w:lineRule="auto"/>
      </w:pPr>
      <w:r>
        <w:rPr>
          <w:rFonts w:ascii="Calibri" w:hAnsi="Calibri"/>
          <w:color w:val="222222"/>
          <w:sz w:val="22"/>
        </w:rPr>
        <w:t>1. Sandstone Color and Texture Ambiguity: Red Fort continues to experience misclassification into India Gate, Qutub Minar, and Taj Mahal. Because all three Delhi monuments are built from similar geological formations of red/buff sandstone, spectral HSV features alone cannot separate them. Misclassification into Taj Mahal occurs when Red Fort photos include vast expanses of pale overcast sky or overexposed marble interior pavilions (Diwan-i-Khas).</w:t>
      </w:r>
    </w:p>
    <w:p>
      <w:pPr>
        <w:spacing w:after="120" w:line="276" w:lineRule="auto"/>
      </w:pPr>
      <w:r>
        <w:rPr>
          <w:rFonts w:ascii="Calibri" w:hAnsi="Calibri"/>
          <w:color w:val="222222"/>
          <w:sz w:val="22"/>
        </w:rPr>
        <w:t>2. Extreme Oblique Angles: India Gate test image 02 is captured from an extreme close-up side angle, where the central arch is completely occluded by the pylon. Without the central void, the pylon's relief masonry mimics Hawa Mahal's window lattice, producing a misclassification that is safely intercepted by the rejection margin.</w:t>
      </w:r>
    </w:p>
    <w:p>
      <w:pPr>
        <w:spacing w:after="120" w:line="276" w:lineRule="auto"/>
      </w:pPr>
      <w:r>
        <w:rPr>
          <w:rFonts w:ascii="Calibri" w:hAnsi="Calibri"/>
          <w:color w:val="222222"/>
          <w:sz w:val="22"/>
        </w:rPr>
        <w:t>3. Outlier Centroid Distances: On negative test images, modern skyscrapers with strong vertical steel grids initially produced moderate Qutub Minar scores. The multi-tier centroid distance check successfully rejected 60% of negatives, cutting false acceptances drastically.</w:t>
      </w:r>
    </w:p>
    <w:p>
      <w:pPr>
        <w:pStyle w:val="Heading2"/>
        <w:keepNext/>
        <w:spacing w:before="280" w:after="120"/>
      </w:pPr>
      <w:r>
        <w:rPr>
          <w:rFonts w:ascii="Georgia" w:hAnsi="Georgia"/>
          <w:b/>
          <w:color w:val="22332A"/>
          <w:sz w:val="26"/>
        </w:rPr>
        <w:t>10.5 Limitations</w:t>
      </w:r>
    </w:p>
    <w:p>
      <w:pPr>
        <w:spacing w:after="120" w:line="276" w:lineRule="auto"/>
      </w:pPr>
      <w:r>
        <w:rPr>
          <w:rFonts w:ascii="Calibri" w:hAnsi="Calibri"/>
          <w:color w:val="222222"/>
          <w:sz w:val="22"/>
        </w:rPr>
        <w:t>The academic limitations of the current implementation are explicitly acknowledged:</w:t>
      </w:r>
    </w:p>
    <w:p>
      <w:pPr>
        <w:spacing w:after="120" w:line="276" w:lineRule="auto"/>
      </w:pPr>
      <w:r>
        <w:rPr>
          <w:rFonts w:ascii="Calibri" w:hAnsi="Calibri"/>
          <w:color w:val="222222"/>
          <w:sz w:val="22"/>
        </w:rPr>
        <w:t>• Handcrafted Feature Bottleneck: Traditional DIP features lack hierarchical semantic abstraction. Unlike deep networks, Sobel filters cannot learn complex architectural motifs like intricate jali tracery or Mughal floral pietra dura inlays.</w:t>
      </w:r>
    </w:p>
    <w:p>
      <w:pPr>
        <w:spacing w:after="120" w:line="276" w:lineRule="auto"/>
      </w:pPr>
      <w:r>
        <w:rPr>
          <w:rFonts w:ascii="Calibri" w:hAnsi="Calibri"/>
          <w:color w:val="222222"/>
          <w:sz w:val="22"/>
        </w:rPr>
        <w:t>• Dataset Scale: While balanced and physically independent, 114 primary training photographs cannot encompass all seasonal, nocturnal, and weather variations.</w:t>
      </w:r>
    </w:p>
    <w:p>
      <w:pPr>
        <w:spacing w:after="120" w:line="276" w:lineRule="auto"/>
      </w:pPr>
      <w:r>
        <w:rPr>
          <w:rFonts w:ascii="Calibri" w:hAnsi="Calibri"/>
          <w:color w:val="222222"/>
          <w:sz w:val="22"/>
        </w:rPr>
        <w:t>• Sliding-Window Candidate Granularity: The 15-region collage scanner uses heuristic spatial bounding boxes rather than learned region proposal networks.</w:t>
      </w:r>
    </w:p>
    <w:p>
      <w:pPr>
        <w:spacing w:after="120" w:line="276" w:lineRule="auto"/>
      </w:pPr>
      <w:r>
        <w:rPr>
          <w:rFonts w:ascii="Calibri" w:hAnsi="Calibri"/>
          <w:color w:val="222222"/>
          <w:sz w:val="22"/>
        </w:rPr>
        <w:t>• Viewpoint Sensitivity: Extreme oblique perspectives warp the 3x3 spatial grid statistics, causing confidence scores to dip below acceptance thresholds.</w:t>
      </w:r>
    </w:p>
    <w:p>
      <w:pPr>
        <w:pStyle w:val="Heading2"/>
        <w:keepNext/>
        <w:spacing w:before="280" w:after="120"/>
      </w:pPr>
      <w:r>
        <w:rPr>
          <w:rFonts w:ascii="Georgia" w:hAnsi="Georgia"/>
          <w:b/>
          <w:color w:val="22332A"/>
          <w:sz w:val="26"/>
        </w:rPr>
        <w:t>10.6 Discussion</w:t>
      </w:r>
    </w:p>
    <w:p>
      <w:pPr>
        <w:spacing w:after="120" w:line="276" w:lineRule="auto"/>
      </w:pPr>
      <w:r>
        <w:rPr>
          <w:rFonts w:ascii="Calibri" w:hAnsi="Calibri"/>
          <w:color w:val="222222"/>
          <w:sz w:val="22"/>
        </w:rPr>
        <w:t>The experimental findings demonstrate that classical Digital Image Processing coupled with Support Vector Machines provides a viable, transparent, and computationally lean approach to heritage landmark recognition. With an inference latency of ~126 ms on CPU hardware and a 0% catastrophic high-confidence false acceptance rate, MonuScript satisfies its core mission as an educational exploration platform.</w:t>
      </w:r>
    </w:p>
    <w:p>
      <w:pPr>
        <w:pStyle w:val="Heading1"/>
        <w:keepNext/>
        <w:spacing w:before="360" w:after="160"/>
      </w:pPr>
      <w:r>
        <w:rPr>
          <w:rFonts w:ascii="Georgia" w:hAnsi="Georgia"/>
          <w:b/>
          <w:color w:val="9C3818"/>
          <w:sz w:val="32"/>
        </w:rPr>
        <w:t>11. Conclusion</w:t>
      </w:r>
    </w:p>
    <w:p>
      <w:pPr>
        <w:spacing w:after="120" w:line="276" w:lineRule="auto"/>
      </w:pPr>
      <w:r>
        <w:rPr>
          <w:rFonts w:ascii="Calibri" w:hAnsi="Calibri"/>
          <w:color w:val="222222"/>
          <w:sz w:val="22"/>
        </w:rPr>
        <w:t>This project successfully developed, evaluated, and documented MonuScript: an image-based Indian heritage monument recognition and virtual exploration system built entirely on traditional Digital Image Processing (DIP) techniques and a Support Vector Machine (SVM) classifier. By strictly eschewing black-box deep learning models, MonuScript demonstrates how textbook DIP operations—ITU-R BT.601 luminance conversion, LAB-space CLAHE contrast enhancement, normalized gray-level histograms, statistical central moments, 2D Sobel gradient orientation histograms, local neighborhood standard deviation filtering, 3x3 spatial partitioning, and 16 domain-engineered architectural descriptors—can be synergistically combined into a master 155-dimensional feature representation.</w:t>
      </w:r>
    </w:p>
    <w:p>
      <w:pPr>
        <w:spacing w:after="120" w:line="276" w:lineRule="auto"/>
      </w:pPr>
      <w:r>
        <w:rPr>
          <w:rFonts w:ascii="Calibri" w:hAnsi="Calibri"/>
          <w:color w:val="222222"/>
          <w:sz w:val="22"/>
        </w:rPr>
        <w:t>When classified via an RBF-kernel SVM (C = 0.2, gamma = 0.01) with Platt-calibrated probability scaling and safeguarded by a Multi-Tier Rejection Judge, the production system achieves 91.7% validation accuracy, 66.67% held-out test accuracy, and a True Rejection Rate of 60.0% on out-of-distribution negatives with 0% high-confidence false acceptances. End-to-end processing executes in approximately 126 milliseconds on standard CPU hardware. By pairing explainable recognition with historical metadata cards and embedded 3D WebGL reconstructions, MonuScript bridges computer vision pedagogy with cultural heritage preservation.</w:t>
      </w:r>
    </w:p>
    <w:p>
      <w:pPr>
        <w:pStyle w:val="Heading2"/>
        <w:keepNext/>
        <w:spacing w:before="280" w:after="120"/>
      </w:pPr>
      <w:r>
        <w:rPr>
          <w:rFonts w:ascii="Georgia" w:hAnsi="Georgia"/>
          <w:b/>
          <w:color w:val="22332A"/>
          <w:sz w:val="26"/>
        </w:rPr>
        <w:t>Future Work</w:t>
      </w:r>
    </w:p>
    <w:p>
      <w:pPr>
        <w:spacing w:after="120" w:line="276" w:lineRule="auto"/>
      </w:pPr>
      <w:r>
        <w:rPr>
          <w:rFonts w:ascii="Calibri" w:hAnsi="Calibri"/>
          <w:color w:val="222222"/>
          <w:sz w:val="22"/>
        </w:rPr>
        <w:t>Future enhancements to advance the platform include:</w:t>
      </w:r>
    </w:p>
    <w:p>
      <w:pPr>
        <w:spacing w:after="120" w:line="276" w:lineRule="auto"/>
        <w:ind w:left="360"/>
      </w:pPr>
      <w:r>
        <w:rPr>
          <w:b/>
        </w:rPr>
        <w:t xml:space="preserve">• Dataset Expansion &amp; Multi-City Scaling: </w:t>
      </w:r>
      <w:r>
        <w:t>Expand the authentic dataset from 6 to 25 national monuments across southern, western, and eastern India (e.g., Konark Sun Temple, Khajuraho, Meenakshi Temple, Gateway of India), gathering multi-seasonal photography.</w:t>
      </w:r>
    </w:p>
    <w:p>
      <w:pPr>
        <w:spacing w:after="120" w:line="276" w:lineRule="auto"/>
        <w:ind w:left="360"/>
      </w:pPr>
      <w:r>
        <w:rPr>
          <w:b/>
        </w:rPr>
        <w:t xml:space="preserve">• Multi-Scale Dense Spatial Pyramid Pooling (SPP): </w:t>
      </w:r>
      <w:r>
        <w:t>Implement spatial pyramid pooling (1x1, 2x2, 4x4) across the Sobel gradient and texture feature maps to achieve scale-invariance against extreme photographic zooms.</w:t>
      </w:r>
    </w:p>
    <w:p>
      <w:pPr>
        <w:spacing w:after="120" w:line="276" w:lineRule="auto"/>
        <w:ind w:left="360"/>
      </w:pPr>
      <w:r>
        <w:rPr>
          <w:b/>
        </w:rPr>
        <w:t xml:space="preserve">• Color-Constancy &amp; Shadow-Invariant Transforms: </w:t>
      </w:r>
      <w:r>
        <w:t>Integrate Gray-World or Retinex illumination normalization algorithms to mitigate severe dawn/dusk chromatic casts.</w:t>
      </w:r>
    </w:p>
    <w:p>
      <w:pPr>
        <w:spacing w:after="120" w:line="276" w:lineRule="auto"/>
        <w:ind w:left="360"/>
      </w:pPr>
      <w:r>
        <w:rPr>
          <w:b/>
        </w:rPr>
        <w:t xml:space="preserve">• Classical Contour Curvature Scale-Space (CSS): </w:t>
      </w:r>
      <w:r>
        <w:t>Extract curvature scale-space inflection points along monument outer silhouettes to improve discrimination of fort ramparts and minarets.</w:t>
      </w:r>
    </w:p>
    <w:p>
      <w:pPr>
        <w:spacing w:after="120" w:line="276" w:lineRule="auto"/>
        <w:ind w:left="360"/>
      </w:pPr>
      <w:r>
        <w:rPr>
          <w:b/>
        </w:rPr>
        <w:t xml:space="preserve">• Hybrid Deep Learning Benchmarking: </w:t>
      </w:r>
      <w:r>
        <w:t>Implement an isolated, separate experimental benchmark comparing the handcrafted DIP+SVM pipeline against a lightweight MobileNetV3 or ResNet-18 to quantify the exact trade-offs in accuracy, latency, model size, and interpretability.</w:t>
      </w:r>
    </w:p>
    <w:p>
      <w:pPr>
        <w:pStyle w:val="Heading1"/>
        <w:keepNext/>
        <w:spacing w:before="360" w:after="160"/>
      </w:pPr>
      <w:r>
        <w:rPr>
          <w:rFonts w:ascii="Georgia" w:hAnsi="Georgia"/>
          <w:b/>
          <w:color w:val="9C3818"/>
          <w:sz w:val="32"/>
        </w:rPr>
        <w:t>12. References</w:t>
      </w:r>
    </w:p>
    <w:p>
      <w:pPr>
        <w:spacing w:after="100" w:line="276" w:lineRule="auto"/>
        <w:ind w:left="504" w:hanging="504"/>
      </w:pPr>
      <w:r>
        <w:rPr>
          <w:rFonts w:ascii="Calibri" w:hAnsi="Calibri"/>
          <w:color w:val="222222"/>
          <w:sz w:val="22"/>
        </w:rPr>
        <w:t>[1] International Telecommunication Union Radiocommunication Sector (ITU-R), "Studio encoding parameters of digital television for standard 4:3 and wide-screen 16:9 aspect ratios," Recommendation ITU-R BT.601-7, Mar. 2011.</w:t>
      </w:r>
    </w:p>
    <w:p>
      <w:pPr>
        <w:spacing w:after="100" w:line="276" w:lineRule="auto"/>
        <w:ind w:left="504" w:hanging="504"/>
      </w:pPr>
      <w:r>
        <w:rPr>
          <w:rFonts w:ascii="Calibri" w:hAnsi="Calibri"/>
          <w:color w:val="222222"/>
          <w:sz w:val="22"/>
        </w:rPr>
        <w:t>[2] I. Sobel and G. Feldman, "A 3x3 Isotropic Gradient Operator for Image Processing," presented at the Stanford Artificial Intelligence Project, 1968; published in R. O. Duda and P. E. Hart, Pattern Classification and Scene Analysis, New York: John Wiley &amp; Sons, 1973, pp. 271–272.</w:t>
      </w:r>
    </w:p>
    <w:p>
      <w:pPr>
        <w:spacing w:after="100" w:line="276" w:lineRule="auto"/>
        <w:ind w:left="504" w:hanging="504"/>
      </w:pPr>
      <w:r>
        <w:rPr>
          <w:rFonts w:ascii="Calibri" w:hAnsi="Calibri"/>
          <w:color w:val="222222"/>
          <w:sz w:val="22"/>
        </w:rPr>
        <w:t>[3] N. Otsu, "A threshold selection method from gray-level histograms," IEEE Transactions on Systems, Man, and Cybernetics, vol. 9, no. 1, pp. 62–66, Jan. 1979, doi: 10.1109/TSMC.1979.4310076.</w:t>
      </w:r>
    </w:p>
    <w:p>
      <w:pPr>
        <w:spacing w:after="100" w:line="276" w:lineRule="auto"/>
        <w:ind w:left="504" w:hanging="504"/>
      </w:pPr>
      <w:r>
        <w:rPr>
          <w:rFonts w:ascii="Calibri" w:hAnsi="Calibri"/>
          <w:color w:val="222222"/>
          <w:sz w:val="22"/>
        </w:rPr>
        <w:t>[4] R. M. Haralick, K. Shanmugam, and I. Dinstein, "Textural Features for Image Classification," IEEE Transactions on Systems, Man, and Cybernetics, vol. SMC-3, no. 6, pp. 610–621, Nov. 1973, doi: 10.1109/TSMC.1973.4309314.</w:t>
      </w:r>
    </w:p>
    <w:p>
      <w:pPr>
        <w:spacing w:after="100" w:line="276" w:lineRule="auto"/>
        <w:ind w:left="504" w:hanging="504"/>
      </w:pPr>
      <w:r>
        <w:rPr>
          <w:rFonts w:ascii="Calibri" w:hAnsi="Calibri"/>
          <w:color w:val="222222"/>
          <w:sz w:val="22"/>
        </w:rPr>
        <w:t>[5] S. M. Pizer, E. P. Amburn, J. D. Austin, R. Cromartie, A. Geselowitz, T. Greer, B. ter Haar Romeny, J. B. Zimmerman, and K. Zuiderveld, "Adaptive histogram equalization and its variations," Computer Vision, Graphics, and Image Processing, vol. 39, no. 3, pp. 355–368, Sep. 1987, doi: 10.1016/S0734-189X(87)80186-X.</w:t>
      </w:r>
    </w:p>
    <w:p>
      <w:pPr>
        <w:spacing w:after="100" w:line="276" w:lineRule="auto"/>
        <w:ind w:left="504" w:hanging="504"/>
      </w:pPr>
      <w:r>
        <w:rPr>
          <w:rFonts w:ascii="Calibri" w:hAnsi="Calibri"/>
          <w:color w:val="222222"/>
          <w:sz w:val="22"/>
        </w:rPr>
        <w:t>[6] A. M. Reza, "Realization of the Contrast Limited Adaptive Histogram Equalization (CLAHE) for Real-Time Image Enhancement," Journal of VLSI Signal Processing Systems for Signal, Image, and Video Technology, vol. 38, no. 1, pp. 35–44, May 2004, doi: 10.1023/B:VLSI.0000028532.53893.82.</w:t>
      </w:r>
    </w:p>
    <w:p>
      <w:pPr>
        <w:spacing w:after="100" w:line="276" w:lineRule="auto"/>
        <w:ind w:left="504" w:hanging="504"/>
      </w:pPr>
      <w:r>
        <w:rPr>
          <w:rFonts w:ascii="Calibri" w:hAnsi="Calibri"/>
          <w:color w:val="222222"/>
          <w:sz w:val="22"/>
        </w:rPr>
        <w:t>[7] S. G. Mallat, "A theory for multiresolution signal decomposition: the wavelet representation," IEEE Transactions on Pattern Analysis and Machine Intelligence, vol. 11, no. 7, pp. 674–693, Jul. 1989, doi: 10.1109/34.192463.</w:t>
      </w:r>
    </w:p>
    <w:p>
      <w:pPr>
        <w:spacing w:after="100" w:line="276" w:lineRule="auto"/>
        <w:ind w:left="504" w:hanging="504"/>
      </w:pPr>
      <w:r>
        <w:rPr>
          <w:rFonts w:ascii="Calibri" w:hAnsi="Calibri"/>
          <w:color w:val="222222"/>
          <w:sz w:val="22"/>
        </w:rPr>
        <w:t>[8] C. Cortes and V. Vapnik, "Support-vector networks," Machine Learning, vol. 20, no. 3, pp. 273–297, Sep. 1995, doi: 10.1007/BF00994018.</w:t>
      </w:r>
    </w:p>
    <w:p>
      <w:pPr>
        <w:spacing w:after="100" w:line="276" w:lineRule="auto"/>
        <w:ind w:left="504" w:hanging="504"/>
      </w:pPr>
      <w:r>
        <w:rPr>
          <w:rFonts w:ascii="Calibri" w:hAnsi="Calibri"/>
          <w:color w:val="222222"/>
          <w:sz w:val="22"/>
        </w:rPr>
        <w:t>[9] J. Platt, "Probabilistic Outputs for Support Vector Machines and Comparisons to Regularized Likelihood Methods," in Advances in Large Margin Classifiers, A. J. Smola, P. Bartlett, B. Schölkopf, and D. Schuurmans, Eds. Cambridge, MA: MIT Press, 1999, vol. 10, no. 3, pp. 61–74.</w:t>
      </w:r>
    </w:p>
    <w:p>
      <w:pPr>
        <w:spacing w:after="100" w:line="276" w:lineRule="auto"/>
        <w:ind w:left="504" w:hanging="504"/>
      </w:pPr>
      <w:r>
        <w:rPr>
          <w:rFonts w:ascii="Calibri" w:hAnsi="Calibri"/>
          <w:color w:val="222222"/>
          <w:sz w:val="22"/>
        </w:rPr>
        <w:t>[10] I. T. Jolliffe, Principal Component Analysis, 2nd ed. New York: Springer-Verlag, 2002, doi: 10.1007/b98835.</w:t>
      </w:r>
    </w:p>
    <w:p>
      <w:pPr>
        <w:spacing w:after="100" w:line="276" w:lineRule="auto"/>
        <w:ind w:left="504" w:hanging="504"/>
      </w:pPr>
      <w:r>
        <w:rPr>
          <w:rFonts w:ascii="Calibri" w:hAnsi="Calibri"/>
          <w:color w:val="222222"/>
          <w:sz w:val="22"/>
        </w:rPr>
        <w:t>[11] Y. T. Zheng, M. Zhao, Y. Song, H. Adam, U. Buddemeier, A. Bissacco, F. Brucher, T. S. Huang, and H. Neven, "Tour the World: Building a web-scale landmark recognition engine," in Proc. IEEE Conf. Computer Vision and Pattern Recognition (CVPR), Miami, FL, 2009, pp. 1085–1092, doi: 10.1109/CVPR.2009.5206785.</w:t>
      </w:r>
    </w:p>
    <w:p>
      <w:pPr>
        <w:spacing w:after="100" w:line="276" w:lineRule="auto"/>
        <w:ind w:left="504" w:hanging="504"/>
      </w:pPr>
      <w:r>
        <w:rPr>
          <w:rFonts w:ascii="Calibri" w:hAnsi="Calibri"/>
          <w:color w:val="222222"/>
          <w:sz w:val="22"/>
        </w:rPr>
        <w:t>[12] C. Grana, S. Calderara, and R. Cucchiara, "Automatic classification of cultural heritage images using structural and texture descriptors," ACM Journal on Computing and Cultural Heritage, vol. 6, no. 1, art. 4, pp. 1–14, Feb. 2013, doi: 10.1145/2445100.2445103.</w:t>
      </w:r>
    </w:p>
    <w:p>
      <w:pPr>
        <w:spacing w:after="100" w:line="276" w:lineRule="auto"/>
        <w:ind w:left="504" w:hanging="504"/>
      </w:pPr>
      <w:r>
        <w:rPr>
          <w:rFonts w:ascii="Calibri" w:hAnsi="Calibri"/>
          <w:color w:val="222222"/>
          <w:sz w:val="22"/>
        </w:rPr>
        <w:t>[13] C. K. Chow, "On optimum recognition error and reject tradeoff," IEEE Transactions on Information Theory, vol. 16, no. 1, pp. 41–46, Jan. 1970, doi: 10.1109/TIT.1970.1054406.</w:t>
      </w:r>
    </w:p>
    <w:p>
      <w:pPr>
        <w:spacing w:after="100" w:line="276" w:lineRule="auto"/>
        <w:ind w:left="504" w:hanging="504"/>
      </w:pPr>
      <w:r>
        <w:rPr>
          <w:rFonts w:ascii="Calibri" w:hAnsi="Calibri"/>
          <w:color w:val="222222"/>
          <w:sz w:val="22"/>
        </w:rPr>
        <w:t>[14] P. L. Bartlett and M. H. Wegkamp, "Classification with a Reject Option using a Hinge Loss," Journal of Machine Learning Research, vol. 7, pp. 1823–1840, Aug. 2006.</w:t>
      </w:r>
    </w:p>
    <w:p>
      <w:pPr>
        <w:spacing w:after="100" w:line="276" w:lineRule="auto"/>
        <w:ind w:left="504" w:hanging="504"/>
      </w:pPr>
      <w:r>
        <w:rPr>
          <w:rFonts w:ascii="Calibri" w:hAnsi="Calibri"/>
          <w:color w:val="222222"/>
          <w:sz w:val="22"/>
        </w:rPr>
        <w:t>[15] R. C. Gonzalez and R. E. Woods, Digital Image Processing, 4th ed. New York: Pearson, 2018.</w:t>
      </w:r>
    </w:p>
    <w:p>
      <w:pPr>
        <w:spacing w:after="100" w:line="276" w:lineRule="auto"/>
        <w:ind w:left="504" w:hanging="504"/>
      </w:pPr>
      <w:r>
        <w:rPr>
          <w:rFonts w:ascii="Calibri" w:hAnsi="Calibri"/>
          <w:color w:val="222222"/>
          <w:sz w:val="22"/>
        </w:rPr>
        <w:t>[16] F. Pedregosa, G. Varoquaux, A. Gramfort, V. Michel, B. Thirion, O. Grisel, M. Blondel, P. Prettenhofer, R. Weiss, V. Dubourg, J. Vanderplas, A. Passos, D. Cournapeau, M. Brucher, M. Perrot, and E. Duchesnay, "Scikit-learn: Machine Learning in Python," Journal of Machine Learning Research, vol. 12, pp. 2825–2830, Nov.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