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FireSafe AI — Requirements &amp; Architecture</w:t>
      </w:r>
    </w:p>
    <w:p>
      <w:r>
        <w:t>Preliminary building/workplace fire-safety assessment agent for Pakistan.</w:t>
      </w:r>
    </w:p>
    <w:p>
      <w:pPr>
        <w:pStyle w:val="Heading1"/>
      </w:pPr>
      <w:r>
        <w:t>Standards framework</w:t>
      </w:r>
    </w:p>
    <w:p>
      <w:pPr>
        <w:pStyle w:val="ListBullet"/>
      </w:pPr>
      <w:r>
        <w:t>Building Code of Pakistan — Fire Safety Provisions 2016</w:t>
      </w:r>
    </w:p>
    <w:p>
      <w:pPr>
        <w:pStyle w:val="ListBullet"/>
      </w:pPr>
      <w:r>
        <w:t>NFPA 10</w:t>
      </w:r>
    </w:p>
    <w:p>
      <w:pPr>
        <w:pStyle w:val="ListBullet"/>
      </w:pPr>
      <w:r>
        <w:t>NFPA 13</w:t>
      </w:r>
    </w:p>
    <w:p>
      <w:pPr>
        <w:pStyle w:val="ListBullet"/>
      </w:pPr>
      <w:r>
        <w:t>NFPA 14</w:t>
      </w:r>
    </w:p>
    <w:p>
      <w:pPr>
        <w:pStyle w:val="ListBullet"/>
      </w:pPr>
      <w:r>
        <w:t>NFPA 20</w:t>
      </w:r>
    </w:p>
    <w:p>
      <w:pPr>
        <w:pStyle w:val="ListBullet"/>
      </w:pPr>
      <w:r>
        <w:t>NFPA 22</w:t>
      </w:r>
    </w:p>
    <w:p>
      <w:pPr>
        <w:pStyle w:val="ListBullet"/>
      </w:pPr>
      <w:r>
        <w:t>NFPA 72</w:t>
      </w:r>
    </w:p>
    <w:p>
      <w:pPr>
        <w:pStyle w:val="ListBullet"/>
      </w:pPr>
      <w:r>
        <w:t>NFPA 96</w:t>
      </w:r>
    </w:p>
    <w:p>
      <w:pPr>
        <w:pStyle w:val="ListBullet"/>
      </w:pPr>
      <w:r>
        <w:t>NFPA 101</w:t>
      </w:r>
    </w:p>
    <w:p>
      <w:pPr>
        <w:pStyle w:val="Heading1"/>
      </w:pPr>
      <w:r>
        <w:t>Agent workflow</w:t>
      </w:r>
    </w:p>
    <w:p>
      <w:pPr>
        <w:pStyle w:val="ListNumber"/>
      </w:pPr>
      <w:r>
        <w:t>Collect building data</w:t>
      </w:r>
    </w:p>
    <w:p>
      <w:pPr>
        <w:pStyle w:val="ListNumber"/>
      </w:pPr>
      <w:r>
        <w:t>Classify occupancy/hazard</w:t>
      </w:r>
    </w:p>
    <w:p>
      <w:pPr>
        <w:pStyle w:val="ListNumber"/>
      </w:pPr>
      <w:r>
        <w:t>Apply deterministic rules</w:t>
      </w:r>
    </w:p>
    <w:p>
      <w:pPr>
        <w:pStyle w:val="ListNumber"/>
      </w:pPr>
      <w:r>
        <w:t>Generate requirements/gaps</w:t>
      </w:r>
    </w:p>
    <w:p>
      <w:pPr>
        <w:pStyle w:val="ListNumber"/>
      </w:pPr>
      <w:r>
        <w:t>Estimate indicative cost</w:t>
      </w:r>
    </w:p>
    <w:p>
      <w:pPr>
        <w:pStyle w:val="ListNumber"/>
      </w:pPr>
      <w:r>
        <w:t>Generate PDF/CSV report</w:t>
      </w:r>
    </w:p>
    <w:p>
      <w:pPr>
        <w:pStyle w:val="ListNumber"/>
      </w:pPr>
      <w:r>
        <w:t>Flag AHJ/professional review</w:t>
      </w:r>
    </w:p>
    <w:p>
      <w:pPr>
        <w:pStyle w:val="Heading1"/>
      </w:pPr>
      <w:r>
        <w:t>Important limitation</w:t>
      </w:r>
    </w:p>
    <w:p>
      <w:r>
        <w:t>This MVP is a screening and budgeting tool. It does not replace licensed NFPA publications, detailed engineering calculations, approved drawings, fire authority requirements, or AHJ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