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PLATFORM ARCHITECTURE  /  PRODUCT &amp; ENGINEERING PLAN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0"/>
        </w:rPr>
        <w:t>邮箱验证码助手平台化建设方案</w:t>
      </w:r>
    </w:p>
    <w:p>
      <w:pPr>
        <w:spacing w:after="320"/>
      </w:pPr>
      <w:r>
        <w:rPr>
          <w:rFonts w:ascii="Calibri" w:hAnsi="Calibri" w:eastAsia="Microsoft YaHei"/>
          <w:color w:val="5F6368"/>
          <w:sz w:val="28"/>
        </w:rPr>
        <w:t>登录、邮箱接口隔离、卡分配追溯与 Sub2 代上传的一体化设计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方案对象：</w:t>
      </w:r>
      <w:r>
        <w:rPr>
          <w:rFonts w:ascii="Calibri" w:hAnsi="Calibri" w:eastAsia="Microsoft YaHei"/>
          <w:color w:val="202124"/>
          <w:sz w:val="21"/>
        </w:rPr>
        <w:t>当前 Windows EXE + 新建管理平台 + 统一后端服务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方案版本：</w:t>
      </w:r>
      <w:r>
        <w:rPr>
          <w:rFonts w:ascii="Calibri" w:hAnsi="Calibri" w:eastAsia="Microsoft YaHei"/>
          <w:color w:val="202124"/>
          <w:sz w:val="21"/>
        </w:rPr>
        <w:t>V1.0 评审稿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分析日期：</w:t>
      </w:r>
      <w:r>
        <w:rPr>
          <w:rFonts w:ascii="Calibri" w:hAnsi="Calibri" w:eastAsia="Microsoft YaHei"/>
          <w:color w:val="202124"/>
          <w:sz w:val="21"/>
        </w:rPr>
        <w:t>2026-08-19</w:t>
      </w:r>
    </w:p>
    <w:p>
      <w:pPr>
        <w:spacing w:after="60"/>
      </w:pPr>
      <w:r>
        <w:rPr>
          <w:rFonts w:ascii="Calibri" w:hAnsi="Calibri" w:eastAsia="Microsoft YaHei"/>
          <w:b/>
          <w:color w:val="0B2545"/>
          <w:sz w:val="21"/>
        </w:rPr>
        <w:t>当前基线：</w:t>
      </w:r>
      <w:r>
        <w:rPr>
          <w:rFonts w:ascii="Calibri" w:hAnsi="Calibri" w:eastAsia="Microsoft YaHei"/>
          <w:color w:val="202124"/>
          <w:sz w:val="21"/>
        </w:rPr>
        <w:t>现有 EXE 已具备剪贴板解析、邮件轮询、验证码提取、连续自动填充和第三方 OAuth 窗口</w:t>
      </w:r>
    </w:p>
    <w:p>
      <w:pPr>
        <w:spacing w:before="100" w:after="180" w:line="264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核心原则  </w:t>
      </w:r>
      <w:r>
        <w:rPr>
          <w:rFonts w:ascii="Calibri" w:hAnsi="Calibri" w:eastAsia="Microsoft YaHei"/>
          <w:color w:val="202124"/>
        </w:rPr>
        <w:t>客户端只拿到登录后的短期会话、任务范围内的最小数据和结果；邮箱原始账号密码、Sub2 凭据、代理、分组、并发、模型映射全部留在服务端。卡详情按“分配、最小揭示、全程审计、可回收”设计。</w:t>
      </w:r>
    </w:p>
    <w:p>
      <w:pPr>
        <w:pStyle w:val="Heading1"/>
        <w:keepNext/>
      </w:pPr>
      <w:r>
        <w:t>方案摘要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800"/>
        <w:gridCol w:w="756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方案结论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EXE 登录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采用 OIDC Authorization Code + PKCE；浏览器不可用时支持 RFC 8628 Device Authorization。EXE 不保存平台密码。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邮箱验证码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平台持有邮箱连接器和原始凭据；EXE 只使用短时 mailbox session token 查询验证码或接收 SSE 事件。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卡分配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平台建立卡池、分配单、租约与归属链路；普通界面只显示掩码，完整详情通过一次性揭示令牌返回并记录审计。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Sub2 上传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服务端 Sub2 Adapter 统一调用，用户只能提交业务参数，不能传入账号、代理、分组或并发配置。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可追溯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任务、用户、设备、卡分配、邮箱会话、验证码事件、上传请求和最终结果共用 trace_id。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需求拆解与边界</w:t>
      </w:r>
    </w:p>
    <w:p>
      <w:pPr>
        <w:spacing w:after="120" w:line="264" w:lineRule="auto"/>
      </w:pPr>
      <w:r>
        <w:rPr>
          <w:rFonts w:ascii="Calibri" w:hAnsi="Calibri" w:eastAsia="Microsoft YaHei"/>
          <w:color w:val="202124"/>
        </w:rPr>
        <w:t>本方案将当前 EXE 从“直接连接邮箱接口/管理端接口的本地工具”改造成“受平台身份与任务授权控制的执行端”。平台负责身份、资源、密钥、策略和审计；EXE 负责交互、剪贴板和用户确认；后台 Worker 负责邮箱轮询与 Sub2 代上传。</w:t>
      </w:r>
    </w:p>
    <w:p>
      <w:pPr>
        <w:pStyle w:val="Heading2"/>
        <w:keepNext/>
      </w:pPr>
      <w:r>
        <w:t>1.1 必须满足的产品约束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用户必须先登录平台才能使用 EXE 的验证码和卡详情能力；注销、禁用或设备撤销后，EXE 立即停止新请求。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邮箱账号和密码永远不出现在 EXE 的输入框、日志、崩溃报告或接口响应中；EXE 只绑定 mailbox_id/session_id。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卡是平台资源，不由用户自由输入或长期占用；所有分配、查看、释放、替换和异常都绑定用户与任务。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Sub2 的账号、代理、分组、并发和模型配置只能由服务端策略读取，客户端无权覆盖。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任何涉及卡详情、邮箱会话、Sub2 上传的动作必须可按用户、设备、任务和时间回放。</w:t>
      </w:r>
    </w:p>
    <w:p>
      <w:pPr>
        <w:pStyle w:val="Heading2"/>
        <w:keepNext/>
      </w:pPr>
      <w:r>
        <w:t>1.2 方案边界与关键假设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平台是单组织起步，但数据库保留 tenant_id，后续可扩展多团队隔离。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Sub2 提供可被服务端调用的 HTTP API；如果只有网页操作，需要单独建设浏览器自动化适配器，不建议把登录态下发给用户。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卡可能包含 PAN、有效期、持卡人姓名和 CVV；如果业务不需要完整 PAN/CVV，应改为 token、末四位和非敏感字段。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邮箱上游可能继续采用当前 mail proxy，但平台对其做连接器封装，EXE 不再知道上游地址和认证细节。</w:t>
      </w:r>
    </w:p>
    <w:p>
      <w:pPr>
        <w:pStyle w:val="Heading1"/>
        <w:keepNext/>
      </w:pPr>
      <w:r>
        <w:t>2. 推荐总体架构</w:t>
      </w:r>
    </w:p>
    <w:p>
      <w:pPr>
        <w:spacing w:after="120" w:line="264" w:lineRule="auto"/>
      </w:pPr>
      <w:r>
        <w:rPr>
          <w:rFonts w:ascii="Calibri" w:hAnsi="Calibri" w:eastAsia="Microsoft YaHei"/>
          <w:color w:val="202124"/>
        </w:rPr>
        <w:t>推荐采用“Web 控制台 + API 网关 + 业务服务 + 异步 Worker + 密钥服务 + 资源数据库”的分层架构。第一阶段可用 Docker Compose 部署在单台云服务器；当用户量、任务量或合规要求提高时，再拆分为 Kubernetes 服务。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300"/>
        <w:gridCol w:w="3100"/>
        <w:gridCol w:w="4960"/>
      </w:tblGrid>
      <w:tr>
        <w:trPr>
          <w:cantSplit w:val="true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推荐组件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身份层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Keycloak + OIDC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用户、角色、MFA、会话、设备撤销、服务账号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Web 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React + TypeScript + Ant Design Pro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管理台、操作台、资源分配、审计检索、策略配置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API 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FastAPI + Pydantic + SQLAlchemy/SQLModel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鉴权、任务编排、资源权限、接口契约和 OpenAPI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PostgreSQL + Redis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业务事实、租约、幂等键、短时会话、队列与限流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密钥层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Vault 或云 KMS + Secret Manager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邮箱/Sub2/数据库密钥、加解密、租约、轮换、审计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执行层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Celery/ARQ Worker + Adapter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邮件连接器、验证码检测、Sub2 上传、重试和未知结果处理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边界层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Nginx/Traefik + TLS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HTTPS、CSP、限流、请求大小、WAF/访问日志、健康检查</w:t>
            </w:r>
          </w:p>
        </w:tc>
      </w:tr>
    </w:tbl>
    <w:p>
      <w:pPr>
        <w:spacing w:after="40"/>
      </w:pPr>
    </w:p>
    <w:p>
      <w:pPr>
        <w:spacing w:before="100" w:after="180" w:line="264" w:lineRule="auto"/>
        <w:ind w:left="202" w:right="115"/>
        <w:shd w:fill="E6F4EA"/>
        <w:pBdr>
          <w:left w:val="single" w:sz="18" w:space="8" w:color="1F5E3B"/>
        </w:pBdr>
      </w:pPr>
      <w:r>
        <w:rPr>
          <w:rFonts w:ascii="Calibri" w:hAnsi="Calibri" w:eastAsia="Microsoft YaHei"/>
          <w:b/>
          <w:color w:val="1F5E3B"/>
        </w:rPr>
        <w:t xml:space="preserve">为什么这样拆  </w:t>
      </w:r>
      <w:r>
        <w:rPr>
          <w:rFonts w:ascii="Calibri" w:hAnsi="Calibri" w:eastAsia="Microsoft YaHei"/>
          <w:color w:val="202124"/>
        </w:rPr>
        <w:t>现有 EXE 中的 MailApiClient 和 AdminApiClient 都直接携带敏感数据或固定配置。平台化后，客户端变成“受控执行端”，敏感连接器和业务策略在服务端集中变更，既能追溯，也避免每次改代理/分组/并发都重打包 EXE。</w:t>
      </w:r>
    </w:p>
    <w:p>
      <w:pPr>
        <w:pStyle w:val="Heading2"/>
        <w:keepNext/>
      </w:pPr>
      <w:r>
        <w:t>2.1 参考成熟项目与取舍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150"/>
        <w:gridCol w:w="3700"/>
        <w:gridCol w:w="3510"/>
      </w:tblGrid>
      <w:tr>
        <w:trPr>
          <w:cantSplit w:val="true"/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参考项目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吸收的做法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本方案取舍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fastapi/full-stack-fastapi-template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FastAPI、React、PostgreSQL、Docker、自动生成客户端、Playwright E2E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作为工程起点，不直接照搬示例认证；加入 Keycloak、任务状态机和密钥边界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keycloak/keycloak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OIDC、强认证、用户联邦、细粒度授权和会话管理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平台不自研密码系统；Keycloak 只做身份，业务资源权限由 API 再判定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apache/casbin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RBAC/ABAC、域/租户、资源级授权、deny-override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用于 API Policy Enforcement；高风险卡揭示仍需二次确认和审计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hashicorp/vault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机密存储、加解密、租约、撤销、审计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生产优先使用 Vault/KMS；开发环境可用 Docker Secret，不把密钥塞进 .env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ant-design/ant-design-pro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企业后台布局、表格/表单/步骤表单、响应式、i18n、UI 测试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管理端采用 ProLayout + ProTable + ProForm，操作台使用更轻量的任务工作台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登录与 EXE 会话设计</w:t>
      </w:r>
    </w:p>
    <w:p>
      <w:pPr>
        <w:pStyle w:val="Heading2"/>
        <w:keepNext/>
      </w:pPr>
      <w:r>
        <w:t>3.1 首选：OIDC Authorization Code + PKCE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EXE 启动后显示登录状态，生成随机 code_verifier/state，并打开系统浏览器到平台/Keycloak 登录页。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用户完成账号密码、MFA 或企业 SSO；回调只返回一次性 authorization code，不返回邮箱、Sub2 或卡凭据。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EXE 通过本机 loopback 回调接收 code，使用 PKCE 换取短期 access_token 和可轮换 refresh_token。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access_token 只存内存；refresh_token 用 Windows DPAPI 加密，绑定当前 Windows 用户和设备指纹。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124"/>
        </w:rPr>
        <w:t>平台 API 每次根据 user_id、device_id、role、session_id 和资源归属做授权，不能只依赖客户端界面隐藏。</w:t>
      </w:r>
    </w:p>
    <w:p>
      <w:pPr>
        <w:pStyle w:val="Heading2"/>
        <w:keepNext/>
      </w:pPr>
      <w:r>
        <w:t>3.2 浏览器不可用时：Device Authorization</w:t>
      </w:r>
    </w:p>
    <w:p>
      <w:pPr>
        <w:spacing w:after="120" w:line="264" w:lineRule="auto"/>
      </w:pPr>
      <w:r>
        <w:rPr>
          <w:rFonts w:ascii="Calibri" w:hAnsi="Calibri" w:eastAsia="Microsoft YaHei"/>
          <w:color w:val="202124"/>
        </w:rPr>
        <w:t>如果远程桌面环境无法可靠打开浏览器，提供设备码：EXE 请求 device_code/user_code，显示短链接与验证码，用户在另一台设备完成登录授权，EXE 轮询 token endpoint。该流程适合受限输入设备，但仍需短有效期、轮询退避、设备撤销和防暴力尝试。</w:t>
      </w:r>
    </w:p>
    <w:p>
      <w:pPr>
        <w:pStyle w:val="Heading2"/>
        <w:keepNext/>
      </w:pPr>
      <w:r>
        <w:t>3.3 EXE UI 改造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600"/>
        <w:gridCol w:w="3150"/>
        <w:gridCol w:w="4610"/>
      </w:tblGrid>
      <w:tr>
        <w:trPr>
          <w:cantSplit w:val="true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界面区域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当前行为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平台化后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顶部状态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始终置顶，无登录态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显示用户名、组织、设备名、会话剩余时间；支持锁定/注销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邮箱输入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直接复制邮箱----密码触发查询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不再接受原始邮箱密码；从平台领取任务或输入任务码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卡号/第二列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来自剪贴板表格记录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由平台分配后显示掩码；需要时点击“临时揭示”并二次确认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验证码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本地直接请求邮箱代理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调用 mailbox session API 或订阅 SSE；响应只包含 code/status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上传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OAuth 窗口直接请求管理端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变为“提交到平台”；显示 queued/running/succeeded/unknown，不显示 Sub2 凭据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邮箱验证码统一接口</w:t>
      </w:r>
    </w:p>
    <w:p>
      <w:pPr>
        <w:spacing w:before="100" w:after="180" w:line="264" w:lineRule="auto"/>
        <w:ind w:left="202" w:right="115"/>
        <w:shd w:fill="FCE8E6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数据隔离红线  </w:t>
      </w:r>
      <w:r>
        <w:rPr>
          <w:rFonts w:ascii="Calibri" w:hAnsi="Calibri" w:eastAsia="Microsoft YaHei"/>
          <w:color w:val="202124"/>
        </w:rPr>
        <w:t>邮箱原始账号密码只存在服务端连接器和密钥服务中。EXE、前端、普通 API 日志、审计日志、消息队列和错误弹窗都不得返回或记录原始凭据。</w:t>
      </w:r>
    </w:p>
    <w:p>
      <w:pPr>
        <w:pStyle w:val="Heading2"/>
        <w:keepNext/>
      </w:pPr>
      <w:r>
        <w:t>4.1 推荐流程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用户登录后创建任务；平台根据任务类型选择一个邮箱连接器，并为当前用户创建 mailbox_session，TTL 建议 10–30 分钟。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API 返回 opaque session_token、mailbox_session_id、expires_at 和 polling_interval；session_token 只在服务端存 hash。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Worker 使用 Vault 读取邮箱凭据访问当前 mail proxy；服务端记录 last_seen_mail_id 或 message_timestamp，避免命中旧验证码。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验证码通过 GET /v1/mail-sessions/{id}/code、SSE /events 或 WebSocket 返回；优先使用任务开始后的新邮件、主题/发件人过滤和一次性消费。</w:t>
      </w:r>
    </w:p>
    <w:p>
      <w:pPr>
        <w:spacing w:after="12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124"/>
        </w:rPr>
        <w:t>任务完成、超时、注销、设备撤销或管理员回收时，立即 revoke mailbox_session；后台清理缓存和临时正文。</w:t>
      </w:r>
    </w:p>
    <w:p>
      <w:pPr>
        <w:pStyle w:val="Heading2"/>
        <w:keepNext/>
      </w:pPr>
      <w:r>
        <w:t>4.2 邮箱 API 草案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050"/>
        <w:gridCol w:w="2700"/>
        <w:gridCol w:w="2600"/>
        <w:gridCol w:w="3010"/>
      </w:tblGrid>
      <w:tr>
        <w:trPr>
          <w:cantSplit w:val="true"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客户端可见数据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服务端动作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/v1/tasks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task_id、状态、过期时间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创建任务、绑定用户/设备、分配邮箱和卡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/v1/tasks/{id}/mail-session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session_id、opaque token、expires_at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从连接器池取凭据，生成 hash 会话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/v1/mail-sessions/{id}/code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status、code、received_at、message_id_hash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Worker 查询邮件；只返回最小验证码结果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/v1/mail-sessions/{id}/events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SSE: waiting/found/expired/error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推送事件；不推送正文和凭据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/v1/mail-sessions/{id}/revoke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revoked=true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撤销会话并清理缓存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卡池、分配与个人绑定</w:t>
      </w:r>
    </w:p>
    <w:p>
      <w:pPr>
        <w:spacing w:before="100" w:after="180" w:line="264" w:lineRule="auto"/>
        <w:ind w:left="202" w:right="115"/>
        <w:shd w:fill="FCE8E6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推荐默认  </w:t>
      </w:r>
      <w:r>
        <w:rPr>
          <w:rFonts w:ascii="Calibri" w:hAnsi="Calibri" w:eastAsia="Microsoft YaHei"/>
          <w:color w:val="202124"/>
        </w:rPr>
        <w:t>如果业务只需要支付卡的识别和填充，不要让平台和 EXE 接触 CVV；优先保存 token/末四位/有效期，使用支付服务商的安全输入或一次性 token。若确实必须展示完整卡详情，应将 Card Vault 独立分区并按 PCI DSS 做范围评估。</w:t>
      </w:r>
    </w:p>
    <w:p>
      <w:pPr>
        <w:pStyle w:val="Heading2"/>
        <w:keepNext/>
      </w:pPr>
      <w:r>
        <w:t>5.1 核心对象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700"/>
        <w:gridCol w:w="4550"/>
        <w:gridCol w:w="3110"/>
      </w:tblGrid>
      <w:tr>
        <w:trPr>
          <w:cantSplit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状态/约束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card_id、provider_ref、last4、brand、expiry_month/year、pan_ref、status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available/allocated/disabled/quarantined；不存明文 PAN/CVV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card_allocations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allocation_id、card_id、user_id、task_id、device_id、lease_until、reason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同一时刻一张卡只能有一个有效租约；所有变更写审计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card_reveals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reveal_id、allocation_id、fields、token_hash、expires_at、used_at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一次性揭示；默认 60–120 秒；字段级授权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card_events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event_id、actor、action、before/after_masked、trace_id、created_at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追加写入；不记录完整卡值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分配逻辑</w:t>
      </w:r>
    </w:p>
    <w:p>
      <w:pPr>
        <w:spacing w:after="12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用户点击“领取卡/创建任务”时，服务端在事务中筛选可用卡，按池、地区、品牌、有效期或业务规则排序。</w:t>
      </w:r>
    </w:p>
    <w:p>
      <w:pPr>
        <w:spacing w:after="12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写入 card_allocations 并设置租约；通过唯一索引或 SELECT FOR UPDATE 防止并发抢同一卡。</w:t>
      </w:r>
    </w:p>
    <w:p>
      <w:pPr>
        <w:spacing w:after="12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平台返回掩码详情和 allocation_id；用户无法通过改 ID 读取其他人的卡，因为 API 同时校验 user_id/tenant_id/task_id。</w:t>
      </w:r>
    </w:p>
    <w:p>
      <w:pPr>
        <w:spacing w:after="12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用户点击揭示时进行 step-up：重新输入一次性验证码、MFA 或平台 PIN；服务端返回短时字段 token，不把完整值写入普通响应缓存。</w:t>
      </w:r>
    </w:p>
    <w:p>
      <w:pPr>
        <w:spacing w:after="12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124"/>
        </w:rPr>
        <w:t>任务提交、取消、超时或管理员强制回收后，卡进入 released 或 quarantined；回收原因和下一次分配人可追溯。</w:t>
      </w:r>
    </w:p>
    <w:p>
      <w:pPr>
        <w:pStyle w:val="Heading2"/>
        <w:keepNext/>
      </w:pPr>
      <w:r>
        <w:t>5.3 卡详情前端展示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550"/>
        <w:gridCol w:w="3250"/>
        <w:gridCol w:w="4560"/>
      </w:tblGrid>
      <w:tr>
        <w:trPr>
          <w:cantSplit w:val="true"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默认显示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揭示策略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卡号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•••• •••• •••• 1234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仅授权角色/任务揭示；一次性、短 TTL、复制后自动清除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有效期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12/29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可按任务权限直接显示或与卡号一起揭示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持卡人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J*** D***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按业务需要揭示；写入 card_reveal 审计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CVV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不显示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默认禁止 API 返回；只有明确合规场景才单独授权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Sub2 统一代上传</w:t>
      </w:r>
    </w:p>
    <w:p>
      <w:pPr>
        <w:spacing w:before="100" w:after="180" w:line="264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平台化目标  </w:t>
      </w:r>
      <w:r>
        <w:rPr>
          <w:rFonts w:ascii="Calibri" w:hAnsi="Calibri" w:eastAsia="Microsoft YaHei"/>
          <w:color w:val="202124"/>
        </w:rPr>
        <w:t>用户只提交“要创建什么”和“使用哪个已分配任务”，服务端自行决定调用哪个 Sub2 账号、代理、分组、并发和模型映射。所有这些配置都是服务端策略，不接受客户端字段覆盖。</w:t>
      </w:r>
    </w:p>
    <w:p>
      <w:pPr>
        <w:pStyle w:val="Heading2"/>
        <w:keepNext/>
      </w:pPr>
      <w:r>
        <w:t>6.1 Adapter 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150"/>
        <w:gridCol w:w="3650"/>
        <w:gridCol w:w="3560"/>
      </w:tblGrid>
      <w:tr>
        <w:trPr>
          <w:cantSplit w:val="true"/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配置项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保存位置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客户端是否可见/修改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Sub2 管理账号/Token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Vault secret/sub2/{environment}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不可见；仅 sub2-worker service account 可读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代理 ID/地址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策略表 + Vault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只显示策略名称；不可传入覆盖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分组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policy.sub2.group_ids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管理员配置；任务引用 policy_version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并发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policy.sub2.concurrency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Worker semaphore/队列控制；客户端不能提高</w:t>
            </w:r>
          </w:p>
        </w:tc>
      </w:tr>
      <w:tr>
        <w:trPr>
          <w:cantSplit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模型映射与 extra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版本化策略 JSON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服务端组装；不信任用户提交的字段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上传状态机与幂等</w:t>
      </w:r>
    </w:p>
    <w:p>
      <w:pPr>
        <w:spacing w:after="12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EXE 或 Web 端 POST /v1/uploads，提交 task_id、allocation_id、业务名称和 idempotency_key。</w:t>
      </w:r>
    </w:p>
    <w:p>
      <w:pPr>
        <w:spacing w:after="12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API 校验用户、任务、卡分配和输入字段，生成 upload_job；不接受 sub2_token、proxy_id、group_ids、concurrency 等字段。</w:t>
      </w:r>
    </w:p>
    <w:p>
      <w:pPr>
        <w:spacing w:after="12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Worker 读取当前 policy_version 和 Vault 凭据，调用 Sub2 的额度检查/授权兑换/创建接口或对应适配器。</w:t>
      </w:r>
    </w:p>
    <w:p>
      <w:pPr>
        <w:spacing w:after="12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每一步写入结构化事件；HTTP 超时、断连或未知响应进入 unknown，不自动盲目重试。</w:t>
      </w:r>
    </w:p>
    <w:p>
      <w:pPr>
        <w:spacing w:after="12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124"/>
        </w:rPr>
        <w:t>用户可查看状态、错误分类和人工核对提示；管理员可重放前先确认幂等键和 Sub2 侧是否已创建。</w:t>
      </w:r>
    </w:p>
    <w:p>
      <w:pPr>
        <w:pStyle w:val="Heading2"/>
        <w:keepNext/>
      </w:pPr>
      <w:r>
        <w:t>6.3 上传 API 草案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050"/>
        <w:gridCol w:w="2500"/>
        <w:gridCol w:w="3200"/>
        <w:gridCol w:w="2610"/>
      </w:tblGrid>
      <w:tr>
        <w:trPr>
          <w:cantSplit w:val="true"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请求重点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响应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/v1/uploads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task_id、business_name、idempotency_key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upload_job_id、queued、policy_version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/v1/uploads/{id}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无敏感请求参数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状态、阶段、时间、错误码、trace_id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/v1/uploads/{id}/cancel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 queued/running 可取消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cancelled 或 cancel_pending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/v1/uploads/{id}/reconcile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管理员/审计角色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核对后的 succeeded/failed/unknown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权限、审计与安全控制</w:t>
      </w:r>
    </w:p>
    <w:p>
      <w:pPr>
        <w:pStyle w:val="Heading2"/>
        <w:keepNext/>
      </w:pPr>
      <w:r>
        <w:t>7.1 角色设计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800"/>
        <w:gridCol w:w="4200"/>
        <w:gridCol w:w="336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可做什么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明确禁止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operator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登录、领取任务、查看自己分配的掩码卡、获取验证码、提交上传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查看其他人的卡、邮箱凭据、Sub2 配置；修改策略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ops_admin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管理用户、卡池、邮箱连接器、任务和上传异常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读取原始 Token；绕过二次授权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security_auditor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查看审计、导出脱敏报表、核对未知上传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直接揭示完整卡详情或修改业务数据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platform_admin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配置策略、服务账号、连接器和系统参数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无审计地读取敏感值；生产建议双人审批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worker_service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读取被授予的 Vault secret、执行邮件/Sub2 Adapter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访问 Web 管理接口或代替用户登录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审计事件</w:t>
      </w:r>
    </w:p>
    <w:p>
      <w:pPr>
        <w:spacing w:after="120" w:line="264" w:lineRule="auto"/>
      </w:pPr>
      <w:r>
        <w:rPr>
          <w:rFonts w:ascii="Calibri" w:hAnsi="Calibri" w:eastAsia="Microsoft YaHei"/>
          <w:color w:val="202124"/>
        </w:rPr>
        <w:t>所有高风险动作都用 append-only audit_events 记录：login_success/login_failed、device_bound/device_revoked、task_created、card_allocated/card_released/card_revealed、mail_session_created/code_found/revoked、upload_submitted/upload_succeeded/upload_unknown/policy_changed。日志字段包括 actor_id、tenant_id、device_id、resource_id、action、result、ip、user_agent、trace_id、created_at、policy_version；严禁写入 PAN、CVV、邮箱密码、Sub2 Token。</w:t>
      </w:r>
    </w:p>
    <w:p>
      <w:pPr>
        <w:pStyle w:val="Heading2"/>
        <w:keepNext/>
      </w:pPr>
      <w:r>
        <w:t>7.3 网络与密钥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所有外部和内部 API 使用 HTTPS；当前项目中的明文 subscriber-api.qnxie.com 管理端不得再由客户端调用，应仅作为服务端受控出站连接。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Vault/KMS 密钥与数据库备份分离；Token 支持轮换、吊销和最小权限 service account。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API 强制 Origin/CORS、CSP、HSTS、CSRF 防护（若使用 Cookie）、速率限制、请求体大小和登录失败锁定。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错误响应只返回业务错误码和恢复建议；不得把第三方原始响应、Authorization header 或敏感请求体直接回显。</w:t>
      </w:r>
    </w:p>
    <w:p>
      <w:pPr>
        <w:pStyle w:val="Heading1"/>
        <w:keepNext/>
      </w:pPr>
      <w:r>
        <w:t>8. 数据库模型与一致性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050"/>
        <w:gridCol w:w="4200"/>
        <w:gridCol w:w="3110"/>
      </w:tblGrid>
      <w:tr>
        <w:trPr>
          <w:cantSplit w:val="true"/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表/聚合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一致性要求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users / devices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user_id、tenant_id、status、device_id、last_seen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设备撤销后所有 session 失效；设备上限可配置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tasks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task_id、owner_id、device_id、type、status、trace_id、expires_at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状态只能按状态机迁移；完成/取消触发资源回收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mail_connectors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connector_id、provider、secret_ref、health、last_checked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凭据只存 secret_ref；连接器健康和轮换可审计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mail_sessions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session_id、task_id、token_hash、lease_until、last_seen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token hash 唯一；TTL、revoke_at、一次性 code 消费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cards / card_allocations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card_id、allocation_id、owner/task/device、lease_until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同卡不可并发有效分配；租约到期需补偿任务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upload_jobs / outbox_events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job_id、idempotency_key、policy_version、status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幂等键唯一；数据库提交与消息发布用 outbox</w:t>
            </w:r>
          </w:p>
        </w:tc>
      </w:tr>
      <w:tr>
        <w:trPr>
          <w:cantSplit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audit_events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actor/resource/action/result/trace_id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追加写；脱敏；定期归档但不可静默修改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UI / UX 方案</w:t>
      </w:r>
    </w:p>
    <w:p>
      <w:pPr>
        <w:spacing w:before="100" w:after="180" w:line="264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视觉方向  </w:t>
      </w:r>
      <w:r>
        <w:rPr>
          <w:rFonts w:ascii="Calibri" w:hAnsi="Calibri" w:eastAsia="Microsoft YaHei"/>
          <w:color w:val="202124"/>
        </w:rPr>
        <w:t>采用“安全运营台”风格：浅色工作区、深海军蓝文字、蓝绿作为主要行动色，红色只用于风险/失败；桌面端优先，响应式支持 1280px 以上后台与 768px 操作台。所有状态必须同时有文字、图标和颜色，不依赖颜色单独表达。</w:t>
      </w:r>
    </w:p>
    <w:p>
      <w:pPr>
        <w:pStyle w:val="Heading2"/>
        <w:keepNext/>
      </w:pPr>
      <w:r>
        <w:t>9.1 Web 管理端导航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500"/>
        <w:gridCol w:w="3600"/>
        <w:gridCol w:w="4260"/>
      </w:tblGrid>
      <w:tr>
        <w:trPr>
          <w:cantSplit w:val="true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导航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核心页面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关键交互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工作台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今日任务、待处理异常、上传成功率、卡池可用数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指标卡 + 最近任务 + 风险提示；不展示敏感值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任务中心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任务列表、任务详情、时间线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按状态/用户/trace_id筛选；进入详情查看资源链路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卡池管理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卡列表、分配记录、回收/隔离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批量导入只进 Vault/安全导入流程；普通表格仅显示末四位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邮箱连接器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连接器健康、轮换、失败告警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只能查看状态；凭据编辑需高权限和二次确认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Sub2 上传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队列、运行中、成功、失败、未知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失败可重试；未知必须先核对再重放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用户与权限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用户、角色、设备、禁用/撤销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角色变更记录审计；支持批量禁用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审计中心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事件检索、脱敏导出、关联时间线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按 actor/resource/action/trace_id 查询；默认只读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策略配置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邮箱策略、卡分配策略、Sub2 policy version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草稿→评审→发布；生产配置支持双人审批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操作员工作台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顶部：登录用户、设备、会话剩余时间、锁定/注销。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左侧：当前任务状态 Stepper（已登录 → 已分配卡 → 等待验证码 → 已获取 → 上传中 → 完成）。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中部：邮箱状态只显示“已绑定/等待/已收到验证码”，卡字段默认掩码；“揭示”按钮与敏感字段分离。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右侧：上传任务状态、trace_id、错误恢复动作；禁止出现“Sub2 登录”“代理 ID”“并发”等内部配置。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底部：操作历史和安全提示；超时/失焦/注销时自动清空临时卡值和验证码。</w:t>
      </w:r>
    </w:p>
    <w:p>
      <w:pPr>
        <w:pStyle w:val="Heading2"/>
        <w:keepNext/>
      </w:pPr>
      <w:r>
        <w:t>9.3 交互规则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每页只保留一个主操作；高风险动作使用明确文案，如“揭示卡号 90 秒”，不要使用模糊的“查看”。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所有异步操作显示 loading、进度或轮询状态；按钮在请求期间禁用，避免重复提交。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错误提示包含原因、影响和下一步；上传未知不能显示为失败，也不能直接给“立即重试”。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表格支持键盘导航、可见焦点、列排序/筛选；重要数据使用等宽数字和可复制但自动清理的控件。</w:t>
      </w:r>
    </w:p>
    <w:p>
      <w:pPr>
        <w:pStyle w:val="Heading1"/>
        <w:keepNext/>
      </w:pPr>
      <w:r>
        <w:t>10. 关键 API 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200"/>
        <w:gridCol w:w="4350"/>
        <w:gridCol w:w="3810"/>
      </w:tblGrid>
      <w:tr>
        <w:trPr>
          <w:cantSplit w:val="true"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域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接口示例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鉴权/权限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身份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OIDC endpoints、GET /v1/me、POST /v1/devices/revoke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Keycloak token；本人/管理员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 /v1/tasks、GET /v1/tasks/{id}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operator 只能读写自己的任务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 /v1/tasks/{id}/card-allocation、POST /v1/card-reveals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资源归属 + step-up + audit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 /v1/tasks/{id}/mail-session、GET /v1/mail-sessions/{id}/code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只返回短期会话和最小结果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上传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 /v1/uploads、GET /v1/uploads/{id}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不接受任何 Sub2 凭据或基础设施配置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后台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 /v1/admin/audit、POST /v1/admin/policies/publish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ops_admin/auditor/platform_admin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color w:val="202124"/>
        </w:rPr>
        <w:t>API 统一返回 request_id/trace_id、业务 error_code、message 和 recovery_hint；OpenAPI 生成前端客户端，禁止前端自行拼接敏感字段。</w:t>
      </w:r>
    </w:p>
    <w:p>
      <w:pPr>
        <w:pStyle w:val="Heading1"/>
        <w:keepNext/>
      </w:pPr>
      <w:r>
        <w:t>11. 部署与运行拓扑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550"/>
        <w:gridCol w:w="3550"/>
        <w:gridCol w:w="4260"/>
      </w:tblGrid>
      <w:tr>
        <w:trPr>
          <w:cantSplit w:val="true"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服务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初期部署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生产要求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web/api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Docker Compose 同机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HTTPS、反向代理、健康检查、滚动发布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worker-mail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独立容器/进程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只读邮箱 secret；队列限流；不对公网暴露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worker-sub2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独立容器/进程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只读 Sub2 secret/policy；出站白名单；幂等/未知处理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PostgreSQL/Redis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托管服务优先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私网、备份加密、恢复演练、最小网络权限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Keycloak/Vault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托管或独立节点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独立管理员、TLS、审计、备份与密钥轮换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发布门禁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所有测试通过：API 单元、权限矩阵、状态机、Worker Adapter、Playwright E2E、EXE 登录和断网恢复。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安全检查通过：SAST、依赖扫描、密钥扫描、容器扫描、TLS 配置和权限越权测试。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Sub2 变更采用 policy_version；策略发布前有审批、回滚版本和小流量灰度。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124"/>
        </w:rPr>
        <w:t>卡/邮箱生产数据不进入开发环境；演示使用脱敏卡和 .invalid 邮箱。</w:t>
      </w:r>
    </w:p>
    <w:p>
      <w:pPr>
        <w:pStyle w:val="Heading1"/>
        <w:keepNext/>
      </w:pPr>
      <w:r>
        <w:t>12. 分阶段实施计划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1800"/>
        <w:gridCol w:w="4450"/>
        <w:gridCol w:w="311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0（1–2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确认 Sub2 API、卡字段、邮箱供应商、角色和部署环境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形成接口样例、数据分类、合规边界和不可变更项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1（3–5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FastAPI/React/PostgreSQL/Keycloak/Vault 骨架、CI/CD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能登录、鉴权、审计、生成 OpenAPI 和前端客户端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2（3–5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任务、邮箱连接器、mail session、验证码 API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EXE 能登录并只通过 session 获取验证码；原始凭据不出服务端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3（4–7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卡池、分配、租约、掩码和一次性揭示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并发分配无重复；用户无法越权；完整动作有审计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4（3–5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Sub2 Adapter、策略、幂等、未知结果核对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客户端无 Sub2 配置；成功/失败/未知可区分和回放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5（3–5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EXE 登录改造、平台任务工作台、自动填充适配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现有连续复制/粘贴体验保留，注销/过期可安全停止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Phase 6（2–3 天）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小范围试点、监控、培训、回滚演练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试点用户全流程完成；无越权、无敏感日志、可追溯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必须在开发前确认的问题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600"/>
        <w:gridCol w:w="4050"/>
        <w:gridCol w:w="2710"/>
      </w:tblGrid>
      <w:tr>
        <w:trPr>
          <w:cantSplit w:val="true"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为什么影响方案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建议默认值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Sub2 是标准 API 还是网页后台？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 Adapter 是 HTTP 客户端还是浏览器自动化；后者风险更高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优先标准 API；不向用户下发登录态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卡的来源与字段是什么？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决定是否进入 PCI DSS CDE、是否能使用 tokenization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默认不存 CVV；PAN 进入独立 Card Vault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一个用户能同时占几张卡/邮箱？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决定租约、并发、回收和防滥用策略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每用户 1 个活动任务，租约 30 分钟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是否需要多团队/代理商隔离？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 tenant_id、域角色和数据边界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数据库从第一天保留 tenant_id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用户如何登录？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 Keycloak 本地账号、企业 SSO、MFA 与找回流程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OIDC + MFA；EXE 使用 PKCE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预计用户数和任务量？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决定单机 Compose 还是直接 K8s/托管队列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先按 100 用户/10 并发任务设计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邮箱验证码是否允许人工查看？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决定 code 是否一次性消费、审计和权限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默认只返回当前任务的 code，60 秒后失效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结论</w:t>
      </w:r>
    </w:p>
    <w:p>
      <w:pPr>
        <w:spacing w:after="120" w:line="264" w:lineRule="auto"/>
      </w:pPr>
      <w:r>
        <w:rPr>
          <w:rFonts w:ascii="Calibri" w:hAnsi="Calibri" w:eastAsia="Microsoft YaHei"/>
          <w:color w:val="202124"/>
        </w:rPr>
        <w:t>建议先建设平台 API、身份、审计和资源模型，再改造 EXE；不要先复制当前 admin_oauth.py 或把当前邮件接口简单加一层反向代理。真正的隔离边界应在服务端：邮箱连接器、Card Vault、Sub2 Adapter 和策略服务都由平台控制，EXE 只保留登录、任务执行、剪贴板和用户可见状态。</w:t>
      </w:r>
    </w:p>
    <w:p>
      <w:pPr>
        <w:spacing w:before="100" w:after="180" w:line="264" w:lineRule="auto"/>
        <w:ind w:left="202" w:right="115"/>
        <w:shd w:fill="E6F4EA"/>
        <w:pBdr>
          <w:left w:val="single" w:sz="18" w:space="8" w:color="1F5E3B"/>
        </w:pBdr>
      </w:pPr>
      <w:r>
        <w:rPr>
          <w:rFonts w:ascii="Calibri" w:hAnsi="Calibri" w:eastAsia="Microsoft YaHei"/>
          <w:b/>
          <w:color w:val="1F5E3B"/>
        </w:rPr>
        <w:t xml:space="preserve">第一版最小可行闭环  </w:t>
      </w:r>
      <w:r>
        <w:rPr>
          <w:rFonts w:ascii="Calibri" w:hAnsi="Calibri" w:eastAsia="Microsoft YaHei"/>
          <w:color w:val="202124"/>
        </w:rPr>
        <w:t>用户登录 → 创建任务 → 平台分配卡和邮箱会话 → EXE 获取验证码 → 平台服务端代上传 Sub2 → 任务关闭并释放资源 → 审计中心按用户/任务/卡/trace_id 回放。这个闭环先跑通，再扩展批量任务、审批和多租户。</w:t>
      </w:r>
    </w:p>
    <w:p>
      <w:pPr>
        <w:pStyle w:val="Heading1"/>
        <w:keepNext/>
      </w:pPr>
      <w:r>
        <w:t>附录 A：参考项目与标准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400"/>
        <w:gridCol w:w="3850"/>
        <w:gridCol w:w="3110"/>
      </w:tblGrid>
      <w:tr>
        <w:trPr>
          <w:cantSplit w:val="true"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资料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链接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FastAPI Full Stack Template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https://github.com/fastapi/full-stack-fastapi-template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FastAPI、React、SQLModel/PostgreSQL、Docker、Playwright 工程骨架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Keycloak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https://github.com/keycloak/keycloak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OIDC、强认证、用户管理与细粒度授权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Apache Casbin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https://github.com/apache/casbin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RBAC/ABAC、域/租户和资源级授权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HashiCorp Vault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https://github.com/hashicorp/vault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机密存储、加解密、租约、撤销和审计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Ant Design Pro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https://github.com/ant-design/ant-design-pro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企业管理台布局、表格、表单、响应式和 UI 测试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RFC 8628 Device Authorization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https://www.rfc-editor.org/info/rfc8628/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浏览器受限设备的设备授权流程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PCI Tokenization Product Security Guidelines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https://www.pcisecuritystandards.org/documents/Tokenization_Product_Security_Guidelines.pdf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卡数据 Vault、tokenization 与范围评估参考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368"/>
        <w:sz w:val="17"/>
      </w:rPr>
      <w:t xml:space="preserve">第 </w:t>
    </w:r>
    <w:r>
      <w:rPr>
        <w:rFonts w:ascii="Calibri" w:hAnsi="Calibri" w:eastAsia="Microsoft YaHei"/>
        <w:color w:val="5F6368"/>
        <w:sz w:val="17"/>
      </w:rPr>
      <w:fldChar w:fldCharType="begin"/>
    </w:r>
    <w:r>
      <w:rPr>
        <w:rFonts w:ascii="Calibri" w:hAnsi="Calibri" w:eastAsia="Microsoft YaHei"/>
        <w:color w:val="5F6368"/>
        <w:sz w:val="17"/>
      </w:rPr>
      <w:instrText xml:space="preserve"> PAGE </w:instrText>
    </w:r>
    <w:r>
      <w:rPr>
        <w:rFonts w:ascii="Calibri" w:hAnsi="Calibri" w:eastAsia="Microsoft YaHei"/>
        <w:color w:val="5F6368"/>
        <w:sz w:val="17"/>
      </w:rPr>
      <w:fldChar w:fldCharType="separate"/>
    </w:r>
    <w:r>
      <w:rPr>
        <w:rFonts w:ascii="Calibri" w:hAnsi="Calibri" w:eastAsia="Microsoft YaHei"/>
        <w:color w:val="5F6368"/>
        <w:sz w:val="17"/>
      </w:rPr>
      <w:t>1</w:t>
    </w:r>
    <w:r>
      <w:rPr>
        <w:rFonts w:ascii="Calibri" w:hAnsi="Calibri" w:eastAsia="Microsoft YaHei"/>
        <w:color w:val="5F6368"/>
        <w:sz w:val="17"/>
      </w:rPr>
      <w:fldChar w:fldCharType="end"/>
    </w:r>
    <w:r>
      <w:rPr>
        <w:rFonts w:ascii="Calibri" w:hAnsi="Calibri" w:eastAsia="Microsoft YaHei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F6368"/>
        <w:sz w:val="17"/>
      </w:rPr>
      <w:t>平台化建设方案  |  邮箱验证码助手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  <w:spacing w:after="160" w:line="28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  <w:spacing w:after="160" w:line="280" w:lineRule="auto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邮箱验证码助手平台化建设方案</dc:title>
  <dc:subject>登录、邮箱隔离、卡分配追溯与 Sub2 代上传</dc:subject>
  <dc:creator>Codex</dc:creator>
  <cp:keywords>FastAPI, Keycloak, Vault, 卡分配, 邮箱接口, Sub2, EXE</cp:keywords>
  <dc:description>基于当前项目源码与成熟开源项目/标准调研生成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