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sz w:val="36"/>
          <w:lang w:eastAsia="zh-CN"/>
        </w:rPr>
      </w:pPr>
      <w:r>
        <w:rPr>
          <w:rFonts w:hint="eastAsia" w:ascii="微软雅黑" w:hAnsi="微软雅黑" w:eastAsia="微软雅黑"/>
          <w:b/>
          <w:sz w:val="36"/>
        </w:rPr>
        <w:t>定义</w:t>
      </w:r>
      <w:r>
        <w:rPr>
          <w:rFonts w:hint="eastAsia" w:ascii="微软雅黑" w:hAnsi="微软雅黑" w:eastAsia="微软雅黑"/>
          <w:b/>
          <w:sz w:val="36"/>
          <w:lang w:eastAsia="zh-CN"/>
        </w:rPr>
        <w:t>审批流程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21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BAP软件可以实现单据的高度自定义化的审批流程，不同的单据可依据录单人、所录员工、部门、单据日期、单据包含时间等条件作为审批的筛选条件。条件的不同，审批流的走向不同。在此模块中定义审批流，录单人发起审批，审批人收到审批通知，审批通过或驳回后形成审批流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本文介绍如何通过BAP Business Cloud AI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完成</w:t>
      </w:r>
      <w:r>
        <w:rPr>
          <w:rFonts w:hint="eastAsia" w:ascii="微软雅黑" w:hAnsi="微软雅黑" w:eastAsia="微软雅黑"/>
          <w:lang w:eastAsia="zh-CN"/>
        </w:rPr>
        <w:t>审批流的配置；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</w:t>
      </w:r>
      <w:r>
        <w:rPr>
          <w:rFonts w:hint="eastAsia" w:ascii="微软雅黑" w:hAnsi="微软雅黑" w:eastAsia="微软雅黑"/>
          <w:lang w:eastAsia="zh-CN"/>
        </w:rPr>
        <w:t>定义审批流的权限</w:t>
      </w:r>
      <w:r>
        <w:rPr>
          <w:rFonts w:hint="eastAsia" w:ascii="微软雅黑" w:hAnsi="微软雅黑" w:eastAsia="微软雅黑"/>
        </w:rPr>
        <w:t>，权限设置请在帮助文档中搜索查看。</w:t>
      </w:r>
    </w:p>
    <w:p>
      <w:pPr>
        <w:spacing w:before="312" w:beforeLines="100"/>
        <w:rPr>
          <w:rFonts w:hint="eastAsia" w:ascii="微软雅黑" w:hAnsi="微软雅黑" w:eastAsia="微软雅黑"/>
          <w:b/>
          <w:sz w:val="24"/>
          <w:lang w:eastAsia="zh-CN"/>
        </w:rPr>
      </w:pPr>
      <w:r>
        <w:rPr>
          <w:rFonts w:hint="eastAsia" w:ascii="微软雅黑" w:hAnsi="微软雅黑" w:eastAsia="微软雅黑"/>
          <w:b/>
          <w:sz w:val="24"/>
        </w:rPr>
        <w:t>操作</w:t>
      </w:r>
      <w:r>
        <w:rPr>
          <w:rFonts w:hint="eastAsia" w:ascii="微软雅黑" w:hAnsi="微软雅黑" w:eastAsia="微软雅黑"/>
          <w:b/>
          <w:sz w:val="24"/>
          <w:lang w:eastAsia="zh-CN"/>
        </w:rPr>
        <w:t>步骤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打开【管理】---&gt;【审批流程】---&gt;【定义审批流程】，选择需要配置审批流的单据，选择发起人，配置审批流程。</w:t>
      </w:r>
    </w:p>
    <w:p>
      <w:r>
        <w:drawing>
          <wp:inline distT="0" distB="0" distL="114300" distR="114300">
            <wp:extent cx="5271135" cy="3322320"/>
            <wp:effectExtent l="0" t="0" r="5715" b="11430"/>
            <wp:docPr id="7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584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发起人</w:t>
            </w:r>
          </w:p>
        </w:tc>
        <w:tc>
          <w:tcPr>
            <w:tcW w:w="5843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选择该单据的审批流受限的发起人；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审批流程</w:t>
            </w:r>
          </w:p>
        </w:tc>
        <w:tc>
          <w:tcPr>
            <w:tcW w:w="5843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通过编写SQL语句，选择审批人，选择消息提醒类型。按审批的流程从上至下完成审批；</w:t>
            </w:r>
            <w:r>
              <w:rPr>
                <w:rFonts w:hint="eastAsia" w:ascii="微软雅黑" w:hAnsi="微软雅黑" w:eastAsia="微软雅黑"/>
                <w:lang w:eastAsia="zh-CN"/>
              </w:rPr>
              <w:drawing>
                <wp:inline distT="0" distB="0" distL="114300" distR="114300">
                  <wp:extent cx="3459480" cy="1918335"/>
                  <wp:effectExtent l="0" t="0" r="7620" b="5715"/>
                  <wp:docPr id="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191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审批人接收消息通知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打开工具栏</w:t>
      </w: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85750" cy="219075"/>
            <wp:effectExtent l="0" t="0" r="0" b="9525"/>
            <wp:docPr id="7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图标，可查看目前待该用户审批的单据信息。其中单据的查看格式，用户可在【管理】---&gt;【审批流程】---&gt;【定义审批流程】---&gt;【自定义审批表格列】中编写SQL语句进行编辑。</w:t>
      </w:r>
    </w:p>
    <w:p>
      <w:pPr>
        <w:tabs>
          <w:tab w:val="left" w:pos="312"/>
        </w:tabs>
        <w:ind w:left="210" w:leftChars="100"/>
      </w:pPr>
      <w:r>
        <w:drawing>
          <wp:inline distT="0" distB="0" distL="114300" distR="114300">
            <wp:extent cx="5273040" cy="3052445"/>
            <wp:effectExtent l="0" t="0" r="3810" b="14605"/>
            <wp:docPr id="7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210" w:leftChars="100"/>
      </w:pPr>
      <w:r>
        <w:drawing>
          <wp:inline distT="0" distB="0" distL="114300" distR="114300">
            <wp:extent cx="5271770" cy="3119755"/>
            <wp:effectExtent l="0" t="0" r="5080" b="4445"/>
            <wp:docPr id="7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210" w:leftChars="100"/>
        <w:rPr>
          <w:rFonts w:ascii="微软雅黑" w:hAnsi="微软雅黑" w:eastAsia="微软雅黑" w:cs="微软雅黑"/>
          <w:b/>
          <w:bCs/>
        </w:rPr>
      </w:pP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查看单据审批流</w:t>
      </w:r>
    </w:p>
    <w:p>
      <w:pPr>
        <w:rPr>
          <w:rFonts w:hint="eastAsia" w:ascii="微软雅黑" w:hAnsi="微软雅黑" w:eastAsia="微软雅黑"/>
        </w:rPr>
      </w:pPr>
      <w:bookmarkStart w:id="0" w:name="_GoBack"/>
      <w:r>
        <w:rPr>
          <w:rFonts w:hint="eastAsia" w:ascii="微软雅黑" w:hAnsi="微软雅黑" w:eastAsia="微软雅黑"/>
        </w:rPr>
        <w:t>打开单据，点击工具栏</w:t>
      </w: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76225" cy="190500"/>
            <wp:effectExtent l="0" t="0" r="9525" b="0"/>
            <wp:docPr id="7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，查看当前单据审批流；</w:t>
      </w:r>
    </w:p>
    <w:bookmarkEnd w:id="0"/>
    <w:p>
      <w:pPr>
        <w:tabs>
          <w:tab w:val="left" w:pos="312"/>
        </w:tabs>
        <w:ind w:left="210" w:leftChars="100"/>
      </w:pPr>
      <w:r>
        <w:drawing>
          <wp:inline distT="0" distB="0" distL="114300" distR="114300">
            <wp:extent cx="5267325" cy="1986280"/>
            <wp:effectExtent l="0" t="0" r="9525" b="13970"/>
            <wp:docPr id="7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6687B"/>
    <w:rsid w:val="000A31A6"/>
    <w:rsid w:val="000B67DB"/>
    <w:rsid w:val="000C1F94"/>
    <w:rsid w:val="000D2BD6"/>
    <w:rsid w:val="00137F86"/>
    <w:rsid w:val="00211BEA"/>
    <w:rsid w:val="002706B8"/>
    <w:rsid w:val="0029579D"/>
    <w:rsid w:val="002A265F"/>
    <w:rsid w:val="002E1B32"/>
    <w:rsid w:val="00310348"/>
    <w:rsid w:val="003135B6"/>
    <w:rsid w:val="003B2D3C"/>
    <w:rsid w:val="003D649D"/>
    <w:rsid w:val="00426BB2"/>
    <w:rsid w:val="00432AB6"/>
    <w:rsid w:val="004F0907"/>
    <w:rsid w:val="00532864"/>
    <w:rsid w:val="00543FD6"/>
    <w:rsid w:val="00583E0B"/>
    <w:rsid w:val="00593549"/>
    <w:rsid w:val="005B2757"/>
    <w:rsid w:val="005B2F6E"/>
    <w:rsid w:val="006F16CD"/>
    <w:rsid w:val="007E1188"/>
    <w:rsid w:val="007E741F"/>
    <w:rsid w:val="007F6CC7"/>
    <w:rsid w:val="00844CBF"/>
    <w:rsid w:val="0087763A"/>
    <w:rsid w:val="00893B6C"/>
    <w:rsid w:val="009930AC"/>
    <w:rsid w:val="009B1C59"/>
    <w:rsid w:val="00A158BA"/>
    <w:rsid w:val="00A23426"/>
    <w:rsid w:val="00A23DBB"/>
    <w:rsid w:val="00A653D6"/>
    <w:rsid w:val="00AA668E"/>
    <w:rsid w:val="00AE6EE7"/>
    <w:rsid w:val="00B15E5E"/>
    <w:rsid w:val="00B40834"/>
    <w:rsid w:val="00BB15FB"/>
    <w:rsid w:val="00BF0E0D"/>
    <w:rsid w:val="00BF51A7"/>
    <w:rsid w:val="00C14547"/>
    <w:rsid w:val="00C5039E"/>
    <w:rsid w:val="00C511DC"/>
    <w:rsid w:val="00C71349"/>
    <w:rsid w:val="00C80EAE"/>
    <w:rsid w:val="00CA69BD"/>
    <w:rsid w:val="00CB36A2"/>
    <w:rsid w:val="00CB4D32"/>
    <w:rsid w:val="00CD4EE5"/>
    <w:rsid w:val="00CF12A2"/>
    <w:rsid w:val="00D40F8E"/>
    <w:rsid w:val="00D556D6"/>
    <w:rsid w:val="00D90708"/>
    <w:rsid w:val="00DB122B"/>
    <w:rsid w:val="00DF2E1D"/>
    <w:rsid w:val="00DF448A"/>
    <w:rsid w:val="00EE2294"/>
    <w:rsid w:val="00F13930"/>
    <w:rsid w:val="00F97E00"/>
    <w:rsid w:val="00FB486F"/>
    <w:rsid w:val="00FC5AB5"/>
    <w:rsid w:val="33AB0B94"/>
    <w:rsid w:val="37003E9B"/>
    <w:rsid w:val="40CB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</Words>
  <Characters>413</Characters>
  <Lines>3</Lines>
  <Paragraphs>1</Paragraphs>
  <TotalTime>1</TotalTime>
  <ScaleCrop>false</ScaleCrop>
  <LinksUpToDate>false</LinksUpToDate>
  <CharactersWithSpaces>484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2019-11-21T06:05:45Z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