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Arial" w:cs="Arial" w:eastAsia="Arial" w:hAnsi="Arial"/>
          <w:b/>
          <w:bCs/>
          <w:color w:val="1F3A8A"/>
          <w:sz w:val="30"/>
          <w:szCs w:val="30"/>
        </w:rPr>
        <w:t xml:space="preserve">Results: Directional Bias in Yes/No/Maybe Answer Generation</w:t>
      </w:r>
    </w:p>
    <w:p>
      <w:pPr>
        <w:spacing w:after="140" w:line="360"/>
      </w:pPr>
      <w:r>
        <w:rPr>
          <w:rFonts w:ascii="Arial" w:cs="Arial" w:eastAsia="Arial" w:hAnsi="Arial"/>
          <w:sz w:val="22"/>
          <w:szCs w:val="22"/>
        </w:rPr>
        <w:t xml:space="preserve">This section reports findings from a 300-instance evaluation (n=300, drawn from the PubMedQA test split) comparing Mistral-7B-Instruct and BioMistral-7B under identical retrieval conditions (fixed chunking, BM25 retrieval, 4-bit quantisation, temperature=0).</w:t>
      </w:r>
    </w:p>
    <w:p>
      <w:pPr>
        <w:pStyle w:val="Heading2"/>
        <w:spacing w:after="100" w:before="220"/>
      </w:pPr>
      <w:r>
        <w:rPr>
          <w:rFonts w:ascii="Arial" w:cs="Arial" w:eastAsia="Arial" w:hAnsi="Arial"/>
          <w:b/>
          <w:bCs/>
          <w:color w:val="1F3A8A"/>
          <w:sz w:val="24"/>
          <w:szCs w:val="24"/>
        </w:rPr>
        <w:t xml:space="preserve">Headline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Mistral-7B-Instruct</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BioMistral-7B</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Exact 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141/300 (47.0%)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166/300 (55.3%)</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Retrieval Hits @5</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290/300 (96.7%)</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290/300 (96.7%)</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Unparseable outputs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12/300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"Maybe" predictions made</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111</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160"/>
      </w:pPr>
      <w:r>
        <w:t xml:space="preserve"/>
      </w:r>
    </w:p>
    <w:p>
      <w:pPr>
        <w:pStyle w:val="Heading2"/>
        <w:spacing w:after="100" w:before="220"/>
      </w:pPr>
      <w:r>
        <w:rPr>
          <w:rFonts w:ascii="Arial" w:cs="Arial" w:eastAsia="Arial" w:hAnsi="Arial"/>
          <w:b/>
          <w:bCs/>
          <w:color w:val="1F3A8A"/>
          <w:sz w:val="24"/>
          <w:szCs w:val="24"/>
        </w:rPr>
        <w:t xml:space="preserve">Confusion Matrices</w:t>
      </w:r>
    </w:p>
    <w:p>
      <w:pPr>
        <w:spacing w:after="140" w:line="360"/>
      </w:pPr>
      <w:r>
        <w:rPr>
          <w:rFonts w:ascii="Arial" w:cs="Arial" w:eastAsia="Arial" w:hAnsi="Arial"/>
          <w:sz w:val="22"/>
          <w:szCs w:val="22"/>
        </w:rPr>
        <w:t xml:space="preserve">Mistral-7B-Instruct (rows = gold label, columns = predicted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Gold \ Predicted</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maybe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no</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maybe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r>
    </w:tbl>
    <w:p>
      <w:pPr>
        <w:spacing w:after="140"/>
      </w:pPr>
      <w:r>
        <w:t xml:space="preserve"/>
      </w:r>
    </w:p>
    <w:p>
      <w:pPr>
        <w:spacing w:after="140" w:line="360"/>
      </w:pPr>
      <w:r>
        <w:rPr>
          <w:rFonts w:ascii="Arial" w:cs="Arial" w:eastAsia="Arial" w:hAnsi="Arial"/>
          <w:sz w:val="22"/>
          <w:szCs w:val="22"/>
        </w:rPr>
        <w:t xml:space="preserve">BioMistral-7B (rows = gold label, columns = predicted label; n=288 valid outputs, 12 excluded as unparseable):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Gold \ Predicted</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maybe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no</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68</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Borders>
              <w:top w:val="single" w:color="CCCCCC" w:sz="1"/>
              <w:left w:val="single" w:color="CCCCCC" w:sz="1"/>
              <w:bottom w:val="single" w:color="CCCCCC" w:sz="1"/>
              <w:right w:val="single" w:color="CCCCCC" w:sz="1"/>
            </w:tcBorders>
            <w:shd w:fill="FAFBF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jc w:val="left"/>
            </w:pPr>
            <w:r>
              <w:rPr>
                <w:rFonts w:ascii="Arial" w:cs="Arial" w:eastAsia="Arial" w:hAnsi="Arial"/>
                <w:b/>
                <w:bCs/>
                <w:sz w:val="20"/>
                <w:szCs w:val="20"/>
              </w:rPr>
              <w:t xml:space="preserve">maybe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bl>
    <w:p>
      <w:pPr>
        <w:spacing w:after="160"/>
      </w:pPr>
      <w:r>
        <w:t xml:space="preserve"/>
      </w:r>
    </w:p>
    <w:p>
      <w:pPr>
        <w:pStyle w:val="Heading2"/>
        <w:spacing w:after="100" w:before="220"/>
      </w:pPr>
      <w:r>
        <w:rPr>
          <w:rFonts w:ascii="Arial" w:cs="Arial" w:eastAsia="Arial" w:hAnsi="Arial"/>
          <w:b/>
          <w:bCs/>
          <w:color w:val="1F3A8A"/>
          <w:sz w:val="24"/>
          <w:szCs w:val="24"/>
        </w:rPr>
        <w:t xml:space="preserve">Statistical Testing</w:t>
      </w:r>
    </w:p>
    <w:p>
      <w:pPr>
        <w:spacing w:after="140" w:line="360"/>
      </w:pPr>
      <w:r>
        <w:rPr>
          <w:rFonts w:ascii="Arial" w:cs="Arial" w:eastAsia="Arial" w:hAnsi="Arial"/>
          <w:sz w:val="22"/>
          <w:szCs w:val="22"/>
        </w:rPr>
        <w:t xml:space="preserve">A chi-square test of independence was conducted on the Mistral-7B-Instruct confusion matrix to determine whether prediction errors were randomly distributed across gold label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2F6FC" w:val="clear"/>
            <w:tcMar>
              <w:top w:type="dxa" w:w="160"/>
              <w:left w:type="dxa" w:w="200"/>
              <w:bottom w:type="dxa" w:w="160"/>
              <w:right w:type="dxa" w:w="200"/>
            </w:tcMar>
          </w:tcPr>
          <w:p>
            <w:pPr>
              <w:spacing w:line="360"/>
            </w:pPr>
            <w:r>
              <w:rPr>
                <w:rFonts w:ascii="Arial" w:cs="Arial" w:eastAsia="Arial" w:hAnsi="Arial"/>
                <w:i/>
                <w:iCs/>
                <w:sz w:val="22"/>
                <w:szCs w:val="22"/>
              </w:rPr>
              <w:t xml:space="preserve">χ² = 31.4412, df = 4, p = 0.000002</w:t>
            </w:r>
          </w:p>
        </w:tc>
      </w:tr>
    </w:tbl>
    <w:p>
      <w:pPr>
        <w:spacing w:after="140" w:line="360"/>
      </w:pPr>
      <w:r>
        <w:rPr>
          <w:rFonts w:ascii="Arial" w:cs="Arial" w:eastAsia="Arial" w:hAnsi="Arial"/>
          <w:sz w:val="22"/>
          <w:szCs w:val="22"/>
        </w:rPr>
        <w:t xml:space="preserve">This result is statistically significant at p &lt; 0.001, indicating the error pattern is not attributable to chance.</w:t>
      </w:r>
    </w:p>
    <w:p>
      <w:pPr>
        <w:spacing w:after="140" w:line="360"/>
      </w:pPr>
      <w:r>
        <w:rPr>
          <w:rFonts w:ascii="Arial" w:cs="Arial" w:eastAsia="Arial" w:hAnsi="Arial"/>
          <w:sz w:val="22"/>
          <w:szCs w:val="22"/>
        </w:rPr>
        <w:t xml:space="preserve">The equivalent test could not be computed for BioMistral-7B, as the complete absence of "maybe" predictions produced a zero-frequency column, violating the chi-square test's minimum expected frequency assumption. This failure is itself diagnostic: it demonstrates that BioMistral's output distribution is categorically, not just statistically, skewed.</w:t>
      </w:r>
    </w:p>
    <w:p>
      <w:pPr>
        <w:spacing w:after="160"/>
      </w:pPr>
      <w:r>
        <w:t xml:space="preserve"/>
      </w:r>
    </w:p>
    <w:p>
      <w:pPr>
        <w:pStyle w:val="Heading2"/>
        <w:spacing w:after="100" w:before="220"/>
      </w:pPr>
      <w:r>
        <w:rPr>
          <w:rFonts w:ascii="Arial" w:cs="Arial" w:eastAsia="Arial" w:hAnsi="Arial"/>
          <w:b/>
          <w:bCs/>
          <w:color w:val="1F3A8A"/>
          <w:sz w:val="24"/>
          <w:szCs w:val="24"/>
        </w:rPr>
        <w:t xml:space="preserve">Interpretation</w:t>
      </w:r>
    </w:p>
    <w:p>
      <w:pPr>
        <w:spacing w:after="140" w:line="360"/>
      </w:pPr>
      <w:r>
        <w:rPr>
          <w:rFonts w:ascii="Arial" w:cs="Arial" w:eastAsia="Arial" w:hAnsi="Arial"/>
          <w:sz w:val="22"/>
          <w:szCs w:val="22"/>
        </w:rPr>
        <w:t xml:space="preserve">While BioMistral-7B achieved higher exact match accuracy than Mistral-7B-Instruct (55.3% vs 47.0%, n=300), this performance advantage appears to stem from increased response confidence rather than improved calibration. BioMistral produced zero "maybe" responses across 288 valid outputs, compared to Mistral's 111 "maybe" responses, suggesting that biomedical fine-tuning may have eliminated the model's hedging behaviour rather than improving its underlying discriminative ability.</w:t>
      </w:r>
    </w:p>
    <w:p>
      <w:pPr>
        <w:spacing w:after="140" w:line="360"/>
      </w:pPr>
      <w:r>
        <w:rPr>
          <w:rFonts w:ascii="Arial" w:cs="Arial" w:eastAsia="Arial" w:hAnsi="Arial"/>
          <w:sz w:val="22"/>
          <w:szCs w:val="22"/>
        </w:rPr>
        <w:t xml:space="preserve">Both models showed a pronounced inability to correctly identify "no" as the gold answer. Mistral correctly predicted "no" in only 15 of 85 such instances (17.6%); BioMistral correctly predicted "no" in 15 of 90 such instances (16.7%) despite never hedging. This convergence on a shared weakness, despite divergent hedging behaviour, suggests the underlying difficulty in recognising negative evidence is architectural or data-driven rather than an artefact of either model's specific fine-tuning.</w:t>
      </w:r>
    </w:p>
    <w:p>
      <w:pPr>
        <w:spacing w:after="140" w:line="360"/>
      </w:pPr>
      <w:r>
        <w:rPr>
          <w:rFonts w:ascii="Arial" w:cs="Arial" w:eastAsia="Arial" w:hAnsi="Arial"/>
          <w:sz w:val="22"/>
          <w:szCs w:val="22"/>
        </w:rPr>
        <w:t xml:space="preserve">This finding directly informs RQ1 and the faithfulness-versus-factuality distinction developed later in this dissertation: a model's raw accuracy score does not indicate whether its confidence is well-calibrated to the actual evidence. BioMistral's apparent improvement is, on this evidence, better characterised as increased assertiveness rather than improved reasoning, a distinction with direct relevance to clinical deployment safety, where an overconfident model that never expresses uncertainty may be more dangerous than a less accurate model that does.</w:t>
      </w:r>
    </w:p>
    <w:p>
      <w:pPr>
        <w:spacing w:after="160"/>
      </w:pPr>
      <w:r>
        <w:t xml:space="preserve"/>
      </w:r>
    </w:p>
    <w:p>
      <w:pPr>
        <w:pStyle w:val="Heading2"/>
        <w:spacing w:after="100" w:before="220"/>
      </w:pPr>
      <w:r>
        <w:rPr>
          <w:rFonts w:ascii="Arial" w:cs="Arial" w:eastAsia="Arial" w:hAnsi="Arial"/>
          <w:b/>
          <w:bCs/>
          <w:color w:val="1F3A8A"/>
          <w:sz w:val="24"/>
          <w:szCs w:val="24"/>
        </w:rPr>
        <w:t xml:space="preserve">Implications for Faithfulness Analysis (forward reference)</w:t>
      </w:r>
    </w:p>
    <w:p>
      <w:pPr>
        <w:spacing w:after="140" w:line="360"/>
      </w:pPr>
      <w:r>
        <w:rPr>
          <w:rFonts w:ascii="Arial" w:cs="Arial" w:eastAsia="Arial" w:hAnsi="Arial"/>
          <w:sz w:val="22"/>
          <w:szCs w:val="22"/>
        </w:rPr>
        <w:t xml:space="preserve">This result motivates the claim-level faithfulness verification introduced in Section [X]: a model's exact-match accuracy alone cannot distinguish genuine evidence-grounded reasoning from a systematic bias toward a particular answer category. The faithfulness-factuality framework developed in this dissertation is designed specifically to surface this distinction, which the standard accuracy metric alone conceals.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2026-06-20T01:29:26.708Z</dcterms:created>
  <dcterms:modified xsi:type="dcterms:W3CDTF">2026-06-20T01:29:26.723Z</dcterms:modified>
</cp:coreProperties>
</file>

<file path=docProps/custom.xml><?xml version="1.0" encoding="utf-8"?>
<Properties xmlns="http://schemas.openxmlformats.org/officeDocument/2006/custom-properties" xmlns:vt="http://schemas.openxmlformats.org/officeDocument/2006/docPropsVTypes"/>
</file>