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F4E79"/>
          <w:sz w:val="56"/>
          <w:szCs w:val="56"/>
        </w:rPr>
        <w:t xml:space="preserve">UCT Handbook Dataset</w:t>
      </w:r>
    </w:p>
    <w:p>
      <w:pPr>
        <w:spacing w:after="400"/>
        <w:jc w:val="center"/>
      </w:pPr>
      <w:r>
        <w:rPr>
          <w:color w:val="1F4E79"/>
          <w:sz w:val="40"/>
          <w:szCs w:val="40"/>
        </w:rPr>
        <w:t xml:space="preserve">User Manual</w:t>
      </w:r>
    </w:p>
    <w:p>
      <w:pPr>
        <w:spacing w:after="160"/>
        <w:jc w:val="center"/>
      </w:pPr>
      <w:r>
        <w:rPr>
          <w:i/>
          <w:iCs/>
          <w:sz w:val="26"/>
          <w:szCs w:val="26"/>
        </w:rPr>
        <w:t xml:space="preserve">For reviewers, deans, and faculty planning teams</w:t>
      </w:r>
    </w:p>
    <w:p>
      <w:pPr>
        <w:spacing w:after="120"/>
        <w:jc w:val="center"/>
      </w:pPr>
      <w:r>
        <w:rPr>
          <w:sz w:val="22"/>
          <w:szCs w:val="22"/>
        </w:rPr>
        <w:t xml:space="preserve">Dataset version: Commerce + Fees, 2021–2026 editions</w:t>
      </w:r>
    </w:p>
    <w:p>
      <w:pPr>
        <w:spacing w:after="0"/>
        <w:jc w:val="center"/>
      </w:pPr>
      <w:r>
        <w:rPr>
          <w:sz w:val="22"/>
          <w:szCs w:val="22"/>
        </w:rPr>
        <w:t xml:space="preserve">August 2026</w:t>
      </w:r>
    </w:p>
    <w:p>
      <w:r>
        <w:br w:type="page"/>
      </w:r>
    </w:p>
    <w:p>
      <w:pPr>
        <w:spacing w:after="20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1F4E79"/>
          <w:sz w:val="30"/>
          <w:szCs w:val="30"/>
        </w:rPr>
        <w:t xml:space="preserve">1. Purpose</w:t>
      </w:r>
    </w:p>
    <w:p>
      <w:pPr>
        <w:spacing w:after="160" w:line="276"/>
      </w:pPr>
      <w:r>
        <w:rPr>
          <w:sz w:val="22"/>
          <w:szCs w:val="22"/>
        </w:rPr>
        <w:t xml:space="preserve">The University has been re-thinking curriculum credit loads, and some changes are already in effect. To evaluate those changes, we need to answer, per degree programme and per year of study, two questions:</w:t>
      </w:r>
    </w:p>
    <w:p>
      <w:pPr>
        <w:pStyle w:val="ListParagraph"/>
        <w:numPr>
          <w:ilvl w:val="0"/>
          <w:numId w:val="2"/>
        </w:numPr>
        <w:spacing w:after="100" w:line="276"/>
      </w:pPr>
      <w:r>
        <w:rPr>
          <w:sz w:val="22"/>
          <w:szCs w:val="22"/>
        </w:rPr>
        <w:t xml:space="preserve">How many credits does a student actually carry, and how has that changed across handbook editions?</w:t>
      </w:r>
    </w:p>
    <w:p>
      <w:pPr>
        <w:pStyle w:val="ListParagraph"/>
        <w:numPr>
          <w:ilvl w:val="0"/>
          <w:numId w:val="2"/>
        </w:numPr>
        <w:spacing w:after="100" w:line="276"/>
      </w:pPr>
      <w:r>
        <w:rPr>
          <w:sz w:val="22"/>
          <w:szCs w:val="22"/>
        </w:rPr>
        <w:t xml:space="preserve">What does that credit load cost, and how has the cost moved with it?</w:t>
      </w:r>
    </w:p>
    <w:p>
      <w:pPr>
        <w:spacing w:after="160" w:line="276"/>
      </w:pPr>
      <w:r>
        <w:rPr>
          <w:sz w:val="22"/>
          <w:szCs w:val="22"/>
        </w:rPr>
        <w:t xml:space="preserve">The published handbooks contain the answers, but as narrative PDF documents. This project converts them into a single analysable dataset in which every number can be traced back to the page of the handbook it came from.</w:t>
      </w:r>
    </w:p>
    <w:p>
      <w:pPr>
        <w:pStyle w:val="Heading1"/>
        <w:spacing w:after="200" w:before="360"/>
      </w:pPr>
      <w:r>
        <w:rPr>
          <w:b/>
          <w:bCs/>
          <w:color w:val="1F4E79"/>
          <w:sz w:val="30"/>
          <w:szCs w:val="30"/>
        </w:rPr>
        <w:t xml:space="preserve">2. What is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7"/>
        <w:gridCol w:w="2257"/>
      </w:tblGrid>
      <w:tr>
        <w:trPr>
          <w:tblHeader/>
        </w:trPr>
        <w:tc>
          <w:tcPr>
            <w:tcW w:type="dxa" w:w="4513"/>
            <w:shd w:fill="1F4E79" w:val="clear"/>
            <w:tcMar>
              <w:top w:type="dxa" w:w="60"/>
              <w:left w:type="dxa" w:w="100"/>
              <w:bottom w:type="dxa" w:w="60"/>
              <w:right w:type="dxa" w:w="100"/>
            </w:tcMar>
          </w:tcPr>
          <w:p>
            <w:pPr>
              <w:spacing w:after="0" w:line="252"/>
            </w:pPr>
            <w:r>
              <w:rPr>
                <w:b/>
                <w:bCs/>
                <w:color w:val="FFFFFF"/>
                <w:sz w:val="19"/>
                <w:szCs w:val="19"/>
              </w:rPr>
              <w:t xml:space="preserve">Content</w:t>
            </w:r>
          </w:p>
        </w:tc>
        <w:tc>
          <w:tcPr>
            <w:tcW w:type="dxa" w:w="2257"/>
            <w:shd w:fill="1F4E79" w:val="clear"/>
            <w:tcMar>
              <w:top w:type="dxa" w:w="60"/>
              <w:left w:type="dxa" w:w="100"/>
              <w:bottom w:type="dxa" w:w="60"/>
              <w:right w:type="dxa" w:w="100"/>
            </w:tcMar>
          </w:tcPr>
          <w:p>
            <w:pPr>
              <w:spacing w:after="0" w:line="252"/>
            </w:pPr>
            <w:r>
              <w:rPr>
                <w:b/>
                <w:bCs/>
                <w:color w:val="FFFFFF"/>
                <w:sz w:val="19"/>
                <w:szCs w:val="19"/>
              </w:rPr>
              <w:t xml:space="preserve">Editions</w:t>
            </w:r>
          </w:p>
        </w:tc>
        <w:tc>
          <w:tcPr>
            <w:tcW w:type="dxa" w:w="2257"/>
            <w:shd w:fill="1F4E79" w:val="clear"/>
            <w:tcMar>
              <w:top w:type="dxa" w:w="60"/>
              <w:left w:type="dxa" w:w="100"/>
              <w:bottom w:type="dxa" w:w="60"/>
              <w:right w:type="dxa" w:w="100"/>
            </w:tcMar>
          </w:tcPr>
          <w:p>
            <w:pPr>
              <w:spacing w:after="0" w:line="252"/>
            </w:pPr>
            <w:r>
              <w:rPr>
                <w:b/>
                <w:bCs/>
                <w:color w:val="FFFFFF"/>
                <w:sz w:val="19"/>
                <w:szCs w:val="19"/>
              </w:rPr>
              <w:t xml:space="preserve">Status</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Faculty of Commerce undergraduate handbook</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2021–2026</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complete</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Engineering &amp; the Built Environment undergraduate handbook</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2021–2026</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complete (adjudication review pending)</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Faculty of Law undergraduate handbook (LLB streams)</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2021–2026</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complete</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Faculty of Health Sciences undergraduate handbook</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2021–2026</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complete (adjudication review pending)</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Student Fees handbook (course fees + published programme fees)</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2021–2026</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complete</w:t>
            </w:r>
          </w:p>
        </w:tc>
      </w:tr>
      <w:tr>
        <w:tc>
          <w:tcPr>
            <w:tcW w:type="dxa" w:w="4513"/>
            <w:tcMar>
              <w:top w:type="dxa" w:w="60"/>
              <w:left w:type="dxa" w:w="100"/>
              <w:bottom w:type="dxa" w:w="60"/>
              <w:right w:type="dxa" w:w="100"/>
            </w:tcMar>
          </w:tcPr>
          <w:p>
            <w:pPr>
              <w:spacing w:after="0" w:line="252"/>
            </w:pPr>
            <w:r>
              <w:rPr>
                <w:b w:val="false"/>
                <w:bCs w:val="false"/>
                <w:color w:val="000000"/>
                <w:sz w:val="19"/>
                <w:szCs w:val="19"/>
              </w:rPr>
              <w:t xml:space="preserve">Humanities, Science handbooks</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2025 books on file</w:t>
            </w:r>
          </w:p>
        </w:tc>
        <w:tc>
          <w:tcPr>
            <w:tcW w:type="dxa" w:w="2257"/>
            <w:tcMar>
              <w:top w:type="dxa" w:w="60"/>
              <w:left w:type="dxa" w:w="100"/>
              <w:bottom w:type="dxa" w:w="60"/>
              <w:right w:type="dxa" w:w="100"/>
            </w:tcMar>
          </w:tcPr>
          <w:p>
            <w:pPr>
              <w:spacing w:after="0" w:line="252"/>
            </w:pPr>
            <w:r>
              <w:rPr>
                <w:b w:val="false"/>
                <w:bCs w:val="false"/>
                <w:color w:val="000000"/>
                <w:sz w:val="19"/>
                <w:szCs w:val="19"/>
              </w:rPr>
              <w:t xml:space="preserve">extraction pending</w:t>
            </w:r>
          </w:p>
        </w:tc>
      </w:tr>
    </w:tbl>
    <w:p>
      <w:pPr>
        <w:spacing w:after="160"/>
      </w:pPr>
    </w:p>
    <w:p>
      <w:pPr>
        <w:spacing w:after="160" w:line="276"/>
      </w:pPr>
      <w:r>
        <w:rPr>
          <w:sz w:val="22"/>
          <w:szCs w:val="22"/>
        </w:rPr>
        <w:t xml:space="preserve">The 2025 edition is treated as the baseline — the recorded state of the curriculum against which the credit re-think editions are compared. Across the six editions the dataset holds 19,251 curriculum records: 71–75 Commerce specialisations per year (including the Academic Development augmented and extended variants and the Advanced Diplomas), ~25 EBE specialisations per year (including the 5-year Extended Curriculum Programmes), and the three LLB streams. In EBE, elective loads are printed as ranges (“0–48 credits”); the ideal student takes the minimum, and both ends of the range are retained. Law publishes one flat annual fee per stream rather than per-year figures; the dataset applies it to every year of the stream and labels the match accordingly.</w:t>
      </w:r>
    </w:p>
    <w:p>
      <w:pPr>
        <w:spacing w:after="160" w:line="276"/>
      </w:pPr>
      <w:r>
        <w:rPr>
          <w:sz w:val="22"/>
          <w:szCs w:val="22"/>
        </w:rPr>
        <w:t xml:space="preserve">The dataset comes in two layers: the as-printed layer — exactly what the handbooks print, including their own defects, preserved for audit — and the final-clean layer (main_dataset_final.csv, ideal_student_summary_final.csv) — the same data with those defects resolved by documented, justified rules and case-by-case adjudications.</w:t>
      </w:r>
    </w:p>
    <w:p>
      <w:pPr>
        <w:spacing w:after="160" w:line="276"/>
      </w:pPr>
      <w:r>
        <w:rPr>
          <w:b/>
          <w:bCs/>
          <w:sz w:val="22"/>
          <w:szCs w:val="22"/>
        </w:rPr>
        <w:t xml:space="preserve">Analysts should use the final-clean tables; auditors and replicators the as-printed ones. </w:t>
      </w:r>
      <w:r>
        <w:rPr>
          <w:sz w:val="22"/>
          <w:szCs w:val="22"/>
        </w:rPr>
        <w:t xml:space="preserve">Section 6 describes both.</w:t>
      </w:r>
    </w:p>
    <w:p>
      <w:pPr>
        <w:pStyle w:val="Heading1"/>
        <w:spacing w:after="200" w:before="360"/>
      </w:pPr>
      <w:r>
        <w:rPr>
          <w:b/>
          <w:bCs/>
          <w:color w:val="1F4E79"/>
          <w:sz w:val="30"/>
          <w:szCs w:val="30"/>
        </w:rPr>
        <w:t xml:space="preserve">3. How the dataset was produced — and why it can be trusted</w:t>
      </w:r>
    </w:p>
    <w:p>
      <w:pPr>
        <w:spacing w:after="160" w:line="276"/>
      </w:pPr>
      <w:r>
        <w:rPr>
          <w:sz w:val="22"/>
          <w:szCs w:val="22"/>
        </w:rPr>
        <w:t xml:space="preserve">The conversion is fully programmatic. The same software reads each PDF, recognises the handbook's structures (programme headings, curriculum tables, course descriptions, fee tables), and writes the output tables. Four integrity rules apply throughout:</w:t>
      </w:r>
    </w:p>
    <w:p>
      <w:pPr>
        <w:pStyle w:val="ListParagraph"/>
        <w:numPr>
          <w:ilvl w:val="0"/>
          <w:numId w:val="2"/>
        </w:numPr>
        <w:spacing w:after="100" w:line="276"/>
      </w:pPr>
      <w:r>
        <w:rPr>
          <w:sz w:val="22"/>
          <w:szCs w:val="22"/>
        </w:rPr>
        <w:t xml:space="preserve">Source PDFs are never edited. They are stored read-only in the repository, and every published edition is kept.</w:t>
      </w:r>
    </w:p>
    <w:p>
      <w:pPr>
        <w:pStyle w:val="ListParagraph"/>
        <w:numPr>
          <w:ilvl w:val="0"/>
          <w:numId w:val="2"/>
        </w:numPr>
        <w:spacing w:after="100" w:line="276"/>
      </w:pPr>
      <w:r>
        <w:rPr>
          <w:sz w:val="22"/>
          <w:szCs w:val="22"/>
        </w:rPr>
        <w:t xml:space="preserve">Every record carries provenance. Each row records the handbook year and the PDF page it came from, so any value can be checked against the original in seconds.</w:t>
      </w:r>
    </w:p>
    <w:p>
      <w:pPr>
        <w:pStyle w:val="ListParagraph"/>
        <w:numPr>
          <w:ilvl w:val="0"/>
          <w:numId w:val="2"/>
        </w:numPr>
        <w:spacing w:after="100" w:line="276"/>
      </w:pPr>
      <w:r>
        <w:rPr>
          <w:sz w:val="22"/>
          <w:szCs w:val="22"/>
        </w:rPr>
        <w:t xml:space="preserve">No manual edits to outputs. If the software misreads something, the software is fixed and re-run. Where the handbook itself contains a defect, the correction is recorded in a documented “overrides” file stating the reason and the source page — or the defect is left in place and flagged, never silently changed.</w:t>
      </w:r>
    </w:p>
    <w:p>
      <w:pPr>
        <w:pStyle w:val="ListParagraph"/>
        <w:numPr>
          <w:ilvl w:val="0"/>
          <w:numId w:val="2"/>
        </w:numPr>
        <w:spacing w:after="100" w:line="276"/>
      </w:pPr>
      <w:r>
        <w:rPr>
          <w:sz w:val="22"/>
          <w:szCs w:val="22"/>
        </w:rPr>
        <w:t xml:space="preserve">Everything is version-controlled. The full history of the dataset and the software that built it is kept; re-running any year reproduces the same output, and re-processing one year cannot alter another year's records.</w:t>
      </w:r>
    </w:p>
    <w:p>
      <w:pPr>
        <w:pStyle w:val="Heading1"/>
        <w:spacing w:after="200" w:before="360"/>
      </w:pPr>
      <w:r>
        <w:rPr>
          <w:b/>
          <w:bCs/>
          <w:color w:val="1F4E79"/>
          <w:sz w:val="30"/>
          <w:szCs w:val="30"/>
        </w:rPr>
        <w:t xml:space="preserve">4. Key concepts</w:t>
      </w:r>
    </w:p>
    <w:p>
      <w:pPr>
        <w:spacing w:after="160" w:line="276"/>
      </w:pPr>
      <w:r>
        <w:rPr>
          <w:b/>
          <w:bCs/>
          <w:sz w:val="22"/>
          <w:szCs w:val="22"/>
        </w:rPr>
        <w:t xml:space="preserve">Specialisation code (plan code). </w:t>
      </w:r>
      <w:r>
        <w:rPr>
          <w:sz w:val="22"/>
          <w:szCs w:val="22"/>
        </w:rPr>
        <w:t xml:space="preserve">The fundamental unit of the dataset, e.g. CB004FTX04 — Bachelor of Business Science specialising in Finance with Accounting. The first five characters identify the programme family (CB004), the last five the department/stream (FTX04). Commerce publishes each specialisation in up to three variants:</w:t>
      </w:r>
    </w:p>
    <w:p>
      <w:pPr>
        <w:pStyle w:val="ListParagraph"/>
        <w:numPr>
          <w:ilvl w:val="0"/>
          <w:numId w:val="3"/>
        </w:numPr>
        <w:spacing w:after="100" w:line="276"/>
      </w:pPr>
      <w:r>
        <w:rPr>
          <w:sz w:val="22"/>
          <w:szCs w:val="22"/>
        </w:rPr>
        <w:t xml:space="preserve">regular — the standard curriculum;</w:t>
      </w:r>
    </w:p>
    <w:p>
      <w:pPr>
        <w:pStyle w:val="ListParagraph"/>
        <w:numPr>
          <w:ilvl w:val="0"/>
          <w:numId w:val="3"/>
        </w:numPr>
        <w:spacing w:after="100" w:line="276"/>
      </w:pPr>
      <w:r>
        <w:rPr>
          <w:sz w:val="22"/>
          <w:szCs w:val="22"/>
        </w:rPr>
        <w:t xml:space="preserve">augmented — Academic Development, same duration with additional support courses;</w:t>
      </w:r>
    </w:p>
    <w:p>
      <w:pPr>
        <w:pStyle w:val="ListParagraph"/>
        <w:numPr>
          <w:ilvl w:val="0"/>
          <w:numId w:val="3"/>
        </w:numPr>
        <w:spacing w:after="100" w:line="276"/>
      </w:pPr>
      <w:r>
        <w:rPr>
          <w:sz w:val="22"/>
          <w:szCs w:val="22"/>
        </w:rPr>
        <w:t xml:space="preserve">extended — Academic Development, the curriculum spread over an extra year.</w:t>
      </w:r>
    </w:p>
    <w:p>
      <w:pPr>
        <w:spacing w:after="160" w:line="276"/>
      </w:pPr>
      <w:r>
        <w:rPr>
          <w:sz w:val="22"/>
          <w:szCs w:val="22"/>
        </w:rPr>
        <w:t xml:space="preserve">Each variant has its own specialisation code and is a separate row-set in the dataset, so comparisons can be like-for-like.</w:t>
      </w:r>
    </w:p>
    <w:p>
      <w:pPr>
        <w:spacing w:after="160" w:line="276"/>
      </w:pPr>
      <w:r>
        <w:rPr>
          <w:b/>
          <w:bCs/>
          <w:sz w:val="22"/>
          <w:szCs w:val="22"/>
        </w:rPr>
        <w:t xml:space="preserve">Course code. </w:t>
      </w:r>
      <w:r>
        <w:rPr>
          <w:sz w:val="22"/>
          <w:szCs w:val="22"/>
        </w:rPr>
        <w:t xml:space="preserve">E.g. ACC1006F: department (ACC), year-level digit (1), course number (006), and period (F first semester, S second, W whole year, H year-long half-course).</w:t>
      </w:r>
    </w:p>
    <w:p>
      <w:pPr>
        <w:spacing w:after="160" w:line="276"/>
      </w:pPr>
      <w:r>
        <w:rPr>
          <w:b/>
          <w:bCs/>
          <w:sz w:val="22"/>
          <w:szCs w:val="22"/>
        </w:rPr>
        <w:t xml:space="preserve">NQF credits and levels. </w:t>
      </w:r>
      <w:r>
        <w:rPr>
          <w:sz w:val="22"/>
          <w:szCs w:val="22"/>
        </w:rPr>
        <w:t xml:space="preserve">Credits measure notional learning time (1 credit = 10 notional hours; a standard semester course is 18 credits). Levels 5–8 grade the qualification ladder: level 7 is the exit of a 3-year bachelor's, level 8 of a 4-year professional bachelor's.</w:t>
      </w:r>
    </w:p>
    <w:p>
      <w:pPr>
        <w:pStyle w:val="Heading1"/>
        <w:spacing w:after="200" w:before="360"/>
      </w:pPr>
      <w:r>
        <w:rPr>
          <w:b/>
          <w:bCs/>
          <w:color w:val="1F4E79"/>
          <w:sz w:val="30"/>
          <w:szCs w:val="30"/>
        </w:rPr>
        <w:t xml:space="preserve">5. The “ideal student”</w:t>
      </w:r>
    </w:p>
    <w:p>
      <w:pPr>
        <w:spacing w:after="160" w:line="276"/>
      </w:pPr>
      <w:r>
        <w:rPr>
          <w:sz w:val="22"/>
          <w:szCs w:val="22"/>
        </w:rPr>
        <w:t xml:space="preserve">Handbooks list more courses than any one student takes: they contain either/or choices, option blocks, and elective slots. Credit load and cost must therefore be computed from a defensible selection, not from everything on offer. The dataset defines the ideal student by deterministic, uniformly applied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shd w:fill="1F4E79" w:val="clear"/>
            <w:tcMar>
              <w:top w:type="dxa" w:w="60"/>
              <w:left w:type="dxa" w:w="100"/>
              <w:bottom w:type="dxa" w:w="60"/>
              <w:right w:type="dxa" w:w="100"/>
            </w:tcMar>
          </w:tcPr>
          <w:p>
            <w:pPr>
              <w:spacing w:after="0" w:line="252"/>
            </w:pPr>
            <w:r>
              <w:rPr>
                <w:b/>
                <w:bCs/>
                <w:color w:val="FFFFFF"/>
                <w:sz w:val="19"/>
                <w:szCs w:val="19"/>
              </w:rPr>
              <w:t xml:space="preserve">Structure in the handbook</w:t>
            </w:r>
          </w:p>
        </w:tc>
        <w:tc>
          <w:tcPr>
            <w:tcW w:type="dxa" w:w="4964"/>
            <w:shd w:fill="1F4E79" w:val="clear"/>
            <w:tcMar>
              <w:top w:type="dxa" w:w="60"/>
              <w:left w:type="dxa" w:w="100"/>
              <w:bottom w:type="dxa" w:w="60"/>
              <w:right w:type="dxa" w:w="100"/>
            </w:tcMar>
          </w:tcPr>
          <w:p>
            <w:pPr>
              <w:spacing w:after="0" w:line="252"/>
            </w:pPr>
            <w:r>
              <w:rPr>
                <w:b/>
                <w:bCs/>
                <w:color w:val="FFFFFF"/>
                <w:sz w:val="19"/>
                <w:szCs w:val="19"/>
              </w:rPr>
              <w:t xml:space="preserve">Rule</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Core (compulsory) course</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Taken.</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“A or B” choices</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first-listed option is taken (handbooks list the default path first). The alternatives remain in the dataset, so “what if the student took B” is a filter, not a re-count.</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“Choose n from the following” menus</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first n menu entries are taken; the menu and the pick-count are recorded.</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Named option streams (e.g. Mathematical Statistics Option vs Applied Statistics Option)</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first-printed stream is taken.</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Elective slots (“Four electives at NQF level 6 … 72 credits”)</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slot is taken at its stated credits. If the handbook omits the slot's credits, they are inferred from the year's stated credit total and flagged as inferred.</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“Minimum of N credits” years</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ideal student takes exactly the minimum.</w:t>
            </w:r>
          </w:p>
        </w:tc>
      </w:tr>
    </w:tbl>
    <w:p>
      <w:pPr>
        <w:spacing w:after="160"/>
      </w:pPr>
    </w:p>
    <w:p>
      <w:pPr>
        <w:spacing w:after="160" w:line="276"/>
      </w:pPr>
      <w:r>
        <w:rPr>
          <w:sz w:val="22"/>
          <w:szCs w:val="22"/>
        </w:rPr>
        <w:t xml:space="preserve">Every curriculum row carries an ideal_student true/false flag applying these rules, so the ideal student is visible inside the main dataset rather than in a separate calculation.</w:t>
      </w:r>
    </w:p>
    <w:p>
      <w:pPr>
        <w:spacing w:after="160" w:line="276"/>
      </w:pPr>
      <w:r>
        <w:rPr>
          <w:b/>
          <w:bCs/>
          <w:sz w:val="22"/>
          <w:szCs w:val="22"/>
        </w:rPr>
        <w:t xml:space="preserve">Costing. </w:t>
      </w:r>
      <w:r>
        <w:rPr>
          <w:sz w:val="22"/>
          <w:szCs w:val="22"/>
        </w:rPr>
        <w:t xml:space="preserve">Each taken course is priced at its exact fee from the fees book (course-code to course-code). Elective slots, which name no specific course, are priced at the median fee of same-level courses in the departments that specialisation draws on, scaled to the slot's credits — and always flagged as estimates, with the estimated component reported separately in the summary table.</w:t>
      </w:r>
    </w:p>
    <w:p>
      <w:pPr>
        <w:pStyle w:val="Heading1"/>
        <w:spacing w:after="200" w:before="360"/>
      </w:pPr>
      <w:r>
        <w:rPr>
          <w:b/>
          <w:bCs/>
          <w:color w:val="1F4E79"/>
          <w:sz w:val="30"/>
          <w:szCs w:val="30"/>
        </w:rPr>
        <w:t xml:space="preserve">6. The tables</w:t>
      </w:r>
    </w:p>
    <w:p>
      <w:pPr>
        <w:spacing w:after="160" w:line="276"/>
      </w:pPr>
      <w:r>
        <w:rPr>
          <w:sz w:val="22"/>
          <w:szCs w:val="22"/>
        </w:rPr>
        <w:t xml:space="preserve">All tables are CSV files in data/processed/ and open directly in Excel. Every table has a year column (handbook edition) — filter on it first.</w:t>
      </w:r>
    </w:p>
    <w:p>
      <w:pPr>
        <w:pStyle w:val="Heading2"/>
        <w:spacing w:after="160" w:before="280"/>
      </w:pPr>
      <w:r>
        <w:rPr>
          <w:b/>
          <w:bCs/>
          <w:color w:val="1F4E79"/>
          <w:sz w:val="25"/>
          <w:szCs w:val="25"/>
        </w:rPr>
        <w:t xml:space="preserve">6.1  main_dataset.csv — the single source of truth</w:t>
      </w:r>
    </w:p>
    <w:p>
      <w:pPr>
        <w:spacing w:after="160" w:line="276"/>
      </w:pPr>
      <w:r>
        <w:rPr>
          <w:sz w:val="22"/>
          <w:szCs w:val="22"/>
        </w:rPr>
        <w:t xml:space="preserve">One row per specialisation × year-of-study × course-slot. Key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4E79" w:val="clear"/>
            <w:tcMar>
              <w:top w:type="dxa" w:w="60"/>
              <w:left w:type="dxa" w:w="100"/>
              <w:bottom w:type="dxa" w:w="60"/>
              <w:right w:type="dxa" w:w="100"/>
            </w:tcMar>
          </w:tcPr>
          <w:p>
            <w:pPr>
              <w:spacing w:after="0" w:line="252"/>
            </w:pPr>
            <w:r>
              <w:rPr>
                <w:b/>
                <w:bCs/>
                <w:color w:val="FFFFFF"/>
                <w:sz w:val="19"/>
                <w:szCs w:val="19"/>
              </w:rPr>
              <w:t xml:space="preserve">Column</w:t>
            </w:r>
          </w:p>
        </w:tc>
        <w:tc>
          <w:tcPr>
            <w:tcW w:type="dxa" w:w="5416"/>
            <w:shd w:fill="1F4E79"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year</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handbook edition (2021–2026)</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plan_code, specialisation, degree_abbrev, variant</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which programme this row belongs to</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study_year</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year of study within the programme (1–5)</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course_code, course_title</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the course (blank code for elective slots)</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nqf_credits, nqf_level</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credit value and NQF level as printed</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requirement</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core / option (a choice) / elective (a slot) / alternative (listed but not counted)</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choice_group, choice_member, choice_pick_n</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which choice this row belongs to, its position, and how many are taken</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ideal_student</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True if the ideal student takes this row</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credits_inferred</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True where slot credits were derived from the year total</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fee_zar, fee_source</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the Rand fee and how it was resolved (exact, variant, estimated_median)</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source_page</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PDF page in that year's handbook</w:t>
            </w:r>
          </w:p>
        </w:tc>
      </w:tr>
    </w:tbl>
    <w:p>
      <w:pPr>
        <w:spacing w:after="160"/>
      </w:pPr>
    </w:p>
    <w:p>
      <w:pPr>
        <w:pStyle w:val="Heading2"/>
        <w:spacing w:after="160" w:before="280"/>
      </w:pPr>
      <w:r>
        <w:rPr>
          <w:b/>
          <w:bCs/>
          <w:color w:val="1F4E79"/>
          <w:sz w:val="25"/>
          <w:szCs w:val="25"/>
        </w:rPr>
        <w:t xml:space="preserve">6.2  ideal_student_summary.csv — one row per specialisation-year</w:t>
      </w:r>
    </w:p>
    <w:p>
      <w:pPr>
        <w:spacing w:after="160" w:line="276"/>
      </w:pPr>
      <w:r>
        <w:rPr>
          <w:sz w:val="22"/>
          <w:szCs w:val="22"/>
        </w:rPr>
        <w:t xml:space="preserve">The roll-up used for most review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4E79" w:val="clear"/>
            <w:tcMar>
              <w:top w:type="dxa" w:w="60"/>
              <w:left w:type="dxa" w:w="100"/>
              <w:bottom w:type="dxa" w:w="60"/>
              <w:right w:type="dxa" w:w="100"/>
            </w:tcMar>
          </w:tcPr>
          <w:p>
            <w:pPr>
              <w:spacing w:after="0" w:line="252"/>
            </w:pPr>
            <w:r>
              <w:rPr>
                <w:b/>
                <w:bCs/>
                <w:color w:val="FFFFFF"/>
                <w:sz w:val="19"/>
                <w:szCs w:val="19"/>
              </w:rPr>
              <w:t xml:space="preserve">Column</w:t>
            </w:r>
          </w:p>
        </w:tc>
        <w:tc>
          <w:tcPr>
            <w:tcW w:type="dxa" w:w="5416"/>
            <w:shd w:fill="1F4E79"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credits_ideal</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credits the ideal student carries that year</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credits_stated / credit_delta</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the handbook's own printed total, and the difference</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fee_ideal_zar</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computed cost of the ideal student's year</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fee_estimated_component_zar</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how much of that is elective-slot estimation</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fee_published_zar / fee_delta_pct</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UCT's published “typical” fee for that programme-year, and the percentage difference</w:t>
            </w:r>
          </w:p>
        </w:tc>
      </w:tr>
      <w:tr>
        <w:tc>
          <w:tcPr>
            <w:tcW w:type="dxa" w:w="3610"/>
            <w:tcMar>
              <w:top w:type="dxa" w:w="60"/>
              <w:left w:type="dxa" w:w="100"/>
              <w:bottom w:type="dxa" w:w="60"/>
              <w:right w:type="dxa" w:w="100"/>
            </w:tcMar>
          </w:tcPr>
          <w:p>
            <w:pPr>
              <w:spacing w:after="0" w:line="252"/>
            </w:pPr>
            <w:r>
              <w:rPr>
                <w:b w:val="false"/>
                <w:bCs w:val="false"/>
                <w:color w:val="000000"/>
                <w:sz w:val="19"/>
                <w:szCs w:val="19"/>
              </w:rPr>
              <w:t xml:space="preserve">fee_match_method</w:t>
            </w:r>
          </w:p>
        </w:tc>
        <w:tc>
          <w:tcPr>
            <w:tcW w:type="dxa" w:w="5416"/>
            <w:tcMar>
              <w:top w:type="dxa" w:w="60"/>
              <w:left w:type="dxa" w:w="100"/>
              <w:bottom w:type="dxa" w:w="60"/>
              <w:right w:type="dxa" w:w="100"/>
            </w:tcMar>
          </w:tcPr>
          <w:p>
            <w:pPr>
              <w:spacing w:after="0" w:line="252"/>
            </w:pPr>
            <w:r>
              <w:rPr>
                <w:b w:val="false"/>
                <w:bCs w:val="false"/>
                <w:color w:val="000000"/>
                <w:sz w:val="19"/>
                <w:szCs w:val="19"/>
              </w:rPr>
              <w:t xml:space="preserve">how the published fee was matched (see caveat 4)</w:t>
            </w:r>
          </w:p>
        </w:tc>
      </w:tr>
    </w:tbl>
    <w:p>
      <w:pPr>
        <w:spacing w:after="160"/>
      </w:pPr>
    </w:p>
    <w:p>
      <w:pPr>
        <w:pStyle w:val="Heading2"/>
        <w:spacing w:after="160" w:before="280"/>
      </w:pPr>
      <w:r>
        <w:rPr>
          <w:b/>
          <w:bCs/>
          <w:color w:val="1F4E79"/>
          <w:sz w:val="25"/>
          <w:szCs w:val="25"/>
        </w:rPr>
        <w:t xml:space="preserve">6.3  Supporting tables</w:t>
      </w:r>
    </w:p>
    <w:p>
      <w:pPr>
        <w:spacing w:after="160" w:line="276"/>
      </w:pPr>
      <w:r>
        <w:rPr>
          <w:sz w:val="22"/>
          <w:szCs w:val="22"/>
        </w:rPr>
        <w:t xml:space="preserve">specialisations (the register, per year), curriculum and curriculum_totals (the raw curriculum tables and their printed totals), courses (course catalogue: convener, entry requirements, assessment), course_fees (every course's fee), programme_fees_published (the fees book's typical annual fees as printed).</w:t>
      </w:r>
    </w:p>
    <w:p>
      <w:pPr>
        <w:pStyle w:val="Heading2"/>
        <w:spacing w:after="160" w:before="280"/>
      </w:pPr>
      <w:r>
        <w:rPr>
          <w:b/>
          <w:bCs/>
          <w:color w:val="1F4E79"/>
          <w:sz w:val="25"/>
          <w:szCs w:val="25"/>
        </w:rPr>
        <w:t xml:space="preserve">6.4  main_dataset_final.csv — the final-clean dataset</w:t>
      </w:r>
    </w:p>
    <w:p>
      <w:pPr>
        <w:spacing w:after="160" w:line="276"/>
      </w:pPr>
      <w:r>
        <w:rPr>
          <w:sz w:val="22"/>
          <w:szCs w:val="22"/>
        </w:rPr>
        <w:t xml:space="preserve">Every row of main_dataset.csv with its original columns untouched, 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1F4E79" w:val="clear"/>
            <w:tcMar>
              <w:top w:type="dxa" w:w="60"/>
              <w:left w:type="dxa" w:w="100"/>
              <w:bottom w:type="dxa" w:w="60"/>
              <w:right w:type="dxa" w:w="100"/>
            </w:tcMar>
          </w:tcPr>
          <w:p>
            <w:pPr>
              <w:spacing w:after="0" w:line="252"/>
            </w:pPr>
            <w:r>
              <w:rPr>
                <w:b/>
                <w:bCs/>
                <w:color w:val="FFFFFF"/>
                <w:sz w:val="19"/>
                <w:szCs w:val="19"/>
              </w:rPr>
              <w:t xml:space="preserve">Column</w:t>
            </w:r>
          </w:p>
        </w:tc>
        <w:tc>
          <w:tcPr>
            <w:tcW w:type="dxa" w:w="5867"/>
            <w:shd w:fill="1F4E79"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final_included</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True if the row counts in the final ideal-student selection (differs from ideal_student only where an adjudication changed a choice)</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resolution_class</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none / R1a (arithmetic rule) / R2a (cross-edition rule) / R3 (adjudication)</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resolution_ref</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rule or register entry (e.g. COM-2025-008) that applied</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final_note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explanation where the row's inclusion changed</w:t>
            </w:r>
          </w:p>
        </w:tc>
      </w:tr>
    </w:tbl>
    <w:p>
      <w:pPr>
        <w:spacing w:after="160"/>
      </w:pPr>
    </w:p>
    <w:p>
      <w:pPr>
        <w:pStyle w:val="Heading2"/>
        <w:spacing w:after="160" w:before="280"/>
      </w:pPr>
      <w:r>
        <w:rPr>
          <w:b/>
          <w:bCs/>
          <w:color w:val="1F4E79"/>
          <w:sz w:val="25"/>
          <w:szCs w:val="25"/>
        </w:rPr>
        <w:t xml:space="preserve">6.5  ideal_student_summary_final.csv — the final roll-up</w:t>
      </w:r>
    </w:p>
    <w:p>
      <w:pPr>
        <w:spacing w:after="160" w:line="276"/>
      </w:pPr>
      <w:r>
        <w:rPr>
          <w:sz w:val="22"/>
          <w:szCs w:val="22"/>
        </w:rPr>
        <w:t xml:space="preserve">The summary table analysts should use. Adds to the section 6.2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1F4E79" w:val="clear"/>
            <w:tcMar>
              <w:top w:type="dxa" w:w="60"/>
              <w:left w:type="dxa" w:w="100"/>
              <w:bottom w:type="dxa" w:w="60"/>
              <w:right w:type="dxa" w:w="100"/>
            </w:tcMar>
          </w:tcPr>
          <w:p>
            <w:pPr>
              <w:spacing w:after="0" w:line="252"/>
            </w:pPr>
            <w:r>
              <w:rPr>
                <w:b/>
                <w:bCs/>
                <w:color w:val="FFFFFF"/>
                <w:sz w:val="19"/>
                <w:szCs w:val="19"/>
              </w:rPr>
              <w:t xml:space="preserve">Column</w:t>
            </w:r>
          </w:p>
        </w:tc>
        <w:tc>
          <w:tcPr>
            <w:tcW w:type="dxa" w:w="5867"/>
            <w:shd w:fill="1F4E79"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final_credits</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resolved credit load for the year</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credits_stated_corrected</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filled where a misprinted total was corrected by adjudication</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final_credit_status</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consistent / resolved_computed / resolved_manual / unresolved</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final_fee_zar / final_fee_status</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resolved cost; reconciled / published_divergent / no_published</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confidence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high (arithmetic or adjudicated) / medium (cross-edition) / low (default policy)</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resolution_rationale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written justification, in full sentences</w:t>
            </w:r>
          </w:p>
        </w:tc>
      </w:tr>
    </w:tbl>
    <w:p>
      <w:pPr>
        <w:spacing w:after="160"/>
      </w:pPr>
    </w:p>
    <w:p>
      <w:pPr>
        <w:spacing w:after="160" w:line="276"/>
      </w:pPr>
      <w:r>
        <w:rPr>
          <w:sz w:val="22"/>
          <w:szCs w:val="22"/>
        </w:rPr>
        <w:t xml:space="preserve">How discrepancies are resolved — the rule order, the evidence each rule demands, and worked examples — is documented in docs/FINAL-DATASET-METHOD.md. In short: printed arithmetic identities and corroborated cross-edition evidence resolve automatically; genuine ambiguities are adjudicated case-by-case in a reviewable register (resolutions/com.csv) with rationale and page evidence; everything else is flagged unresolved at low confidence rather than silently guessed.</w:t>
      </w:r>
    </w:p>
    <w:p>
      <w:pPr>
        <w:pStyle w:val="Heading1"/>
        <w:spacing w:after="200" w:before="360"/>
      </w:pPr>
      <w:r>
        <w:rPr>
          <w:b/>
          <w:bCs/>
          <w:color w:val="1F4E79"/>
          <w:sz w:val="30"/>
          <w:szCs w:val="30"/>
        </w:rPr>
        <w:t xml:space="preserve">7. How the data is validated</w:t>
      </w:r>
    </w:p>
    <w:p>
      <w:pPr>
        <w:spacing w:after="160" w:line="276"/>
      </w:pPr>
      <w:r>
        <w:rPr>
          <w:sz w:val="22"/>
          <w:szCs w:val="22"/>
        </w:rPr>
        <w:t xml:space="preserve">Each specialisation-year is checked from two independent directions — a validation triangle. The curriculum (courses and credits) priced with the course-fee table gives a computed year cost; the credits are compared with the handbook's printed “Total credits per year”, and the cost with the fees book's published typical fee for that programme-year.</w:t>
      </w:r>
    </w:p>
    <w:p>
      <w:pPr>
        <w:spacing w:after="160" w:line="276"/>
      </w:pPr>
      <w:r>
        <w:rPr>
          <w:sz w:val="22"/>
          <w:szCs w:val="22"/>
        </w:rPr>
        <w:t xml:space="preserve">Consistent / resolved / unresolved per faculty: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166"/>
        <w:gridCol w:w="2166"/>
        <w:gridCol w:w="1715"/>
        <w:gridCol w:w="1715"/>
      </w:tblGrid>
      <w:tr>
        <w:trPr>
          <w:tblHeader/>
        </w:trPr>
        <w:tc>
          <w:tcPr>
            <w:tcW w:type="dxa" w:w="1264"/>
            <w:shd w:fill="1F4E79" w:val="clear"/>
            <w:tcMar>
              <w:top w:type="dxa" w:w="60"/>
              <w:left w:type="dxa" w:w="100"/>
              <w:bottom w:type="dxa" w:w="60"/>
              <w:right w:type="dxa" w:w="100"/>
            </w:tcMar>
          </w:tcPr>
          <w:p>
            <w:pPr>
              <w:spacing w:after="0" w:line="252"/>
            </w:pPr>
            <w:r>
              <w:rPr>
                <w:b/>
                <w:bCs/>
                <w:color w:val="FFFFFF"/>
                <w:sz w:val="19"/>
                <w:szCs w:val="19"/>
              </w:rPr>
              <w:t xml:space="preserve">Year</w:t>
            </w:r>
          </w:p>
        </w:tc>
        <w:tc>
          <w:tcPr>
            <w:tcW w:type="dxa" w:w="2166"/>
            <w:shd w:fill="1F4E79" w:val="clear"/>
            <w:tcMar>
              <w:top w:type="dxa" w:w="60"/>
              <w:left w:type="dxa" w:w="100"/>
              <w:bottom w:type="dxa" w:w="60"/>
              <w:right w:type="dxa" w:w="100"/>
            </w:tcMar>
          </w:tcPr>
          <w:p>
            <w:pPr>
              <w:spacing w:after="0" w:line="252"/>
            </w:pPr>
            <w:r>
              <w:rPr>
                <w:b/>
                <w:bCs/>
                <w:color w:val="FFFFFF"/>
                <w:sz w:val="19"/>
                <w:szCs w:val="19"/>
              </w:rPr>
              <w:t xml:space="preserve">Commerce</w:t>
            </w:r>
          </w:p>
        </w:tc>
        <w:tc>
          <w:tcPr>
            <w:tcW w:type="dxa" w:w="2166"/>
            <w:shd w:fill="1F4E79" w:val="clear"/>
            <w:tcMar>
              <w:top w:type="dxa" w:w="60"/>
              <w:left w:type="dxa" w:w="100"/>
              <w:bottom w:type="dxa" w:w="60"/>
              <w:right w:type="dxa" w:w="100"/>
            </w:tcMar>
          </w:tcPr>
          <w:p>
            <w:pPr>
              <w:spacing w:after="0" w:line="252"/>
            </w:pPr>
            <w:r>
              <w:rPr>
                <w:b/>
                <w:bCs/>
                <w:color w:val="FFFFFF"/>
                <w:sz w:val="19"/>
                <w:szCs w:val="19"/>
              </w:rPr>
              <w:t xml:space="preserve">EBE</w:t>
            </w:r>
          </w:p>
        </w:tc>
        <w:tc>
          <w:tcPr>
            <w:tcW w:type="dxa" w:w="1715"/>
            <w:shd w:fill="1F4E79" w:val="clear"/>
            <w:tcMar>
              <w:top w:type="dxa" w:w="60"/>
              <w:left w:type="dxa" w:w="100"/>
              <w:bottom w:type="dxa" w:w="60"/>
              <w:right w:type="dxa" w:w="100"/>
            </w:tcMar>
          </w:tcPr>
          <w:p>
            <w:pPr>
              <w:spacing w:after="0" w:line="252"/>
            </w:pPr>
            <w:r>
              <w:rPr>
                <w:b/>
                <w:bCs/>
                <w:color w:val="FFFFFF"/>
                <w:sz w:val="19"/>
                <w:szCs w:val="19"/>
              </w:rPr>
              <w:t xml:space="preserve">Law</w:t>
            </w:r>
          </w:p>
        </w:tc>
        <w:tc>
          <w:tcPr>
            <w:tcW w:type="dxa" w:w="1715"/>
            <w:shd w:fill="1F4E79" w:val="clear"/>
            <w:tcMar>
              <w:top w:type="dxa" w:w="60"/>
              <w:left w:type="dxa" w:w="100"/>
              <w:bottom w:type="dxa" w:w="60"/>
              <w:right w:type="dxa" w:w="100"/>
            </w:tcMar>
          </w:tcPr>
          <w:p>
            <w:pPr>
              <w:spacing w:after="0" w:line="252"/>
            </w:pPr>
            <w:r>
              <w:rPr>
                <w:b/>
                <w:bCs/>
                <w:color w:val="FFFFFF"/>
                <w:sz w:val="19"/>
                <w:szCs w:val="19"/>
              </w:rPr>
              <w:t xml:space="preserve">Health Sciences</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2021</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227 / 17 / 30</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62 / 1 / 27</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5</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12</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2022</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240 / 11 / 24</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57 / 0 / 33</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5</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8 / 0 / 11</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2023</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225 / 15 / 36</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59 / 0 / 31</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5</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14 / 0 / 11</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2024</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203 / 13 / 55</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57 / 0 / 33</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5</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14 / 0 / 11</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2025</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219 / 13 / 36</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55 / 0 / 32</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5</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11 / 0 / 12</w:t>
            </w:r>
          </w:p>
        </w:tc>
      </w:tr>
      <w:tr>
        <w:tc>
          <w:tcPr>
            <w:tcW w:type="dxa" w:w="1264"/>
            <w:tcMar>
              <w:top w:type="dxa" w:w="60"/>
              <w:left w:type="dxa" w:w="100"/>
              <w:bottom w:type="dxa" w:w="60"/>
              <w:right w:type="dxa" w:w="100"/>
            </w:tcMar>
          </w:tcPr>
          <w:p>
            <w:pPr>
              <w:spacing w:after="0" w:line="252"/>
            </w:pPr>
            <w:r>
              <w:rPr>
                <w:b w:val="false"/>
                <w:bCs w:val="false"/>
                <w:color w:val="000000"/>
                <w:sz w:val="19"/>
                <w:szCs w:val="19"/>
              </w:rPr>
              <w:t xml:space="preserve">2026</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202 / 11 / 48</w:t>
            </w:r>
          </w:p>
        </w:tc>
        <w:tc>
          <w:tcPr>
            <w:tcW w:type="dxa" w:w="2166"/>
            <w:tcMar>
              <w:top w:type="dxa" w:w="60"/>
              <w:left w:type="dxa" w:w="100"/>
              <w:bottom w:type="dxa" w:w="60"/>
              <w:right w:type="dxa" w:w="100"/>
            </w:tcMar>
          </w:tcPr>
          <w:p>
            <w:pPr>
              <w:spacing w:after="0" w:line="252"/>
            </w:pPr>
            <w:r>
              <w:rPr>
                <w:b w:val="false"/>
                <w:bCs w:val="false"/>
                <w:color w:val="000000"/>
                <w:sz w:val="19"/>
                <w:szCs w:val="19"/>
              </w:rPr>
              <w:t xml:space="preserve">54 / 0 / 29</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7 / 0 / 0</w:t>
            </w:r>
          </w:p>
        </w:tc>
        <w:tc>
          <w:tcPr>
            <w:tcW w:type="dxa" w:w="1715"/>
            <w:tcMar>
              <w:top w:type="dxa" w:w="60"/>
              <w:left w:type="dxa" w:w="100"/>
              <w:bottom w:type="dxa" w:w="60"/>
              <w:right w:type="dxa" w:w="100"/>
            </w:tcMar>
          </w:tcPr>
          <w:p>
            <w:pPr>
              <w:spacing w:after="0" w:line="252"/>
            </w:pPr>
            <w:r>
              <w:rPr>
                <w:b w:val="false"/>
                <w:bCs w:val="false"/>
                <w:color w:val="000000"/>
                <w:sz w:val="19"/>
                <w:szCs w:val="19"/>
              </w:rPr>
              <w:t xml:space="preserve">10 / 0 / 13</w:t>
            </w:r>
          </w:p>
        </w:tc>
      </w:tr>
    </w:tbl>
    <w:p>
      <w:pPr>
        <w:spacing w:after="160"/>
      </w:pPr>
    </w:p>
    <w:p>
      <w:pPr>
        <w:spacing w:after="160" w:line="276"/>
      </w:pPr>
      <w:r>
        <w:rPr>
          <w:sz w:val="22"/>
          <w:szCs w:val="22"/>
        </w:rPr>
        <w:t xml:space="preserve">78% of the 2,356 specialisation-years are fully resolved at high or medium confidence. The unresolved remainder carries the computed value at low confidence and is individually listed, with suggested actions, in validation/pending_adjudication_&lt;year&gt;.csv. Commerce's register has been provisionally seeded; the EBE, Law and Health Sciences adjudication passes have not yet been done. Law's unresolved rows are all the legacy five-year stream (no printed totals); Health Sciences' are dominated by the combined Audiology / Speech-Language Pathology block, whose interleaved curricula await a dedicated splitter. Highlights: the MBChB reconciles all six years exactly, with years 1–3 computed fees matching the published figures to the rand; Law's graduate-stream first-year cost likewise matches to the rand.</w:t>
      </w:r>
    </w:p>
    <w:p>
      <w:pPr>
        <w:spacing w:after="160" w:line="276"/>
      </w:pPr>
      <w:r>
        <w:rPr>
          <w:sz w:val="22"/>
          <w:szCs w:val="22"/>
        </w:rPr>
        <w:t xml:space="preserve">Where computed fees can be compared with published fees, the median difference is 0.0% — for most programmes the computation reproduces UCT's own published figure to the rand.</w:t>
      </w:r>
    </w:p>
    <w:p>
      <w:pPr>
        <w:spacing w:after="160" w:line="276"/>
      </w:pPr>
      <w:r>
        <w:rPr>
          <w:b/>
          <w:bCs/>
          <w:sz w:val="22"/>
          <w:szCs w:val="22"/>
        </w:rPr>
        <w:t xml:space="preserve">A “mismatch” is a finding, not an error. </w:t>
      </w:r>
      <w:r>
        <w:rPr>
          <w:sz w:val="22"/>
          <w:szCs w:val="22"/>
        </w:rPr>
        <w:t xml:space="preserve">Every one is listed, with page references, in the validation reports (credit_check_&lt;year&gt;.csv, fee_check_&lt;year&gt;.csv). On inspection, most mismatches are defects or ambiguities in the handbooks themselves, which the dataset deliberately preserves and surfaces rather than papering over. Real examples:</w:t>
      </w:r>
    </w:p>
    <w:p>
      <w:pPr>
        <w:pStyle w:val="ListParagraph"/>
        <w:numPr>
          <w:ilvl w:val="0"/>
          <w:numId w:val="3"/>
        </w:numPr>
        <w:spacing w:after="100" w:line="276"/>
      </w:pPr>
      <w:r>
        <w:rPr>
          <w:sz w:val="22"/>
          <w:szCs w:val="22"/>
        </w:rPr>
        <w:t xml:space="preserve">a printed year total of 382 credits where the table sums to 182 (2025, CB025BUS09 year 1 — a misprint);</w:t>
      </w:r>
    </w:p>
    <w:p>
      <w:pPr>
        <w:pStyle w:val="ListParagraph"/>
        <w:numPr>
          <w:ilvl w:val="0"/>
          <w:numId w:val="3"/>
        </w:numPr>
        <w:spacing w:after="100" w:line="276"/>
      </w:pPr>
      <w:r>
        <w:rPr>
          <w:sz w:val="22"/>
          <w:szCs w:val="22"/>
        </w:rPr>
        <w:t xml:space="preserve">year totals that count both branches of an either/or choice (2025, CB001INF01 year 1: rows sum to 150 taking one branch, 168 taking both; the printed total is 168);</w:t>
      </w:r>
    </w:p>
    <w:p>
      <w:pPr>
        <w:pStyle w:val="ListParagraph"/>
        <w:numPr>
          <w:ilvl w:val="0"/>
          <w:numId w:val="3"/>
        </w:numPr>
        <w:spacing w:after="100" w:line="276"/>
      </w:pPr>
      <w:r>
        <w:rPr>
          <w:sz w:val="22"/>
          <w:szCs w:val="22"/>
        </w:rPr>
        <w:t xml:space="preserve">final-year course menus whose selection rule is printed nowhere (the Computer Science stream's 4th-year module list);</w:t>
      </w:r>
    </w:p>
    <w:p>
      <w:pPr>
        <w:pStyle w:val="ListParagraph"/>
        <w:numPr>
          <w:ilvl w:val="0"/>
          <w:numId w:val="3"/>
        </w:numPr>
        <w:spacing w:after="100" w:line="276"/>
      </w:pPr>
      <w:r>
        <w:rPr>
          <w:sz w:val="22"/>
          <w:szCs w:val="22"/>
        </w:rPr>
        <w:t xml:space="preserve">a stated total excluding a course that is listed in the same table (CB011ACC08 year 2).</w:t>
      </w:r>
    </w:p>
    <w:p>
      <w:pPr>
        <w:spacing w:after="160" w:line="276"/>
      </w:pPr>
      <w:r>
        <w:rPr>
          <w:sz w:val="22"/>
          <w:szCs w:val="22"/>
        </w:rPr>
        <w:t xml:space="preserve">These lists are themselves a useful review product: they show where the published handbooks would benefit from editorial correction.</w:t>
      </w:r>
    </w:p>
    <w:p>
      <w:pPr>
        <w:pStyle w:val="Heading1"/>
        <w:spacing w:after="200" w:before="360"/>
      </w:pPr>
      <w:r>
        <w:rPr>
          <w:b/>
          <w:bCs/>
          <w:color w:val="1F4E79"/>
          <w:sz w:val="30"/>
          <w:szCs w:val="30"/>
        </w:rPr>
        <w:t xml:space="preserve">8. Caveats and limitations</w:t>
      </w:r>
    </w:p>
    <w:p>
      <w:pPr>
        <w:pStyle w:val="ListParagraph"/>
        <w:numPr>
          <w:ilvl w:val="0"/>
          <w:numId w:val="2"/>
        </w:numPr>
        <w:spacing w:after="100" w:line="276"/>
      </w:pPr>
      <w:r>
        <w:rPr>
          <w:sz w:val="22"/>
          <w:szCs w:val="22"/>
        </w:rPr>
        <w:t xml:space="preserve">Elective costs are estimates. Slots naming no course are priced at a credit-scaled median (section 5). The estimated component is always reported separately (fee_estimated_component_zar), so it can be excluded from any analysis that requires exact figures.</w:t>
      </w:r>
    </w:p>
    <w:p>
      <w:pPr>
        <w:pStyle w:val="ListParagraph"/>
        <w:numPr>
          <w:ilvl w:val="0"/>
          <w:numId w:val="2"/>
        </w:numPr>
        <w:spacing w:after="100" w:line="276"/>
      </w:pPr>
      <w:r>
        <w:rPr>
          <w:sz w:val="22"/>
          <w:szCs w:val="22"/>
        </w:rPr>
        <w:t xml:space="preserve">The ideal student is a convention. “First-listed option” is a documented, consistent convention — not a claim about actual student behaviour. Because alternatives are retained, sensitivity checks are straightforward.</w:t>
      </w:r>
    </w:p>
    <w:p>
      <w:pPr>
        <w:pStyle w:val="ListParagraph"/>
        <w:numPr>
          <w:ilvl w:val="0"/>
          <w:numId w:val="2"/>
        </w:numPr>
        <w:spacing w:after="100" w:line="276"/>
      </w:pPr>
      <w:r>
        <w:rPr>
          <w:sz w:val="22"/>
          <w:szCs w:val="22"/>
        </w:rPr>
        <w:t xml:space="preserve">Handbook defects are preserved. Where the handbook's own numbers disagree, the dataset records what is printed and flags the disagreement (section 7). Corrections are only applied through the documented overrides process (section 10).</w:t>
      </w:r>
    </w:p>
    <w:p>
      <w:pPr>
        <w:pStyle w:val="ListParagraph"/>
        <w:numPr>
          <w:ilvl w:val="0"/>
          <w:numId w:val="2"/>
        </w:numPr>
        <w:spacing w:after="100" w:line="276"/>
      </w:pPr>
      <w:r>
        <w:rPr>
          <w:sz w:val="22"/>
          <w:szCs w:val="22"/>
        </w:rPr>
        <w:t xml:space="preserve">Published-fee matching is by name. The fees book labels programmes by name, not by specialisation code, and names drift between books (“Analytics” vs “Statistics and Data Sciences”). Matching is rule-based with a curated alias list; the method used is recorded per row, and unmatched labels are reported. Academic Development fees are published once per specialisation — they are assigned to the variant whose duration matches the published block, and flagged where ambiguity remains.</w:t>
      </w:r>
    </w:p>
    <w:p>
      <w:pPr>
        <w:pStyle w:val="ListParagraph"/>
        <w:numPr>
          <w:ilvl w:val="0"/>
          <w:numId w:val="2"/>
        </w:numPr>
        <w:spacing w:after="100" w:line="276"/>
      </w:pPr>
      <w:r>
        <w:rPr>
          <w:sz w:val="22"/>
          <w:szCs w:val="22"/>
        </w:rPr>
        <w:t xml:space="preserve">Older editions are noisier. The 2021–2023 fee sections reconcile at a somewhat lower rate than 2024–2026; their mismatch lists are correspondingly longer.</w:t>
      </w:r>
    </w:p>
    <w:p>
      <w:pPr>
        <w:pStyle w:val="ListParagraph"/>
        <w:numPr>
          <w:ilvl w:val="0"/>
          <w:numId w:val="2"/>
        </w:numPr>
        <w:spacing w:after="100" w:line="276"/>
      </w:pPr>
      <w:r>
        <w:rPr>
          <w:sz w:val="22"/>
          <w:szCs w:val="22"/>
        </w:rPr>
        <w:t xml:space="preserve">Zero-credit and cross-listed courses exist (e.g. a 0-credit programming assessment) and are represented as printed.</w:t>
      </w:r>
    </w:p>
    <w:p>
      <w:pPr>
        <w:pStyle w:val="ListParagraph"/>
        <w:numPr>
          <w:ilvl w:val="0"/>
          <w:numId w:val="2"/>
        </w:numPr>
        <w:spacing w:after="100" w:line="276"/>
      </w:pPr>
      <w:r>
        <w:rPr>
          <w:sz w:val="22"/>
          <w:szCs w:val="22"/>
        </w:rPr>
        <w:t xml:space="preserve">Coverage is Commerce-first. Conclusions about other faculties must wait for their extractors; their handbook structures differ (Science and Humanities in particular define majors plus composition rules rather than per-specialisation tables).</w:t>
      </w:r>
    </w:p>
    <w:p>
      <w:pPr>
        <w:pStyle w:val="Heading1"/>
        <w:spacing w:after="200" w:before="360"/>
      </w:pPr>
      <w:r>
        <w:rPr>
          <w:b/>
          <w:bCs/>
          <w:color w:val="1F4E79"/>
          <w:sz w:val="30"/>
          <w:szCs w:val="30"/>
        </w:rPr>
        <w:t xml:space="preserve">9. Worked examples</w:t>
      </w:r>
    </w:p>
    <w:p>
      <w:pPr>
        <w:spacing w:after="160" w:line="276"/>
      </w:pPr>
      <w:r>
        <w:rPr>
          <w:b/>
          <w:bCs/>
          <w:sz w:val="22"/>
          <w:szCs w:val="22"/>
        </w:rPr>
        <w:t xml:space="preserve">“How did the credit load of BCom Actuarial Science change?” </w:t>
      </w:r>
      <w:r>
        <w:rPr>
          <w:sz w:val="22"/>
          <w:szCs w:val="22"/>
        </w:rPr>
        <w:t xml:space="preserve">Open ideal_student_summary.csv, filter plan_code = CB019BUS01, study_year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shd w:fill="1F4E79" w:val="clear"/>
            <w:tcMar>
              <w:top w:type="dxa" w:w="60"/>
              <w:left w:type="dxa" w:w="100"/>
              <w:bottom w:type="dxa" w:w="60"/>
              <w:right w:type="dxa" w:w="100"/>
            </w:tcMar>
          </w:tcPr>
          <w:p>
            <w:pPr>
              <w:spacing w:after="0" w:line="252"/>
            </w:pPr>
            <w:r>
              <w:rPr>
                <w:b/>
                <w:bCs/>
                <w:color w:val="FFFFFF"/>
                <w:sz w:val="19"/>
                <w:szCs w:val="19"/>
              </w:rPr>
              <w:t xml:space="preserve">Edition</w:t>
            </w:r>
          </w:p>
        </w:tc>
        <w:tc>
          <w:tcPr>
            <w:tcW w:type="dxa" w:w="1805"/>
            <w:shd w:fill="1F4E79" w:val="clear"/>
            <w:tcMar>
              <w:top w:type="dxa" w:w="60"/>
              <w:left w:type="dxa" w:w="100"/>
              <w:bottom w:type="dxa" w:w="60"/>
              <w:right w:type="dxa" w:w="100"/>
            </w:tcMar>
          </w:tcPr>
          <w:p>
            <w:pPr>
              <w:spacing w:after="0" w:line="252"/>
            </w:pPr>
            <w:r>
              <w:rPr>
                <w:b/>
                <w:bCs/>
                <w:color w:val="FFFFFF"/>
                <w:sz w:val="19"/>
                <w:szCs w:val="19"/>
              </w:rPr>
              <w:t xml:space="preserve">Ideal credits</w:t>
            </w:r>
          </w:p>
        </w:tc>
        <w:tc>
          <w:tcPr>
            <w:tcW w:type="dxa" w:w="1805"/>
            <w:shd w:fill="1F4E79" w:val="clear"/>
            <w:tcMar>
              <w:top w:type="dxa" w:w="60"/>
              <w:left w:type="dxa" w:w="100"/>
              <w:bottom w:type="dxa" w:w="60"/>
              <w:right w:type="dxa" w:w="100"/>
            </w:tcMar>
          </w:tcPr>
          <w:p>
            <w:pPr>
              <w:spacing w:after="0" w:line="252"/>
            </w:pPr>
            <w:r>
              <w:rPr>
                <w:b/>
                <w:bCs/>
                <w:color w:val="FFFFFF"/>
                <w:sz w:val="19"/>
                <w:szCs w:val="19"/>
              </w:rPr>
              <w:t xml:space="preserve">Stated total</w:t>
            </w:r>
          </w:p>
        </w:tc>
        <w:tc>
          <w:tcPr>
            <w:tcW w:type="dxa" w:w="1805"/>
            <w:shd w:fill="1F4E79" w:val="clear"/>
            <w:tcMar>
              <w:top w:type="dxa" w:w="60"/>
              <w:left w:type="dxa" w:w="100"/>
              <w:bottom w:type="dxa" w:w="60"/>
              <w:right w:type="dxa" w:w="100"/>
            </w:tcMar>
          </w:tcPr>
          <w:p>
            <w:pPr>
              <w:spacing w:after="0" w:line="252"/>
            </w:pPr>
            <w:r>
              <w:rPr>
                <w:b/>
                <w:bCs/>
                <w:color w:val="FFFFFF"/>
                <w:sz w:val="19"/>
                <w:szCs w:val="19"/>
              </w:rPr>
              <w:t xml:space="preserve">Computed fee</w:t>
            </w:r>
          </w:p>
        </w:tc>
        <w:tc>
          <w:tcPr>
            <w:tcW w:type="dxa" w:w="1805"/>
            <w:shd w:fill="1F4E79" w:val="clear"/>
            <w:tcMar>
              <w:top w:type="dxa" w:w="60"/>
              <w:left w:type="dxa" w:w="100"/>
              <w:bottom w:type="dxa" w:w="60"/>
              <w:right w:type="dxa" w:w="100"/>
            </w:tcMar>
          </w:tcPr>
          <w:p>
            <w:pPr>
              <w:spacing w:after="0" w:line="252"/>
            </w:pPr>
            <w:r>
              <w:rPr>
                <w:b/>
                <w:bCs/>
                <w:color w:val="FFFFFF"/>
                <w:sz w:val="19"/>
                <w:szCs w:val="19"/>
              </w:rPr>
              <w:t xml:space="preserve">Published fee</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2021</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R85,250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R85,250</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2022</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R88,910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R88,910</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2023</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R93,850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R93,850</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2024</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R98,140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R98,140</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2025</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R103,890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R103,890</w:t>
            </w:r>
          </w:p>
        </w:tc>
      </w:tr>
      <w:tr>
        <w:tc>
          <w:tcPr>
            <w:tcW w:type="dxa" w:w="1805"/>
            <w:tcMar>
              <w:top w:type="dxa" w:w="60"/>
              <w:left w:type="dxa" w:w="100"/>
              <w:bottom w:type="dxa" w:w="60"/>
              <w:right w:type="dxa" w:w="100"/>
            </w:tcMar>
          </w:tcPr>
          <w:p>
            <w:pPr>
              <w:spacing w:after="0" w:line="252"/>
            </w:pPr>
            <w:r>
              <w:rPr>
                <w:b w:val="false"/>
                <w:bCs w:val="false"/>
                <w:color w:val="000000"/>
                <w:sz w:val="19"/>
                <w:szCs w:val="19"/>
              </w:rPr>
              <w:t xml:space="preserve">2026</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180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R110,160</w:t>
            </w:r>
          </w:p>
        </w:tc>
        <w:tc>
          <w:tcPr>
            <w:tcW w:type="dxa" w:w="1805"/>
            <w:tcMar>
              <w:top w:type="dxa" w:w="60"/>
              <w:left w:type="dxa" w:w="100"/>
              <w:bottom w:type="dxa" w:w="60"/>
              <w:right w:type="dxa" w:w="100"/>
            </w:tcMar>
          </w:tcPr>
          <w:p>
            <w:pPr>
              <w:spacing w:after="0" w:line="252"/>
            </w:pPr>
            <w:r>
              <w:rPr>
                <w:b w:val="false"/>
                <w:bCs w:val="false"/>
                <w:color w:val="000000"/>
                <w:sz w:val="19"/>
                <w:szCs w:val="19"/>
              </w:rPr>
              <w:t xml:space="preserve">R110,580</w:t>
            </w:r>
          </w:p>
        </w:tc>
      </w:tr>
    </w:tbl>
    <w:p>
      <w:pPr>
        <w:spacing w:after="160"/>
      </w:pPr>
    </w:p>
    <w:p>
      <w:pPr>
        <w:spacing w:after="160" w:line="276"/>
      </w:pPr>
      <w:r>
        <w:rPr>
          <w:sz w:val="22"/>
          <w:szCs w:val="22"/>
        </w:rPr>
        <w:t xml:space="preserve">The credit re-think is visible at the 2024 edition (−5 credits), and the computed cost matches the published fee to the rand in 2021–2025 (−0.4% in 2026).</w:t>
      </w:r>
    </w:p>
    <w:p>
      <w:pPr>
        <w:spacing w:after="160" w:line="276"/>
      </w:pPr>
      <w:r>
        <w:rPr>
          <w:b/>
          <w:bCs/>
          <w:sz w:val="22"/>
          <w:szCs w:val="22"/>
        </w:rPr>
        <w:t xml:space="preserve">“What exactly does that student take in 2024?” </w:t>
      </w:r>
      <w:r>
        <w:rPr>
          <w:sz w:val="22"/>
          <w:szCs w:val="22"/>
        </w:rPr>
        <w:t xml:space="preserve">Open main_dataset.csv, filter year = 2024, plan_code = CB019BUS01, study_year = 1, ideal_student = True — the course list, each course's credits and fee, and the page each row came from.</w:t>
      </w:r>
    </w:p>
    <w:p>
      <w:pPr>
        <w:spacing w:after="160" w:line="276"/>
      </w:pPr>
      <w:r>
        <w:rPr>
          <w:b/>
          <w:bCs/>
          <w:sz w:val="22"/>
          <w:szCs w:val="22"/>
        </w:rPr>
        <w:t xml:space="preserve">“Which programmes' handbook entries need editorial attention?” </w:t>
      </w:r>
      <w:r>
        <w:rPr>
          <w:sz w:val="22"/>
          <w:szCs w:val="22"/>
        </w:rPr>
        <w:t xml:space="preserve">Open validation/credit_check_&lt;year&gt;.csv and filter status = MISMATCH.</w:t>
      </w:r>
    </w:p>
    <w:p>
      <w:pPr>
        <w:pStyle w:val="Heading1"/>
        <w:spacing w:after="200" w:before="360"/>
      </w:pPr>
      <w:r>
        <w:rPr>
          <w:b/>
          <w:bCs/>
          <w:color w:val="1F4E79"/>
          <w:sz w:val="30"/>
          <w:szCs w:val="30"/>
        </w:rPr>
        <w:t xml:space="preserve">10. Raising corrections</w:t>
      </w:r>
    </w:p>
    <w:p>
      <w:pPr>
        <w:spacing w:after="160" w:line="276"/>
      </w:pPr>
      <w:r>
        <w:rPr>
          <w:sz w:val="22"/>
          <w:szCs w:val="22"/>
        </w:rPr>
        <w:t xml:space="preserve">If a reviewer finds a value that misrepresents the handbook:</w:t>
      </w:r>
    </w:p>
    <w:p>
      <w:pPr>
        <w:pStyle w:val="ListParagraph"/>
        <w:numPr>
          <w:ilvl w:val="0"/>
          <w:numId w:val="2"/>
        </w:numPr>
        <w:spacing w:after="100" w:line="276"/>
      </w:pPr>
      <w:r>
        <w:rPr>
          <w:sz w:val="22"/>
          <w:szCs w:val="22"/>
        </w:rPr>
        <w:t xml:space="preserve">Check the row's source_page against the PDF in faculty-handbooks-undergraduate/.</w:t>
      </w:r>
    </w:p>
    <w:p>
      <w:pPr>
        <w:pStyle w:val="ListParagraph"/>
        <w:numPr>
          <w:ilvl w:val="0"/>
          <w:numId w:val="2"/>
        </w:numPr>
        <w:spacing w:after="100" w:line="276"/>
      </w:pPr>
      <w:r>
        <w:rPr>
          <w:sz w:val="22"/>
          <w:szCs w:val="22"/>
        </w:rPr>
        <w:t xml:space="preserve">If the software misread the page (the PDF prints the right value), the parser or its overrides file is fixed and the year re-run — other years are provably unaffected.</w:t>
      </w:r>
    </w:p>
    <w:p>
      <w:pPr>
        <w:pStyle w:val="ListParagraph"/>
        <w:numPr>
          <w:ilvl w:val="0"/>
          <w:numId w:val="2"/>
        </w:numPr>
        <w:spacing w:after="100" w:line="276"/>
      </w:pPr>
      <w:r>
        <w:rPr>
          <w:sz w:val="22"/>
          <w:szCs w:val="22"/>
        </w:rPr>
        <w:t xml:space="preserve">If the handbook itself is wrong or ambiguous, the decision is entered in the adjudication register (resolutions/com.csv) with its rationale and page evidence, and the final layer re-run. The as-printed record is never altered; the final tables carry the resolution with its register reference, so every correction is visible, attributable, and reversible.</w:t>
      </w:r>
    </w:p>
    <w:p>
      <w:pPr>
        <w:spacing w:after="160" w:line="276"/>
      </w:pPr>
      <w:r>
        <w:rPr>
          <w:b/>
          <w:bCs/>
          <w:sz w:val="22"/>
          <w:szCs w:val="22"/>
        </w:rPr>
        <w:t xml:space="preserve">Forty-four provisional adjudications </w:t>
      </w:r>
      <w:r>
        <w:rPr>
          <w:sz w:val="22"/>
          <w:szCs w:val="22"/>
        </w:rPr>
        <w:t xml:space="preserve">(marked “provisional (Claude), pending review”) currently await confirmation — reviewing them is the most valuable contribution a reader of this manual can make. They are listed in resolutions/com.csv with their reasoning spelled out.</w:t>
      </w:r>
    </w:p>
    <w:p>
      <w:pPr>
        <w:pStyle w:val="Heading1"/>
        <w:spacing w:after="200" w:before="360"/>
      </w:pPr>
      <w:r>
        <w:rPr>
          <w:b/>
          <w:bCs/>
          <w:color w:val="1F4E79"/>
          <w:sz w:val="30"/>
          <w:szCs w:val="30"/>
        </w:rP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shd w:fill="1F4E79" w:val="clear"/>
            <w:tcMar>
              <w:top w:type="dxa" w:w="60"/>
              <w:left w:type="dxa" w:w="100"/>
              <w:bottom w:type="dxa" w:w="60"/>
              <w:right w:type="dxa" w:w="100"/>
            </w:tcMar>
          </w:tcPr>
          <w:p>
            <w:pPr>
              <w:spacing w:after="0" w:line="252"/>
            </w:pPr>
            <w:r>
              <w:rPr>
                <w:b/>
                <w:bCs/>
                <w:color w:val="FFFFFF"/>
                <w:sz w:val="19"/>
                <w:szCs w:val="19"/>
              </w:rPr>
              <w:t xml:space="preserve">Term</w:t>
            </w:r>
          </w:p>
        </w:tc>
        <w:tc>
          <w:tcPr>
            <w:tcW w:type="dxa" w:w="5867"/>
            <w:shd w:fill="1F4E79"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Specialisation / plan code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10-character code identifying a full degree programme (section 4)</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Variant</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regular / augmented / extended presentation of a specialisation</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NQF credit</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10 notional learning hours; 18 = standard semester course</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NQF level</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qualification-ladder level (5–8 for undergraduate work)</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Ideal student</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deterministic course selection defined in section 5</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Stated total</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“Total credits per year” figure printed in the handbook</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Published fee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“typical annual fee” printed in the fees book</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Elective slot</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a curriculum line reserving credits without naming a course</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Provenance</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the year + source_page columns tracing a row to its PDF page</w:t>
            </w:r>
          </w:p>
        </w:tc>
      </w:tr>
      <w:tr>
        <w:tc>
          <w:tcPr>
            <w:tcW w:type="dxa" w:w="3159"/>
            <w:tcMar>
              <w:top w:type="dxa" w:w="60"/>
              <w:left w:type="dxa" w:w="100"/>
              <w:bottom w:type="dxa" w:w="60"/>
              <w:right w:type="dxa" w:w="100"/>
            </w:tcMar>
          </w:tcPr>
          <w:p>
            <w:pPr>
              <w:spacing w:after="0" w:line="252"/>
            </w:pPr>
            <w:r>
              <w:rPr>
                <w:b w:val="false"/>
                <w:bCs w:val="false"/>
                <w:color w:val="000000"/>
                <w:sz w:val="19"/>
                <w:szCs w:val="19"/>
              </w:rPr>
              <w:t xml:space="preserve">Overrides</w:t>
            </w:r>
          </w:p>
        </w:tc>
        <w:tc>
          <w:tcPr>
            <w:tcW w:type="dxa" w:w="5867"/>
            <w:tcMar>
              <w:top w:type="dxa" w:w="60"/>
              <w:left w:type="dxa" w:w="100"/>
              <w:bottom w:type="dxa" w:w="60"/>
              <w:right w:type="dxa" w:w="100"/>
            </w:tcMar>
          </w:tcPr>
          <w:p>
            <w:pPr>
              <w:spacing w:after="0" w:line="252"/>
            </w:pPr>
            <w:r>
              <w:rPr>
                <w:b w:val="false"/>
                <w:bCs w:val="false"/>
                <w:color w:val="000000"/>
                <w:sz w:val="19"/>
                <w:szCs w:val="19"/>
              </w:rPr>
              <w:t xml:space="preserve">documented, reviewable corrections applied at build time</w:t>
            </w:r>
          </w:p>
        </w:tc>
      </w:tr>
    </w:tbl>
    <w:p>
      <w:pPr>
        <w:spacing w:after="160"/>
      </w:pPr>
    </w:p>
    <w:p>
      <w:pPr>
        <w:pStyle w:val="Heading1"/>
        <w:spacing w:after="200" w:before="360"/>
      </w:pPr>
      <w:r>
        <w:rPr>
          <w:b/>
          <w:bCs/>
          <w:color w:val="1F4E79"/>
          <w:sz w:val="30"/>
          <w:szCs w:val="30"/>
        </w:rPr>
        <w:t xml:space="preserve">12. File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shd w:fill="1F4E79" w:val="clear"/>
            <w:tcMar>
              <w:top w:type="dxa" w:w="60"/>
              <w:left w:type="dxa" w:w="100"/>
              <w:bottom w:type="dxa" w:w="60"/>
              <w:right w:type="dxa" w:w="100"/>
            </w:tcMar>
          </w:tcPr>
          <w:p>
            <w:pPr>
              <w:spacing w:after="0" w:line="252"/>
            </w:pPr>
            <w:r>
              <w:rPr>
                <w:b/>
                <w:bCs/>
                <w:color w:val="FFFFFF"/>
                <w:sz w:val="19"/>
                <w:szCs w:val="19"/>
              </w:rPr>
              <w:t xml:space="preserve">Location</w:t>
            </w:r>
          </w:p>
        </w:tc>
        <w:tc>
          <w:tcPr>
            <w:tcW w:type="dxa" w:w="4964"/>
            <w:shd w:fill="1F4E79" w:val="clear"/>
            <w:tcMar>
              <w:top w:type="dxa" w:w="60"/>
              <w:left w:type="dxa" w:w="100"/>
              <w:bottom w:type="dxa" w:w="60"/>
              <w:right w:type="dxa" w:w="100"/>
            </w:tcMar>
          </w:tcPr>
          <w:p>
            <w:pPr>
              <w:spacing w:after="0" w:line="252"/>
            </w:pPr>
            <w:r>
              <w:rPr>
                <w:b/>
                <w:bCs/>
                <w:color w:val="FFFFFF"/>
                <w:sz w:val="19"/>
                <w:szCs w:val="19"/>
              </w:rPr>
              <w:t xml:space="preserve">Contents</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faculty-handbooks-undergraduate/</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source PDFs, read-only</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data/processed/main_dataset_final.csv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final-clean dataset — use this for analysis (section 6.4)</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data/processed/ideal_student_summary_final.csv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final per specialisation-year roll-up (section 6.5)</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data/processed/main_dataset.csv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as-printed dataset (section 6.1) — audit/replication</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data/processed/*.csv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as-printed roll-up and supporting tables (sections 6.2-6.3)</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resolutions/com.csv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the adjudication register with rationales (section 10)</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validation/*.csv</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exception reports, resolution logs, pending adjudications (section 7)</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docs/FINAL-DATASET-METHOD.md</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how the final layer resolves discrepancies</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docs/REPLICATION.md</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technical process log and hazard catalogue</w:t>
            </w:r>
          </w:p>
        </w:tc>
      </w:tr>
      <w:tr>
        <w:tc>
          <w:tcPr>
            <w:tcW w:type="dxa" w:w="4062"/>
            <w:tcMar>
              <w:top w:type="dxa" w:w="60"/>
              <w:left w:type="dxa" w:w="100"/>
              <w:bottom w:type="dxa" w:w="60"/>
              <w:right w:type="dxa" w:w="100"/>
            </w:tcMar>
          </w:tcPr>
          <w:p>
            <w:pPr>
              <w:spacing w:after="0" w:line="252"/>
            </w:pPr>
            <w:r>
              <w:rPr>
                <w:b w:val="false"/>
                <w:bCs w:val="false"/>
                <w:color w:val="000000"/>
                <w:sz w:val="19"/>
                <w:szCs w:val="19"/>
              </w:rPr>
              <w:t xml:space="preserve">docs/commerce-review-and-proposal.md</w:t>
            </w:r>
          </w:p>
        </w:tc>
        <w:tc>
          <w:tcPr>
            <w:tcW w:type="dxa" w:w="4964"/>
            <w:tcMar>
              <w:top w:type="dxa" w:w="60"/>
              <w:left w:type="dxa" w:w="100"/>
              <w:bottom w:type="dxa" w:w="60"/>
              <w:right w:type="dxa" w:w="100"/>
            </w:tcMar>
          </w:tcPr>
          <w:p>
            <w:pPr>
              <w:spacing w:after="0" w:line="252"/>
            </w:pPr>
            <w:r>
              <w:rPr>
                <w:b w:val="false"/>
                <w:bCs w:val="false"/>
                <w:color w:val="000000"/>
                <w:sz w:val="19"/>
                <w:szCs w:val="19"/>
              </w:rPr>
              <w:t xml:space="preserve">original design document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2026-08-06T10:29:55.071Z</dcterms:created>
  <dcterms:modified xsi:type="dcterms:W3CDTF">2026-08-06T10:29:55.073Z</dcterms:modified>
</cp:coreProperties>
</file>

<file path=docProps/custom.xml><?xml version="1.0" encoding="utf-8"?>
<Properties xmlns="http://schemas.openxmlformats.org/officeDocument/2006/custom-properties" xmlns:vt="http://schemas.openxmlformats.org/officeDocument/2006/docPropsVTypes"/>
</file>