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Hóa Đơn Bán Lẻ</w:t>
        <w:br/>
      </w:r>
    </w:p>
    <w:tbl>
      <w:tblPr>
        <w:tblW w:w="100" w:type="pct"/>
        <w:tblW w:w="80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Đơn giá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Tổng cộng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Khuyến mãi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  <w:r>
              <w:rPr>
                <w:b w:val="on"/>
              </w:rPr>
            </w:r>
          </w:p>
        </w:tc>
      </w:tr>
      <w:tr>
        <w:tc>
          <w:p>
            <w:r>
              <w:t>Cà phê đen</w:t>
            </w:r>
          </w:p>
        </w:tc>
        <w:tc>
          <w:p>
            <w:r>
              <w:t>25000.0</w:t>
            </w:r>
          </w:p>
        </w:tc>
        <w:tc>
          <w:p>
            <w:r>
              <w:t>4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100.000 VND</w:t>
            </w:r>
          </w:p>
        </w:tc>
        <w:tc>
          <w:p>
            <w:r>
              <w:t>10.000 VND</w:t>
            </w:r>
          </w:p>
        </w:tc>
        <w:tc>
          <w:p>
            <w:r>
              <w:t>90.000 VND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2024-04-13T02:47:16Z</dcterms:created>
  <dc:creator>Apache POI</dc:creator>
</cp:coreProperties>
</file>