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Ratio Calculation Proofs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HCL Technologies vs Wipro | FY2025 Detailed Calculations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K P Manoj | 2025MB26539 | FMA EC1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Data Source: HCL Tech-1.xlsx and Wipro-1.xlsx (Moneycontrol Consolidated)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A. Liquidity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1. Current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Total Current Assets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62,109 / 28,039 = 2.22x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77,777.5 / 28,625.3 = 2.72x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Both companies maintain healthy liquidity (&gt;2x). Wipro has a marginally higher ratio due to its large current investment portfolio (Rs 41,147 Cr vs HCL's Rs 7,473 Cr).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2. Quick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(Total Current Assets - Inventories)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(62,109 - 133) / 28,039 = 2.21x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(77,777.5 - 69.4) / 28,625.3 = 2.71x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Quick ratio is nearly identical to the current ratio for both companies because IT services firms hold negligible inventory (HCL: Rs 133 Cr, Wipro: Rs 69 Cr).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3. Absolute Liquid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(Cash + Current Investments) / Total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(21,289 + 7,473) / 28,039 = 1.03x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(12,197.4 + 41,147.4) / 28,625.3 = 1.86x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Wipro's absolute liquid ratio is significantly higher (1.86x vs 1.03x) due to its massive current investment portfolio. Both are well above the standard benchmark of 0.5x.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B. Profitability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4. Gross Profit Ratio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(Revenue - COGS) / Revenue x 100, where COGS = Purchase + Operating Expenses + Inventory Changes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(1,17,055 - 17,190) / 1,17,055 x 100 = 85.31%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(89,088.4 - 12,649.0) / 89,088.4 x 100 = 85.80%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High GP ratios (&gt;85%) are normal for IT services where direct material costs are minimal. The primary cost driver is employee expenses, which is classified separately.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5. Operating Profit Ratio (%) - EBIT Margin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(PBT + Finance Costs) / Revenue x 100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(23,261 + 644) / 1,17,055 x 100 = 20.42%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(17,470.3 + 1,477) / 89,088.4 x 100 = 21.27%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HCL's EBIT margin (20.42%) marginally trails Wipro (21.26%) in FY2025. However, HCL has been more consistent over 5 years with less volatility in operating margins.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6. Net Profit Ratio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PAT / Revenue x 100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17,399 / 1,17,055 x 100 = 14.86%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13,192.6 / 89,088.4 x 100 = 14.81%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Both companies have comparable NPM in FY2025 (~14.8%), but HCL has maintained this level more consistently while Wipro dipped to 12.4% in FY2024 before recovering.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7. Return on Equity (ROE)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PAT / Average Shareholders' Funds x 100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17,399 / Avg(69,655, 68,263) x 100 = 17,399 / 68,959 x 100 = 25.23%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13,192.6 / Avg(82,364.1, 74,533) x 100 = 13,192.6 / 78,448.6 x 100 = 16.82%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HCL's ROE (25.24%) is significantly higher than Wipro's (16.82%), indicating HCL generates substantially more profit per rupee of shareholders' equity. Average is used to smooth the effect of equity changes during the year.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8. Return on Capital Employed (ROCE) (%)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EBIT / Capital Employed x 100, where CE = Total Assets - Current Liabilities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23,905 / (1,05,544 - 28,039) x 100 = 23,905 / 77,505 x 100 = 30.84%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18,947.3 / (1,28,185.2 - 28,625.3) x 100 = 18,947.3 / 99,559.9 x 100 = 19.03%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HCL's ROCE (30.84%) far exceeds Wipro's (19.01%), confirming that HCL utilizes its total long-term capital more efficiently to generate operating profits.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9. Earnings per Share (EPS)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PAT After Minority Interest / Number of Shares. Shares = Equity Capital / Face Value (Rs 2).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17,390 / (543/2) = 17,390 / 271.5 = Rs 64.05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13,135.4 / (2,094.4/2) = 13,135.4 / 1,047.2 = Rs 12.54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Direct EPS comparison is limited since Wipro had a bonus issue in FY2025 doubling the share count. Over 5 years, HCL's EPS grew 56% (41.07 to 64.05) vs Wipro's per-share decline due to dilution.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C. Solvency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10. Debt-Equity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Total Debt / Total Shareholders' Funds, where Total Debt = LT + ST Borrowings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(70 + 2,221) / 69,655 = 2,291 / 69,655 = 0.0329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(6,395.4 + 9,786.3) / 82,364.1 = 16,181.7 / 82,364.1 = 0.1965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 is nearly debt-free (D/E 0.03), while Wipro carries meaningful debt (D/E 0.20) primarily from acquisition financing. Lower leverage = lower financial risk.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11. Interest Coverage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EBIT / Finance Costs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23,905 / 644 = 37.12x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18,947.3 / 1,477 = 12.83x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HCL's interest coverage (37.12x) is much higher than Wipro's (12.82x). Both are comfortable, but HCL has virtually zero debt service risk. Note: HCL's finance costs include lease liabilities.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D. Turnover Ratios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12. Debtors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Revenue / Average Trade Receivables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1,17,055 / Avg(25,842, 25,521) = 1,17,055 / 25,681.5 = 4.56x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89,088.4 / Avg(11,774.5, 17,382.2) = 89,088.4 / 14,578.4 = 6.11x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Wipro collects receivables faster (6.11x vs 4.56x), but this partly reflects Wipro's receivables normalizing from a FY2024 spike.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13. Average Collection Period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Debtors Turnover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365 / 4.56 = 80.1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365 / 6.11 = 59.7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 takes ~80 days to collect from clients vs Wipro's ~60 days. Both are within normal IT services range (60-90 days).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14. Creditors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(Purchase + Operating Exp + Other Exp) / Average Trade Payables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(1,976 + 15,162 + 7,606) / Avg(13,234, 5,853) = 24,744 / 9,543.5 = 2.59x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(296.7 + 12,332.8 + 5,070.5) / Avg(5,866.7, 5,765.5) = 17,700.0 / 5,816.1 = 3.04x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Lower creditors turnover for HCL (2.59x vs 3.02x) means HCL takes longer to pay suppliers, which is favorable for cash management but may reflect the FY2025 payables spike.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15. Average Payment Period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Creditors Turnover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365 / 2.59 = 140.8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365 / 3.04 = 119.9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 takes ~141 days vs Wipro's ~121 days to pay creditors.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16. Inventory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COGS / Average Inventories, where COGS = Purchase + Operating Exp + Inventory Changes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17,190 / Avg(133, 185) = 17,190 / 159.0 = 108.11x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12,649.0 / Avg(69.4, 90.7) = 12,649.0 / 80.1 = 158.01x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Extremely high turnover for both companies (100x+) because IT services firms hold minimal inventory. This ratio is less meaningful for the services sector.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17. Inventory Holding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365 / Inventory Turnover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365 / 108.11 = 3.4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365 / 158.01 = 2.3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Near-zero holding days confirm the asset-light IT services model.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18. Fixed Asset Turnover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Revenue / Average Fixed Assets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1,17,055 / Avg(14,475, 15,039) = 1,17,055 / 14,757.0 = 7.93x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89,088.4 / Avg(13,348.5, 13,206.5) = 89,088.4 / 13,277.5 = 6.71x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 generates Rs 7.93 of revenue per Rs 1 of fixed assets vs Wipro's Rs 6.71. Higher asset turnover reflects HCL's more efficient use of physical infrastructure.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E. Valuation Ratio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19. P/E Ratio</w:t>
      </w:r>
    </w:p>
    <w:p>
      <w:pPr>
        <w:spacing w:after="40" w:line="240" w:lineRule="auto"/>
      </w:pPr>
      <w:r>
        <w:rPr>
          <w:rFonts w:ascii="Times New Roman" w:hAnsi="Times New Roman"/>
          <w:b w:val="0"/>
          <w:i/>
          <w:sz w:val="20"/>
        </w:rPr>
        <w:t>Formula: Market Price per Share / EPS. Market Price derived from Price/BV x Book Value per Share.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 FY2025: (6.2 x 256.56) / 64.05 = 1590.67 / 64.05 = 24.83x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 FY2025: (3.33 x 78.65) / 12.54 = 261.90 / 12.54 = 20.88x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Interpretation: HCL commands a higher P/E (24.8x vs 20.9x), reflecting the market's willingness to pay a premium for HCL's consistent growth and superior return profile.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pStyle w:val="Heading2"/>
        <w:spacing w:before="120" w:after="60"/>
      </w:pPr>
      <w:r>
        <w:rPr>
          <w:rFonts w:ascii="Times New Roman" w:hAnsi="Times New Roman"/>
          <w:color w:val="1F4E79"/>
        </w:rPr>
        <w:t>F. Advanced Analysis Proofs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DuPont Analysis (FY2025)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HCL: NPM = 17,399/1,17,055 = 0.1486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Asset Turnover = 1,17,055/1,05,544 = 1.1091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Equity Multiplier = 1,05,544/69,655 = 1.5152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ROE = 0.1486 x 1.1091 x 1.5152 x 100 = 24.98%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Wipro: NPM = 13,192.6/89,088.4 = 0.1481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Asset Turnover = 89,088.4/1,28,185.2 = 0.6950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Equity Multiplier = 1,28,185.2/82,364.1 = 1.5563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ROE = 0.1481 x 0.6950 x 1.5563 x 100 = 16.02%</w:t>
      </w:r>
    </w:p>
    <w:p>
      <w:pPr>
        <w:spacing w:after="40" w:line="240" w:lineRule="auto"/>
      </w:pPr>
      <w:r>
        <w:rPr>
          <w:rFonts w:ascii="Times New Roman" w:hAnsi="Times New Roman"/>
          <w:b/>
          <w:i w:val="0"/>
          <w:sz w:val="22"/>
        </w:rPr>
        <w:t>Cash Conversion Cycle (FY2025)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HCL: DIO = 365 x Avg(133,185)/17,190 = 3.4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DSO = 365 x Avg(25842,25521)/117055 = 80.1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DPO = 365 x Avg(13234,5853)/24,744 = 140.8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CCC = 3.4 + 80.1 - 140.8 = -57.3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>Wipro: DIO = 365 x Avg(69.4,90.7)/12,649.0 = 2.3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DSO = 365 x Avg(11774.5,17382.2)/89088.4 = 59.7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DPO = 365 x Avg(5866.7,5765.5)/17,700.0 = 119.9 days</w:t>
      </w:r>
    </w:p>
    <w:p>
      <w:pPr>
        <w:spacing w:after="40" w:line="240" w:lineRule="auto"/>
      </w:pPr>
      <w:r>
        <w:rPr>
          <w:rFonts w:ascii="Times New Roman" w:hAnsi="Times New Roman"/>
          <w:b w:val="0"/>
          <w:i w:val="0"/>
          <w:sz w:val="20"/>
        </w:rPr>
        <w:t xml:space="preserve">       CCC = 2.3 + 59.7 - 119.9 = -57.9 days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