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line="240" w:lineRule="auto"/>
        <w:jc w:val="center"/>
      </w:pPr>
      <w:r>
        <w:rPr>
          <w:rFonts w:ascii="Times New Roman" w:hAnsi="Times New Roman"/>
          <w:b/>
          <w:i w:val="0"/>
          <w:sz w:val="32"/>
        </w:rPr>
        <w:t>Financial Statement Analysis</w:t>
      </w:r>
    </w:p>
    <w:p>
      <w:pPr>
        <w:spacing w:after="40" w:line="240" w:lineRule="auto"/>
        <w:jc w:val="center"/>
      </w:pPr>
      <w:r>
        <w:rPr>
          <w:rFonts w:ascii="Times New Roman" w:hAnsi="Times New Roman"/>
          <w:b/>
          <w:i w:val="0"/>
          <w:sz w:val="28"/>
        </w:rPr>
        <w:t>HCL Technologies Ltd. vs Wipro Ltd.</w:t>
      </w:r>
    </w:p>
    <w:p>
      <w:pPr>
        <w:spacing w:after="40" w:line="240" w:lineRule="auto"/>
        <w:jc w:val="center"/>
      </w:pPr>
      <w:r>
        <w:rPr>
          <w:rFonts w:ascii="Times New Roman" w:hAnsi="Times New Roman"/>
          <w:b/>
          <w:i w:val="0"/>
          <w:sz w:val="24"/>
        </w:rPr>
        <w:t>FY2021 - FY2025 (Consolidated)</w:t>
      </w:r>
    </w:p>
    <w:p>
      <w:pPr>
        <w:spacing w:after="40" w:line="240" w:lineRule="auto"/>
      </w:pPr>
      <w:r>
        <w:rPr>
          <w:rFonts w:ascii="Times New Roman" w:hAnsi="Times New Roman"/>
          <w:b w:val="0"/>
          <w:i w:val="0"/>
          <w:sz w:val="22"/>
        </w:rPr>
      </w:r>
    </w:p>
    <w:p>
      <w:pPr>
        <w:spacing w:after="40" w:line="240" w:lineRule="auto"/>
        <w:jc w:val="center"/>
      </w:pPr>
      <w:r>
        <w:rPr>
          <w:rFonts w:ascii="Times New Roman" w:hAnsi="Times New Roman"/>
          <w:b/>
          <w:i w:val="0"/>
          <w:sz w:val="22"/>
        </w:rPr>
        <w:t>K P Manoj  |  2025MB26539  |  FMA EC1</w:t>
      </w:r>
    </w:p>
    <w:p>
      <w:pPr>
        <w:spacing w:after="40" w:line="240" w:lineRule="auto"/>
        <w:jc w:val="center"/>
      </w:pPr>
      <w:r>
        <w:rPr>
          <w:rFonts w:ascii="Times New Roman" w:hAnsi="Times New Roman"/>
          <w:b w:val="0"/>
          <w:i w:val="0"/>
          <w:sz w:val="20"/>
        </w:rPr>
        <w:t>MBA in AI for Business  |  BITS Pilani (WILP)  |  Semester 1, Jan 2026 Batch</w:t>
      </w:r>
    </w:p>
    <w:p>
      <w:pPr>
        <w:spacing w:after="40" w:line="240" w:lineRule="auto"/>
      </w:pPr>
      <w:r>
        <w:rPr>
          <w:rFonts w:ascii="Times New Roman" w:hAnsi="Times New Roman"/>
          <w:b w:val="0"/>
          <w:i w:val="0"/>
          <w:sz w:val="22"/>
        </w:rPr>
      </w:r>
    </w:p>
    <w:p>
      <w:pPr>
        <w:pStyle w:val="Heading2"/>
        <w:spacing w:before="120" w:after="60"/>
      </w:pPr>
      <w:r>
        <w:rPr>
          <w:rFonts w:ascii="Times New Roman" w:hAnsi="Times New Roman"/>
          <w:color w:val="1F4E79"/>
        </w:rPr>
        <w:t>1. Introduction</w:t>
      </w:r>
    </w:p>
    <w:p>
      <w:pPr>
        <w:spacing w:after="40" w:line="240" w:lineRule="auto"/>
      </w:pPr>
      <w:r>
        <w:rPr>
          <w:rFonts w:ascii="Times New Roman" w:hAnsi="Times New Roman"/>
          <w:b w:val="0"/>
          <w:i w:val="0"/>
          <w:sz w:val="22"/>
        </w:rPr>
        <w:t>This report presents a comprehensive financial statement analysis of HCL Technologies Ltd. (HCLTech) and Wipro Ltd. over the five-year period from FY2021 to FY2025, using consolidated financial statements sourced from Moneycontrol. The analysis evaluates liquidity, profitability, solvency, turnover efficiency, and valuation through 19 financial ratios, supplemented by DuPont decomposition and Cash Conversion Cycle analysis.</w:t>
      </w:r>
    </w:p>
    <w:p>
      <w:pPr>
        <w:spacing w:after="40" w:line="240" w:lineRule="auto"/>
      </w:pPr>
      <w:r>
        <w:rPr>
          <w:rFonts w:ascii="Times New Roman" w:hAnsi="Times New Roman"/>
          <w:b w:val="0"/>
          <w:i w:val="0"/>
          <w:sz w:val="22"/>
        </w:rPr>
        <w:t>HCL Technologies Ltd., established in 1976 and headquartered in Noida, is one of India's leading IT services companies with consolidated revenue exceeding Rs 1,17,055 crore in FY2025. HCLTech operates across 60+ countries, serving clients in banking, financial services, manufacturing, retail, life sciences, and other sectors. The company's service portfolio spans IT services, engineering and R&amp;D services, and products &amp; platforms. HCLTech employs over 227,000 professionals globally and has maintained a consistent organic growth strategy, distinguishing itself from peers who pursued aggressive inorganic expansion.</w:t>
      </w:r>
    </w:p>
    <w:p>
      <w:pPr>
        <w:spacing w:after="40" w:line="240" w:lineRule="auto"/>
      </w:pPr>
      <w:r>
        <w:rPr>
          <w:rFonts w:ascii="Times New Roman" w:hAnsi="Times New Roman"/>
          <w:b w:val="0"/>
          <w:i w:val="0"/>
          <w:sz w:val="22"/>
        </w:rPr>
        <w:t>Wipro Ltd., founded in 1945 and originally a vegetable oil manufacturer, transformed into an IT powerhouse under Azim Premji's leadership. With FY2025 consolidated revenue of approximately Rs 89,088 crore, Wipro is the fourth-largest Indian IT services company. The company serves clients across BFSI, healthcare, consumer goods, energy, and manufacturing verticals, with operations spanning 66 countries and a workforce of approximately 230,000. Notably, Wipro pursued an aggressive acquisition strategy in FY2021-22, including the landmark USD 1.45 billion acquisition of Capco (a consulting firm specializing in financial services), which significantly reshaped its revenue profile and balance sheet.</w:t>
      </w:r>
    </w:p>
    <w:p>
      <w:pPr>
        <w:spacing w:after="40" w:line="240" w:lineRule="auto"/>
      </w:pPr>
      <w:r>
        <w:rPr>
          <w:rFonts w:ascii="Times New Roman" w:hAnsi="Times New Roman"/>
          <w:b w:val="0"/>
          <w:i w:val="0"/>
          <w:sz w:val="22"/>
        </w:rPr>
        <w:t>These two companies are highly comparable: both are top-5 Indian IT services firms competing for similar clients and talent in the global technology services market. They share similar business models (primarily services-driven with minimal manufacturing), operate in the same regulatory environment, and are listed on both NSE and BSE. The comparison is particularly insightful because it contrasts HCLTech's organic growth model against Wipro's acquisition-heavy strategy, revealing how different strategic choices manifest in financial performance over time.</w:t>
      </w:r>
    </w:p>
    <w:p>
      <w:pPr>
        <w:spacing w:after="40" w:line="240" w:lineRule="auto"/>
      </w:pPr>
      <w:r>
        <w:rPr>
          <w:rFonts w:ascii="Times New Roman" w:hAnsi="Times New Roman"/>
          <w:b w:val="0"/>
          <w:i w:val="0"/>
          <w:sz w:val="22"/>
        </w:rPr>
        <w:t>The analysis period (FY2021-FY2025) is especially significant as it encompasses the COVID-19 pandemic recovery, a global surge in digital transformation spending, rising interest rates, and increasing macroeconomic uncertainty. These external factors created both tailwinds and headwinds for the IT services sector, making it an ideal period to evaluate how each company's strategy performed under varied conditions. All data has been sourced from Moneycontrol using consolidated financial statements to ensure comparability and completeness.</w:t>
      </w:r>
    </w:p>
    <w:p>
      <w:pPr>
        <w:pStyle w:val="Heading2"/>
        <w:spacing w:before="120" w:after="60"/>
      </w:pPr>
      <w:r>
        <w:rPr>
          <w:rFonts w:ascii="Times New Roman" w:hAnsi="Times New Roman"/>
          <w:color w:val="1F4E79"/>
        </w:rPr>
        <w:t>2. Intra-Company Analysis: HCL Technologies</w:t>
      </w:r>
    </w:p>
    <w:p>
      <w:pPr>
        <w:spacing w:after="40" w:line="240" w:lineRule="auto"/>
      </w:pPr>
      <w:r>
        <w:rPr>
          <w:rFonts w:ascii="Times New Roman" w:hAnsi="Times New Roman"/>
          <w:b w:val="0"/>
          <w:i w:val="0"/>
          <w:sz w:val="22"/>
        </w:rPr>
        <w:t>Revenue &amp; Growth: HCLTech's consolidated revenue grew from Rs 75,379 crore in FY2021 to Rs 1,17,055 crore in FY2025, representing a robust 5-year CAGR of 11.6%. Growth was driven by strong demand for digital transformation services, cloud migration projects, and engineering R&amp;D services. Revenue acceleration was particularly notable in FY2022 (+13.6%) as post-pandemic digitization spending surged. Growth moderated to 6.5% in FY2025, reflecting global macroeconomic caution and delayed deal closures in certain verticals.</w:t>
      </w:r>
    </w:p>
    <w:p>
      <w:pPr>
        <w:spacing w:after="40" w:line="240" w:lineRule="auto"/>
      </w:pPr>
      <w:r>
        <w:rPr>
          <w:rFonts w:ascii="Times New Roman" w:hAnsi="Times New Roman"/>
          <w:b w:val="0"/>
          <w:i w:val="0"/>
          <w:sz w:val="22"/>
        </w:rPr>
        <w:t>Profitability: The operating profit margin (EBIT/Revenue) ranged between 20.2% and 21.7% over the five-year period, showing remarkable stability despite industry-wide wage inflation and supply-side constraints. The net profit margin remained in a tight band of 14.3%-15.8%, with FY2022 registering the highest margin of 15.78% due to operational efficiencies and favorable currency movements. Return on Equity (ROE) improved significantly from 18.6% in FY2021 to 25.0% in FY2025. This improvement was driven by consistent profit growth and a controlled equity base, as HCLTech returned substantial capital through dividends (payout ratio exceeding 85% in recent years), preventing excessive equity buildup. Return on Capital Employed (ROCE) similarly rose from 23.8% to 30.8%, confirming excellent capital utilization.</w:t>
      </w:r>
    </w:p>
    <w:tbl>
      <w:tblPr>
        <w:tblStyle w:val="TableGrid"/>
        <w:tblW w:type="auto" w:w="0"/>
        <w:jc w:val="center"/>
        <w:tblLook w:firstColumn="1" w:firstRow="1" w:lastColumn="0" w:lastRow="0" w:noHBand="0" w:noVBand="1" w:val="04A0"/>
      </w:tblPr>
      <w:tblGrid>
        <w:gridCol w:w="1560"/>
        <w:gridCol w:w="1560"/>
        <w:gridCol w:w="1560"/>
        <w:gridCol w:w="1560"/>
        <w:gridCol w:w="1560"/>
        <w:gridCol w:w="1560"/>
      </w:tblGrid>
      <w:tr>
        <w:tc>
          <w:tcPr>
            <w:tcW w:type="dxa" w:w="1560"/>
            <w:shd w:fill="1F4E79"/>
          </w:tcPr>
          <w:p>
            <w:pPr>
              <w:jc w:val="center"/>
            </w:pPr>
            <w:r>
              <w:rPr>
                <w:rFonts w:ascii="Times New Roman" w:hAnsi="Times New Roman"/>
                <w:b/>
                <w:color w:val="FFFFFF"/>
                <w:sz w:val="18"/>
              </w:rPr>
              <w:t>Ratio</w:t>
            </w:r>
          </w:p>
        </w:tc>
        <w:tc>
          <w:tcPr>
            <w:tcW w:type="dxa" w:w="1560"/>
            <w:shd w:fill="1F4E79"/>
          </w:tcPr>
          <w:p>
            <w:pPr>
              <w:jc w:val="center"/>
            </w:pPr>
            <w:r>
              <w:rPr>
                <w:rFonts w:ascii="Times New Roman" w:hAnsi="Times New Roman"/>
                <w:b/>
                <w:color w:val="FFFFFF"/>
                <w:sz w:val="18"/>
              </w:rPr>
              <w:t>FY2025</w:t>
            </w:r>
          </w:p>
        </w:tc>
        <w:tc>
          <w:tcPr>
            <w:tcW w:type="dxa" w:w="1560"/>
            <w:shd w:fill="1F4E79"/>
          </w:tcPr>
          <w:p>
            <w:pPr>
              <w:jc w:val="center"/>
            </w:pPr>
            <w:r>
              <w:rPr>
                <w:rFonts w:ascii="Times New Roman" w:hAnsi="Times New Roman"/>
                <w:b/>
                <w:color w:val="FFFFFF"/>
                <w:sz w:val="18"/>
              </w:rPr>
              <w:t>FY2024</w:t>
            </w:r>
          </w:p>
        </w:tc>
        <w:tc>
          <w:tcPr>
            <w:tcW w:type="dxa" w:w="1560"/>
            <w:shd w:fill="1F4E79"/>
          </w:tcPr>
          <w:p>
            <w:pPr>
              <w:jc w:val="center"/>
            </w:pPr>
            <w:r>
              <w:rPr>
                <w:rFonts w:ascii="Times New Roman" w:hAnsi="Times New Roman"/>
                <w:b/>
                <w:color w:val="FFFFFF"/>
                <w:sz w:val="18"/>
              </w:rPr>
              <w:t>FY2023</w:t>
            </w:r>
          </w:p>
        </w:tc>
        <w:tc>
          <w:tcPr>
            <w:tcW w:type="dxa" w:w="1560"/>
            <w:shd w:fill="1F4E79"/>
          </w:tcPr>
          <w:p>
            <w:pPr>
              <w:jc w:val="center"/>
            </w:pPr>
            <w:r>
              <w:rPr>
                <w:rFonts w:ascii="Times New Roman" w:hAnsi="Times New Roman"/>
                <w:b/>
                <w:color w:val="FFFFFF"/>
                <w:sz w:val="18"/>
              </w:rPr>
              <w:t>FY2022</w:t>
            </w:r>
          </w:p>
        </w:tc>
        <w:tc>
          <w:tcPr>
            <w:tcW w:type="dxa" w:w="1560"/>
            <w:shd w:fill="1F4E79"/>
          </w:tcPr>
          <w:p>
            <w:pPr>
              <w:jc w:val="center"/>
            </w:pPr>
            <w:r>
              <w:rPr>
                <w:rFonts w:ascii="Times New Roman" w:hAnsi="Times New Roman"/>
                <w:b/>
                <w:color w:val="FFFFFF"/>
                <w:sz w:val="18"/>
              </w:rPr>
              <w:t>FY2021</w:t>
            </w:r>
          </w:p>
        </w:tc>
      </w:tr>
      <w:tr>
        <w:tc>
          <w:tcPr>
            <w:tcW w:type="dxa" w:w="1560"/>
          </w:tcPr>
          <w:p>
            <w:pPr>
              <w:jc w:val="left"/>
            </w:pPr>
            <w:r>
              <w:rPr>
                <w:rFonts w:ascii="Times New Roman" w:hAnsi="Times New Roman"/>
                <w:sz w:val="18"/>
              </w:rPr>
              <w:t>Net Profit Margin (%)</w:t>
            </w:r>
          </w:p>
        </w:tc>
        <w:tc>
          <w:tcPr>
            <w:tcW w:type="dxa" w:w="1560"/>
          </w:tcPr>
          <w:p>
            <w:pPr>
              <w:jc w:val="center"/>
            </w:pPr>
            <w:r>
              <w:rPr>
                <w:rFonts w:ascii="Times New Roman" w:hAnsi="Times New Roman"/>
                <w:sz w:val="18"/>
              </w:rPr>
              <w:t>14.86</w:t>
            </w:r>
          </w:p>
        </w:tc>
        <w:tc>
          <w:tcPr>
            <w:tcW w:type="dxa" w:w="1560"/>
          </w:tcPr>
          <w:p>
            <w:pPr>
              <w:jc w:val="center"/>
            </w:pPr>
            <w:r>
              <w:rPr>
                <w:rFonts w:ascii="Times New Roman" w:hAnsi="Times New Roman"/>
                <w:sz w:val="18"/>
              </w:rPr>
              <w:t>14.29</w:t>
            </w:r>
          </w:p>
        </w:tc>
        <w:tc>
          <w:tcPr>
            <w:tcW w:type="dxa" w:w="1560"/>
          </w:tcPr>
          <w:p>
            <w:pPr>
              <w:jc w:val="center"/>
            </w:pPr>
            <w:r>
              <w:rPr>
                <w:rFonts w:ascii="Times New Roman" w:hAnsi="Times New Roman"/>
                <w:sz w:val="18"/>
              </w:rPr>
              <w:t>14.63</w:t>
            </w:r>
          </w:p>
        </w:tc>
        <w:tc>
          <w:tcPr>
            <w:tcW w:type="dxa" w:w="1560"/>
          </w:tcPr>
          <w:p>
            <w:pPr>
              <w:jc w:val="center"/>
            </w:pPr>
            <w:r>
              <w:rPr>
                <w:rFonts w:ascii="Times New Roman" w:hAnsi="Times New Roman"/>
                <w:sz w:val="18"/>
              </w:rPr>
              <w:t>15.79</w:t>
            </w:r>
          </w:p>
        </w:tc>
        <w:tc>
          <w:tcPr>
            <w:tcW w:type="dxa" w:w="1560"/>
          </w:tcPr>
          <w:p>
            <w:pPr>
              <w:jc w:val="center"/>
            </w:pPr>
            <w:r>
              <w:rPr>
                <w:rFonts w:ascii="Times New Roman" w:hAnsi="Times New Roman"/>
                <w:sz w:val="18"/>
              </w:rPr>
              <w:t>14.82</w:t>
            </w:r>
          </w:p>
        </w:tc>
      </w:tr>
      <w:tr>
        <w:tc>
          <w:tcPr>
            <w:tcW w:type="dxa" w:w="1560"/>
          </w:tcPr>
          <w:p>
            <w:pPr>
              <w:jc w:val="left"/>
            </w:pPr>
            <w:r>
              <w:rPr>
                <w:rFonts w:ascii="Times New Roman" w:hAnsi="Times New Roman"/>
                <w:sz w:val="18"/>
              </w:rPr>
              <w:t>ROE (%)</w:t>
            </w:r>
          </w:p>
        </w:tc>
        <w:tc>
          <w:tcPr>
            <w:tcW w:type="dxa" w:w="1560"/>
          </w:tcPr>
          <w:p>
            <w:pPr>
              <w:jc w:val="center"/>
            </w:pPr>
            <w:r>
              <w:rPr>
                <w:rFonts w:ascii="Times New Roman" w:hAnsi="Times New Roman"/>
                <w:sz w:val="18"/>
              </w:rPr>
              <w:t>25.23</w:t>
            </w:r>
          </w:p>
        </w:tc>
        <w:tc>
          <w:tcPr>
            <w:tcW w:type="dxa" w:w="1560"/>
          </w:tcPr>
          <w:p>
            <w:pPr>
              <w:jc w:val="center"/>
            </w:pPr>
            <w:r>
              <w:rPr>
                <w:rFonts w:ascii="Times New Roman" w:hAnsi="Times New Roman"/>
                <w:sz w:val="18"/>
              </w:rPr>
              <w:t>23.51</w:t>
            </w:r>
          </w:p>
        </w:tc>
        <w:tc>
          <w:tcPr>
            <w:tcW w:type="dxa" w:w="1560"/>
          </w:tcPr>
          <w:p>
            <w:pPr>
              <w:jc w:val="center"/>
            </w:pPr>
            <w:r>
              <w:rPr>
                <w:rFonts w:ascii="Times New Roman" w:hAnsi="Times New Roman"/>
                <w:sz w:val="18"/>
              </w:rPr>
              <w:t>23.32</w:t>
            </w:r>
          </w:p>
        </w:tc>
        <w:tc>
          <w:tcPr>
            <w:tcW w:type="dxa" w:w="1560"/>
          </w:tcPr>
          <w:p>
            <w:pPr>
              <w:jc w:val="center"/>
            </w:pPr>
            <w:r>
              <w:rPr>
                <w:rFonts w:ascii="Times New Roman" w:hAnsi="Times New Roman"/>
                <w:sz w:val="18"/>
              </w:rPr>
              <w:t>22.20</w:t>
            </w:r>
          </w:p>
        </w:tc>
        <w:tc>
          <w:tcPr>
            <w:tcW w:type="dxa" w:w="1560"/>
          </w:tcPr>
          <w:p>
            <w:pPr>
              <w:jc w:val="center"/>
            </w:pPr>
            <w:r>
              <w:rPr>
                <w:rFonts w:ascii="Times New Roman" w:hAnsi="Times New Roman"/>
                <w:sz w:val="18"/>
              </w:rPr>
              <w:t>18.64</w:t>
            </w:r>
          </w:p>
        </w:tc>
      </w:tr>
      <w:tr>
        <w:tc>
          <w:tcPr>
            <w:tcW w:type="dxa" w:w="1560"/>
          </w:tcPr>
          <w:p>
            <w:pPr>
              <w:jc w:val="left"/>
            </w:pPr>
            <w:r>
              <w:rPr>
                <w:rFonts w:ascii="Times New Roman" w:hAnsi="Times New Roman"/>
                <w:sz w:val="18"/>
              </w:rPr>
              <w:t>ROCE (%)</w:t>
            </w:r>
          </w:p>
        </w:tc>
        <w:tc>
          <w:tcPr>
            <w:tcW w:type="dxa" w:w="1560"/>
          </w:tcPr>
          <w:p>
            <w:pPr>
              <w:jc w:val="center"/>
            </w:pPr>
            <w:r>
              <w:rPr>
                <w:rFonts w:ascii="Times New Roman" w:hAnsi="Times New Roman"/>
                <w:sz w:val="18"/>
              </w:rPr>
              <w:t>30.84</w:t>
            </w:r>
          </w:p>
        </w:tc>
        <w:tc>
          <w:tcPr>
            <w:tcW w:type="dxa" w:w="1560"/>
          </w:tcPr>
          <w:p>
            <w:pPr>
              <w:jc w:val="center"/>
            </w:pPr>
            <w:r>
              <w:rPr>
                <w:rFonts w:ascii="Times New Roman" w:hAnsi="Times New Roman"/>
                <w:sz w:val="18"/>
              </w:rPr>
              <w:t>27.93</w:t>
            </w:r>
          </w:p>
        </w:tc>
        <w:tc>
          <w:tcPr>
            <w:tcW w:type="dxa" w:w="1560"/>
          </w:tcPr>
          <w:p>
            <w:pPr>
              <w:jc w:val="center"/>
            </w:pPr>
            <w:r>
              <w:rPr>
                <w:rFonts w:ascii="Times New Roman" w:hAnsi="Times New Roman"/>
                <w:sz w:val="18"/>
              </w:rPr>
              <w:t>27.56</w:t>
            </w:r>
          </w:p>
        </w:tc>
        <w:tc>
          <w:tcPr>
            <w:tcW w:type="dxa" w:w="1560"/>
          </w:tcPr>
          <w:p>
            <w:pPr>
              <w:jc w:val="center"/>
            </w:pPr>
            <w:r>
              <w:rPr>
                <w:rFonts w:ascii="Times New Roman" w:hAnsi="Times New Roman"/>
                <w:sz w:val="18"/>
              </w:rPr>
              <w:t>24.58</w:t>
            </w:r>
          </w:p>
        </w:tc>
        <w:tc>
          <w:tcPr>
            <w:tcW w:type="dxa" w:w="1560"/>
          </w:tcPr>
          <w:p>
            <w:pPr>
              <w:jc w:val="center"/>
            </w:pPr>
            <w:r>
              <w:rPr>
                <w:rFonts w:ascii="Times New Roman" w:hAnsi="Times New Roman"/>
                <w:sz w:val="18"/>
              </w:rPr>
              <w:t>23.78</w:t>
            </w:r>
          </w:p>
        </w:tc>
      </w:tr>
      <w:tr>
        <w:tc>
          <w:tcPr>
            <w:tcW w:type="dxa" w:w="1560"/>
          </w:tcPr>
          <w:p>
            <w:pPr>
              <w:jc w:val="left"/>
            </w:pPr>
            <w:r>
              <w:rPr>
                <w:rFonts w:ascii="Times New Roman" w:hAnsi="Times New Roman"/>
                <w:sz w:val="18"/>
              </w:rPr>
              <w:t>Current Ratio</w:t>
            </w:r>
          </w:p>
        </w:tc>
        <w:tc>
          <w:tcPr>
            <w:tcW w:type="dxa" w:w="1560"/>
          </w:tcPr>
          <w:p>
            <w:pPr>
              <w:jc w:val="center"/>
            </w:pPr>
            <w:r>
              <w:rPr>
                <w:rFonts w:ascii="Times New Roman" w:hAnsi="Times New Roman"/>
                <w:sz w:val="18"/>
              </w:rPr>
              <w:t>2.22</w:t>
            </w:r>
          </w:p>
        </w:tc>
        <w:tc>
          <w:tcPr>
            <w:tcW w:type="dxa" w:w="1560"/>
          </w:tcPr>
          <w:p>
            <w:pPr>
              <w:jc w:val="center"/>
            </w:pPr>
            <w:r>
              <w:rPr>
                <w:rFonts w:ascii="Times New Roman" w:hAnsi="Times New Roman"/>
                <w:sz w:val="18"/>
              </w:rPr>
              <w:t>2.61</w:t>
            </w:r>
          </w:p>
        </w:tc>
        <w:tc>
          <w:tcPr>
            <w:tcW w:type="dxa" w:w="1560"/>
          </w:tcPr>
          <w:p>
            <w:pPr>
              <w:jc w:val="center"/>
            </w:pPr>
            <w:r>
              <w:rPr>
                <w:rFonts w:ascii="Times New Roman" w:hAnsi="Times New Roman"/>
                <w:sz w:val="18"/>
              </w:rPr>
              <w:t>2.50</w:t>
            </w:r>
          </w:p>
        </w:tc>
        <w:tc>
          <w:tcPr>
            <w:tcW w:type="dxa" w:w="1560"/>
          </w:tcPr>
          <w:p>
            <w:pPr>
              <w:jc w:val="center"/>
            </w:pPr>
            <w:r>
              <w:rPr>
                <w:rFonts w:ascii="Times New Roman" w:hAnsi="Times New Roman"/>
                <w:sz w:val="18"/>
              </w:rPr>
              <w:t>2.56</w:t>
            </w:r>
          </w:p>
        </w:tc>
        <w:tc>
          <w:tcPr>
            <w:tcW w:type="dxa" w:w="1560"/>
          </w:tcPr>
          <w:p>
            <w:pPr>
              <w:jc w:val="center"/>
            </w:pPr>
            <w:r>
              <w:rPr>
                <w:rFonts w:ascii="Times New Roman" w:hAnsi="Times New Roman"/>
                <w:sz w:val="18"/>
              </w:rPr>
              <w:t>2.48</w:t>
            </w:r>
          </w:p>
        </w:tc>
      </w:tr>
      <w:tr>
        <w:tc>
          <w:tcPr>
            <w:tcW w:type="dxa" w:w="1560"/>
          </w:tcPr>
          <w:p>
            <w:pPr>
              <w:jc w:val="left"/>
            </w:pPr>
            <w:r>
              <w:rPr>
                <w:rFonts w:ascii="Times New Roman" w:hAnsi="Times New Roman"/>
                <w:sz w:val="18"/>
              </w:rPr>
              <w:t>Debt-Equity</w:t>
            </w:r>
          </w:p>
        </w:tc>
        <w:tc>
          <w:tcPr>
            <w:tcW w:type="dxa" w:w="1560"/>
          </w:tcPr>
          <w:p>
            <w:pPr>
              <w:jc w:val="center"/>
            </w:pPr>
            <w:r>
              <w:rPr>
                <w:rFonts w:ascii="Times New Roman" w:hAnsi="Times New Roman"/>
                <w:sz w:val="18"/>
              </w:rPr>
              <w:t>0.03</w:t>
            </w:r>
          </w:p>
        </w:tc>
        <w:tc>
          <w:tcPr>
            <w:tcW w:type="dxa" w:w="1560"/>
          </w:tcPr>
          <w:p>
            <w:pPr>
              <w:jc w:val="center"/>
            </w:pPr>
            <w:r>
              <w:rPr>
                <w:rFonts w:ascii="Times New Roman" w:hAnsi="Times New Roman"/>
                <w:sz w:val="18"/>
              </w:rPr>
              <w:t>0.03</w:t>
            </w:r>
          </w:p>
        </w:tc>
        <w:tc>
          <w:tcPr>
            <w:tcW w:type="dxa" w:w="1560"/>
          </w:tcPr>
          <w:p>
            <w:pPr>
              <w:jc w:val="center"/>
            </w:pPr>
            <w:r>
              <w:rPr>
                <w:rFonts w:ascii="Times New Roman" w:hAnsi="Times New Roman"/>
                <w:sz w:val="18"/>
              </w:rPr>
              <w:t>0.03</w:t>
            </w:r>
          </w:p>
        </w:tc>
        <w:tc>
          <w:tcPr>
            <w:tcW w:type="dxa" w:w="1560"/>
          </w:tcPr>
          <w:p>
            <w:pPr>
              <w:jc w:val="center"/>
            </w:pPr>
            <w:r>
              <w:rPr>
                <w:rFonts w:ascii="Times New Roman" w:hAnsi="Times New Roman"/>
                <w:sz w:val="18"/>
              </w:rPr>
              <w:t>0.06</w:t>
            </w:r>
          </w:p>
        </w:tc>
        <w:tc>
          <w:tcPr>
            <w:tcW w:type="dxa" w:w="1560"/>
          </w:tcPr>
          <w:p>
            <w:pPr>
              <w:jc w:val="center"/>
            </w:pPr>
            <w:r>
              <w:rPr>
                <w:rFonts w:ascii="Times New Roman" w:hAnsi="Times New Roman"/>
                <w:sz w:val="18"/>
              </w:rPr>
              <w:t>0.06</w:t>
            </w:r>
          </w:p>
        </w:tc>
      </w:tr>
      <w:tr>
        <w:tc>
          <w:tcPr>
            <w:tcW w:type="dxa" w:w="1560"/>
          </w:tcPr>
          <w:p>
            <w:pPr>
              <w:jc w:val="left"/>
            </w:pPr>
            <w:r>
              <w:rPr>
                <w:rFonts w:ascii="Times New Roman" w:hAnsi="Times New Roman"/>
                <w:sz w:val="18"/>
              </w:rPr>
              <w:t>Interest Coverage</w:t>
            </w:r>
          </w:p>
        </w:tc>
        <w:tc>
          <w:tcPr>
            <w:tcW w:type="dxa" w:w="1560"/>
          </w:tcPr>
          <w:p>
            <w:pPr>
              <w:jc w:val="center"/>
            </w:pPr>
            <w:r>
              <w:rPr>
                <w:rFonts w:ascii="Times New Roman" w:hAnsi="Times New Roman"/>
                <w:sz w:val="18"/>
              </w:rPr>
              <w:t>37.12</w:t>
            </w:r>
          </w:p>
        </w:tc>
        <w:tc>
          <w:tcPr>
            <w:tcW w:type="dxa" w:w="1560"/>
          </w:tcPr>
          <w:p>
            <w:pPr>
              <w:jc w:val="center"/>
            </w:pPr>
            <w:r>
              <w:rPr>
                <w:rFonts w:ascii="Times New Roman" w:hAnsi="Times New Roman"/>
                <w:sz w:val="18"/>
              </w:rPr>
              <w:t>38.92</w:t>
            </w:r>
          </w:p>
        </w:tc>
        <w:tc>
          <w:tcPr>
            <w:tcW w:type="dxa" w:w="1560"/>
          </w:tcPr>
          <w:p>
            <w:pPr>
              <w:jc w:val="center"/>
            </w:pPr>
            <w:r>
              <w:rPr>
                <w:rFonts w:ascii="Times New Roman" w:hAnsi="Times New Roman"/>
                <w:sz w:val="18"/>
              </w:rPr>
              <w:t>56.21</w:t>
            </w:r>
          </w:p>
        </w:tc>
        <w:tc>
          <w:tcPr>
            <w:tcW w:type="dxa" w:w="1560"/>
          </w:tcPr>
          <w:p>
            <w:pPr>
              <w:jc w:val="center"/>
            </w:pPr>
            <w:r>
              <w:rPr>
                <w:rFonts w:ascii="Times New Roman" w:hAnsi="Times New Roman"/>
                <w:sz w:val="18"/>
              </w:rPr>
              <w:t>54.14</w:t>
            </w:r>
          </w:p>
        </w:tc>
        <w:tc>
          <w:tcPr>
            <w:tcW w:type="dxa" w:w="1560"/>
          </w:tcPr>
          <w:p>
            <w:pPr>
              <w:jc w:val="center"/>
            </w:pPr>
            <w:r>
              <w:rPr>
                <w:rFonts w:ascii="Times New Roman" w:hAnsi="Times New Roman"/>
                <w:sz w:val="18"/>
              </w:rPr>
              <w:t>32.02</w:t>
            </w:r>
          </w:p>
        </w:tc>
      </w:tr>
    </w:tbl>
    <w:p>
      <w:pPr>
        <w:spacing w:after="40" w:line="240" w:lineRule="auto"/>
      </w:pPr>
      <w:r>
        <w:rPr>
          <w:rFonts w:ascii="Times New Roman" w:hAnsi="Times New Roman"/>
          <w:b w:val="0"/>
          <w:i w:val="0"/>
          <w:sz w:val="22"/>
        </w:rPr>
        <w:t>Liquidity &amp; Solvency: The current ratio remained consistently above 2.2x throughout the period, peaking at 2.61x in FY2024. The quick ratio was nearly identical (difference &lt;0.01x), reflecting the asset-light nature of IT services with negligible inventory. Cash and cash equivalents grew from Rs 8,888 crore to Rs 21,289 crore (+140%), providing a substantial liquidity buffer. HCLTech maintained an exceptionally conservative capital structure with a debt-to-equity ratio between 0.03x and 0.06x. Long-term borrowings declined from Rs 3,828 crore to just Rs 70 crore by FY2025. The interest coverage ratio of 43.5x (FY2025) indicates virtually zero risk of debt service failure.</w:t>
      </w:r>
    </w:p>
    <w:p>
      <w:pPr>
        <w:spacing w:after="40" w:line="240" w:lineRule="auto"/>
      </w:pPr>
      <w:r>
        <w:rPr>
          <w:rFonts w:ascii="Times New Roman" w:hAnsi="Times New Roman"/>
          <w:b w:val="0"/>
          <w:i w:val="0"/>
          <w:sz w:val="22"/>
        </w:rPr>
        <w:t>Turnover: The debtors turnover ratio of approximately 4.6x translates to an average collection period of around 80 days, typical for the IT services industry where large enterprise contracts often have 60-90 day payment terms. Fixed asset turnover improved from 3.7x to 7.9x, reflecting the company's increasing shift toward cloud-based delivery models requiring less physical infrastructure. Earnings per share grew from Rs 41.07 to Rs 64.05, a 56% increase over the five-year period, rewarding shareholders consistently. Inventory turnover ratios are extremely high (100x+), which is characteristic of IT services companies that hold minimal physical inventory. The creditors turnover ratio showed a notable decline in FY2025 (to 2.59x from 3.78x in FY2024), driven by a spike in trade payables from Rs 5,853 crore to Rs 13,234 crore, likely reflecting reclassification or timing differences in vendor payments.</w:t>
      </w:r>
    </w:p>
    <w:p>
      <w:pPr>
        <w:pStyle w:val="Heading2"/>
        <w:spacing w:before="120" w:after="60"/>
      </w:pPr>
      <w:r>
        <w:rPr>
          <w:rFonts w:ascii="Times New Roman" w:hAnsi="Times New Roman"/>
          <w:color w:val="1F4E79"/>
        </w:rPr>
        <w:t>3. Intra-Company Analysis: Wipro</w:t>
      </w:r>
    </w:p>
    <w:p>
      <w:pPr>
        <w:spacing w:after="40" w:line="240" w:lineRule="auto"/>
      </w:pPr>
      <w:r>
        <w:rPr>
          <w:rFonts w:ascii="Times New Roman" w:hAnsi="Times New Roman"/>
          <w:b w:val="0"/>
          <w:i w:val="0"/>
          <w:sz w:val="22"/>
        </w:rPr>
        <w:t>Revenue &amp; Growth: Wipro's consolidated revenue grew from Rs 61,943 crore in FY2021 to Rs 89,088 crore in FY2025, a 5-year CAGR of 9.5%. The growth trajectory was uneven: a sharp 27.7% jump in FY2022 was largely attributed to the acquisition of Capco and other entities, adding significant inorganic revenue. Subsequent years saw growth decelerate markedly, with FY2024 revenue of Rs 89,760 crore actually declining by 0.8% in FY2025, reflecting challenges in the European market, leadership transitions, and weak discretionary spending by clients.</w:t>
      </w:r>
    </w:p>
    <w:p>
      <w:pPr>
        <w:spacing w:after="40" w:line="240" w:lineRule="auto"/>
      </w:pPr>
      <w:r>
        <w:rPr>
          <w:rFonts w:ascii="Times New Roman" w:hAnsi="Times New Roman"/>
          <w:b w:val="0"/>
          <w:i w:val="0"/>
          <w:sz w:val="22"/>
        </w:rPr>
        <w:t>Profitability: The operating profit margin compressed from 23.2% in FY2021 to 21.3% in FY2025, though the trajectory was non-linear: it dipped to 17.4% in FY2023 before recovering. The decline was driven by higher subcontracting costs, wage inflation, and integration expenses from acquisitions. The net profit margin fell from 17.52% in FY2021 to 14.80% in FY2025, reaching a low of 12.40% in FY2024. ROE declined from 19.66% to 15.94%, partly explained by a significantly expanded equity base (from Rs 54,901 crore to Rs 82,364 crore) driven by retained earnings and the Capco acquisition, which has not yet generated proportionate profit growth. ROCE similarly declined from 24.10% to 19.03%, indicating that incremental capital deployment yielded diminishing returns.</w:t>
      </w:r>
    </w:p>
    <w:tbl>
      <w:tblPr>
        <w:tblStyle w:val="TableGrid"/>
        <w:tblW w:type="auto" w:w="0"/>
        <w:jc w:val="center"/>
        <w:tblLook w:firstColumn="1" w:firstRow="1" w:lastColumn="0" w:lastRow="0" w:noHBand="0" w:noVBand="1" w:val="04A0"/>
      </w:tblPr>
      <w:tblGrid>
        <w:gridCol w:w="1560"/>
        <w:gridCol w:w="1560"/>
        <w:gridCol w:w="1560"/>
        <w:gridCol w:w="1560"/>
        <w:gridCol w:w="1560"/>
        <w:gridCol w:w="1560"/>
      </w:tblGrid>
      <w:tr>
        <w:tc>
          <w:tcPr>
            <w:tcW w:type="dxa" w:w="1560"/>
            <w:shd w:fill="1F4E79"/>
          </w:tcPr>
          <w:p>
            <w:pPr>
              <w:jc w:val="center"/>
            </w:pPr>
            <w:r>
              <w:rPr>
                <w:rFonts w:ascii="Times New Roman" w:hAnsi="Times New Roman"/>
                <w:b/>
                <w:color w:val="FFFFFF"/>
                <w:sz w:val="18"/>
              </w:rPr>
              <w:t>Ratio</w:t>
            </w:r>
          </w:p>
        </w:tc>
        <w:tc>
          <w:tcPr>
            <w:tcW w:type="dxa" w:w="1560"/>
            <w:shd w:fill="1F4E79"/>
          </w:tcPr>
          <w:p>
            <w:pPr>
              <w:jc w:val="center"/>
            </w:pPr>
            <w:r>
              <w:rPr>
                <w:rFonts w:ascii="Times New Roman" w:hAnsi="Times New Roman"/>
                <w:b/>
                <w:color w:val="FFFFFF"/>
                <w:sz w:val="18"/>
              </w:rPr>
              <w:t>FY2025</w:t>
            </w:r>
          </w:p>
        </w:tc>
        <w:tc>
          <w:tcPr>
            <w:tcW w:type="dxa" w:w="1560"/>
            <w:shd w:fill="1F4E79"/>
          </w:tcPr>
          <w:p>
            <w:pPr>
              <w:jc w:val="center"/>
            </w:pPr>
            <w:r>
              <w:rPr>
                <w:rFonts w:ascii="Times New Roman" w:hAnsi="Times New Roman"/>
                <w:b/>
                <w:color w:val="FFFFFF"/>
                <w:sz w:val="18"/>
              </w:rPr>
              <w:t>FY2024</w:t>
            </w:r>
          </w:p>
        </w:tc>
        <w:tc>
          <w:tcPr>
            <w:tcW w:type="dxa" w:w="1560"/>
            <w:shd w:fill="1F4E79"/>
          </w:tcPr>
          <w:p>
            <w:pPr>
              <w:jc w:val="center"/>
            </w:pPr>
            <w:r>
              <w:rPr>
                <w:rFonts w:ascii="Times New Roman" w:hAnsi="Times New Roman"/>
                <w:b/>
                <w:color w:val="FFFFFF"/>
                <w:sz w:val="18"/>
              </w:rPr>
              <w:t>FY2023</w:t>
            </w:r>
          </w:p>
        </w:tc>
        <w:tc>
          <w:tcPr>
            <w:tcW w:type="dxa" w:w="1560"/>
            <w:shd w:fill="1F4E79"/>
          </w:tcPr>
          <w:p>
            <w:pPr>
              <w:jc w:val="center"/>
            </w:pPr>
            <w:r>
              <w:rPr>
                <w:rFonts w:ascii="Times New Roman" w:hAnsi="Times New Roman"/>
                <w:b/>
                <w:color w:val="FFFFFF"/>
                <w:sz w:val="18"/>
              </w:rPr>
              <w:t>FY2022</w:t>
            </w:r>
          </w:p>
        </w:tc>
        <w:tc>
          <w:tcPr>
            <w:tcW w:type="dxa" w:w="1560"/>
            <w:shd w:fill="1F4E79"/>
          </w:tcPr>
          <w:p>
            <w:pPr>
              <w:jc w:val="center"/>
            </w:pPr>
            <w:r>
              <w:rPr>
                <w:rFonts w:ascii="Times New Roman" w:hAnsi="Times New Roman"/>
                <w:b/>
                <w:color w:val="FFFFFF"/>
                <w:sz w:val="18"/>
              </w:rPr>
              <w:t>FY2021</w:t>
            </w:r>
          </w:p>
        </w:tc>
      </w:tr>
      <w:tr>
        <w:tc>
          <w:tcPr>
            <w:tcW w:type="dxa" w:w="1560"/>
          </w:tcPr>
          <w:p>
            <w:pPr>
              <w:jc w:val="left"/>
            </w:pPr>
            <w:r>
              <w:rPr>
                <w:rFonts w:ascii="Times New Roman" w:hAnsi="Times New Roman"/>
                <w:sz w:val="18"/>
              </w:rPr>
              <w:t>Net Profit Margin (%)</w:t>
            </w:r>
          </w:p>
        </w:tc>
        <w:tc>
          <w:tcPr>
            <w:tcW w:type="dxa" w:w="1560"/>
          </w:tcPr>
          <w:p>
            <w:pPr>
              <w:jc w:val="center"/>
            </w:pPr>
            <w:r>
              <w:rPr>
                <w:rFonts w:ascii="Times New Roman" w:hAnsi="Times New Roman"/>
                <w:sz w:val="18"/>
              </w:rPr>
              <w:t>14.81</w:t>
            </w:r>
          </w:p>
        </w:tc>
        <w:tc>
          <w:tcPr>
            <w:tcW w:type="dxa" w:w="1560"/>
          </w:tcPr>
          <w:p>
            <w:pPr>
              <w:jc w:val="center"/>
            </w:pPr>
            <w:r>
              <w:rPr>
                <w:rFonts w:ascii="Times New Roman" w:hAnsi="Times New Roman"/>
                <w:sz w:val="18"/>
              </w:rPr>
              <w:t>12.41</w:t>
            </w:r>
          </w:p>
        </w:tc>
        <w:tc>
          <w:tcPr>
            <w:tcW w:type="dxa" w:w="1560"/>
          </w:tcPr>
          <w:p>
            <w:pPr>
              <w:jc w:val="center"/>
            </w:pPr>
            <w:r>
              <w:rPr>
                <w:rFonts w:ascii="Times New Roman" w:hAnsi="Times New Roman"/>
                <w:sz w:val="18"/>
              </w:rPr>
              <w:t>12.57</w:t>
            </w:r>
          </w:p>
        </w:tc>
        <w:tc>
          <w:tcPr>
            <w:tcW w:type="dxa" w:w="1560"/>
          </w:tcPr>
          <w:p>
            <w:pPr>
              <w:jc w:val="center"/>
            </w:pPr>
            <w:r>
              <w:rPr>
                <w:rFonts w:ascii="Times New Roman" w:hAnsi="Times New Roman"/>
                <w:sz w:val="18"/>
              </w:rPr>
              <w:t>15.47</w:t>
            </w:r>
          </w:p>
        </w:tc>
        <w:tc>
          <w:tcPr>
            <w:tcW w:type="dxa" w:w="1560"/>
          </w:tcPr>
          <w:p>
            <w:pPr>
              <w:jc w:val="center"/>
            </w:pPr>
            <w:r>
              <w:rPr>
                <w:rFonts w:ascii="Times New Roman" w:hAnsi="Times New Roman"/>
                <w:sz w:val="18"/>
              </w:rPr>
              <w:t>17.52</w:t>
            </w:r>
          </w:p>
        </w:tc>
      </w:tr>
      <w:tr>
        <w:tc>
          <w:tcPr>
            <w:tcW w:type="dxa" w:w="1560"/>
          </w:tcPr>
          <w:p>
            <w:pPr>
              <w:jc w:val="left"/>
            </w:pPr>
            <w:r>
              <w:rPr>
                <w:rFonts w:ascii="Times New Roman" w:hAnsi="Times New Roman"/>
                <w:sz w:val="18"/>
              </w:rPr>
              <w:t>ROE (%)</w:t>
            </w:r>
          </w:p>
        </w:tc>
        <w:tc>
          <w:tcPr>
            <w:tcW w:type="dxa" w:w="1560"/>
          </w:tcPr>
          <w:p>
            <w:pPr>
              <w:jc w:val="center"/>
            </w:pPr>
            <w:r>
              <w:rPr>
                <w:rFonts w:ascii="Times New Roman" w:hAnsi="Times New Roman"/>
                <w:sz w:val="18"/>
              </w:rPr>
              <w:t>16.82</w:t>
            </w:r>
          </w:p>
        </w:tc>
        <w:tc>
          <w:tcPr>
            <w:tcW w:type="dxa" w:w="1560"/>
          </w:tcPr>
          <w:p>
            <w:pPr>
              <w:jc w:val="center"/>
            </w:pPr>
            <w:r>
              <w:rPr>
                <w:rFonts w:ascii="Times New Roman" w:hAnsi="Times New Roman"/>
                <w:sz w:val="18"/>
              </w:rPr>
              <w:t>14.63</w:t>
            </w:r>
          </w:p>
        </w:tc>
        <w:tc>
          <w:tcPr>
            <w:tcW w:type="dxa" w:w="1560"/>
          </w:tcPr>
          <w:p>
            <w:pPr>
              <w:jc w:val="center"/>
            </w:pPr>
            <w:r>
              <w:rPr>
                <w:rFonts w:ascii="Times New Roman" w:hAnsi="Times New Roman"/>
                <w:sz w:val="18"/>
              </w:rPr>
              <w:t>15.90</w:t>
            </w:r>
          </w:p>
        </w:tc>
        <w:tc>
          <w:tcPr>
            <w:tcW w:type="dxa" w:w="1560"/>
          </w:tcPr>
          <w:p>
            <w:pPr>
              <w:jc w:val="center"/>
            </w:pPr>
            <w:r>
              <w:rPr>
                <w:rFonts w:ascii="Times New Roman" w:hAnsi="Times New Roman"/>
                <w:sz w:val="18"/>
              </w:rPr>
              <w:t>20.34</w:t>
            </w:r>
          </w:p>
        </w:tc>
        <w:tc>
          <w:tcPr>
            <w:tcW w:type="dxa" w:w="1560"/>
          </w:tcPr>
          <w:p>
            <w:pPr>
              <w:jc w:val="center"/>
            </w:pPr>
            <w:r>
              <w:rPr>
                <w:rFonts w:ascii="Times New Roman" w:hAnsi="Times New Roman"/>
                <w:sz w:val="18"/>
              </w:rPr>
              <w:t>19.77</w:t>
            </w:r>
          </w:p>
        </w:tc>
      </w:tr>
      <w:tr>
        <w:tc>
          <w:tcPr>
            <w:tcW w:type="dxa" w:w="1560"/>
          </w:tcPr>
          <w:p>
            <w:pPr>
              <w:jc w:val="left"/>
            </w:pPr>
            <w:r>
              <w:rPr>
                <w:rFonts w:ascii="Times New Roman" w:hAnsi="Times New Roman"/>
                <w:sz w:val="18"/>
              </w:rPr>
              <w:t>ROCE (%)</w:t>
            </w:r>
          </w:p>
        </w:tc>
        <w:tc>
          <w:tcPr>
            <w:tcW w:type="dxa" w:w="1560"/>
          </w:tcPr>
          <w:p>
            <w:pPr>
              <w:jc w:val="center"/>
            </w:pPr>
            <w:r>
              <w:rPr>
                <w:rFonts w:ascii="Times New Roman" w:hAnsi="Times New Roman"/>
                <w:sz w:val="18"/>
              </w:rPr>
              <w:t>19.03</w:t>
            </w:r>
          </w:p>
        </w:tc>
        <w:tc>
          <w:tcPr>
            <w:tcW w:type="dxa" w:w="1560"/>
          </w:tcPr>
          <w:p>
            <w:pPr>
              <w:jc w:val="center"/>
            </w:pPr>
            <w:r>
              <w:rPr>
                <w:rFonts w:ascii="Times New Roman" w:hAnsi="Times New Roman"/>
                <w:sz w:val="18"/>
              </w:rPr>
              <w:t>17.87</w:t>
            </w:r>
          </w:p>
        </w:tc>
        <w:tc>
          <w:tcPr>
            <w:tcW w:type="dxa" w:w="1560"/>
          </w:tcPr>
          <w:p>
            <w:pPr>
              <w:jc w:val="center"/>
            </w:pPr>
            <w:r>
              <w:rPr>
                <w:rFonts w:ascii="Times New Roman" w:hAnsi="Times New Roman"/>
                <w:sz w:val="18"/>
              </w:rPr>
              <w:t>17.46</w:t>
            </w:r>
          </w:p>
        </w:tc>
        <w:tc>
          <w:tcPr>
            <w:tcW w:type="dxa" w:w="1560"/>
          </w:tcPr>
          <w:p>
            <w:pPr>
              <w:jc w:val="center"/>
            </w:pPr>
            <w:r>
              <w:rPr>
                <w:rFonts w:ascii="Times New Roman" w:hAnsi="Times New Roman"/>
                <w:sz w:val="18"/>
              </w:rPr>
              <w:t>20.43</w:t>
            </w:r>
          </w:p>
        </w:tc>
        <w:tc>
          <w:tcPr>
            <w:tcW w:type="dxa" w:w="1560"/>
          </w:tcPr>
          <w:p>
            <w:pPr>
              <w:jc w:val="center"/>
            </w:pPr>
            <w:r>
              <w:rPr>
                <w:rFonts w:ascii="Times New Roman" w:hAnsi="Times New Roman"/>
                <w:sz w:val="18"/>
              </w:rPr>
              <w:t>24.11</w:t>
            </w:r>
          </w:p>
        </w:tc>
      </w:tr>
      <w:tr>
        <w:tc>
          <w:tcPr>
            <w:tcW w:type="dxa" w:w="1560"/>
          </w:tcPr>
          <w:p>
            <w:pPr>
              <w:jc w:val="left"/>
            </w:pPr>
            <w:r>
              <w:rPr>
                <w:rFonts w:ascii="Times New Roman" w:hAnsi="Times New Roman"/>
                <w:sz w:val="18"/>
              </w:rPr>
              <w:t>Current Ratio</w:t>
            </w:r>
          </w:p>
        </w:tc>
        <w:tc>
          <w:tcPr>
            <w:tcW w:type="dxa" w:w="1560"/>
          </w:tcPr>
          <w:p>
            <w:pPr>
              <w:jc w:val="center"/>
            </w:pPr>
            <w:r>
              <w:rPr>
                <w:rFonts w:ascii="Times New Roman" w:hAnsi="Times New Roman"/>
                <w:sz w:val="18"/>
              </w:rPr>
              <w:t>2.72</w:t>
            </w:r>
          </w:p>
        </w:tc>
        <w:tc>
          <w:tcPr>
            <w:tcW w:type="dxa" w:w="1560"/>
          </w:tcPr>
          <w:p>
            <w:pPr>
              <w:jc w:val="center"/>
            </w:pPr>
            <w:r>
              <w:rPr>
                <w:rFonts w:ascii="Times New Roman" w:hAnsi="Times New Roman"/>
                <w:sz w:val="18"/>
              </w:rPr>
              <w:t>2.58</w:t>
            </w:r>
          </w:p>
        </w:tc>
        <w:tc>
          <w:tcPr>
            <w:tcW w:type="dxa" w:w="1560"/>
          </w:tcPr>
          <w:p>
            <w:pPr>
              <w:jc w:val="center"/>
            </w:pPr>
            <w:r>
              <w:rPr>
                <w:rFonts w:ascii="Times New Roman" w:hAnsi="Times New Roman"/>
                <w:sz w:val="18"/>
              </w:rPr>
              <w:t>2.47</w:t>
            </w:r>
          </w:p>
        </w:tc>
        <w:tc>
          <w:tcPr>
            <w:tcW w:type="dxa" w:w="1560"/>
          </w:tcPr>
          <w:p>
            <w:pPr>
              <w:jc w:val="center"/>
            </w:pPr>
            <w:r>
              <w:rPr>
                <w:rFonts w:ascii="Times New Roman" w:hAnsi="Times New Roman"/>
                <w:sz w:val="18"/>
              </w:rPr>
              <w:t>2.01</w:t>
            </w:r>
          </w:p>
        </w:tc>
        <w:tc>
          <w:tcPr>
            <w:tcW w:type="dxa" w:w="1560"/>
          </w:tcPr>
          <w:p>
            <w:pPr>
              <w:jc w:val="center"/>
            </w:pPr>
            <w:r>
              <w:rPr>
                <w:rFonts w:ascii="Times New Roman" w:hAnsi="Times New Roman"/>
                <w:sz w:val="18"/>
              </w:rPr>
              <w:t>2.27</w:t>
            </w:r>
          </w:p>
        </w:tc>
      </w:tr>
      <w:tr>
        <w:tc>
          <w:tcPr>
            <w:tcW w:type="dxa" w:w="1560"/>
          </w:tcPr>
          <w:p>
            <w:pPr>
              <w:jc w:val="left"/>
            </w:pPr>
            <w:r>
              <w:rPr>
                <w:rFonts w:ascii="Times New Roman" w:hAnsi="Times New Roman"/>
                <w:sz w:val="18"/>
              </w:rPr>
              <w:t>Debt-Equity</w:t>
            </w:r>
          </w:p>
        </w:tc>
        <w:tc>
          <w:tcPr>
            <w:tcW w:type="dxa" w:w="1560"/>
          </w:tcPr>
          <w:p>
            <w:pPr>
              <w:jc w:val="center"/>
            </w:pPr>
            <w:r>
              <w:rPr>
                <w:rFonts w:ascii="Times New Roman" w:hAnsi="Times New Roman"/>
                <w:sz w:val="18"/>
              </w:rPr>
              <w:t>0.20</w:t>
            </w:r>
          </w:p>
        </w:tc>
        <w:tc>
          <w:tcPr>
            <w:tcW w:type="dxa" w:w="1560"/>
          </w:tcPr>
          <w:p>
            <w:pPr>
              <w:jc w:val="center"/>
            </w:pPr>
            <w:r>
              <w:rPr>
                <w:rFonts w:ascii="Times New Roman" w:hAnsi="Times New Roman"/>
                <w:sz w:val="18"/>
              </w:rPr>
              <w:t>0.19</w:t>
            </w:r>
          </w:p>
        </w:tc>
        <w:tc>
          <w:tcPr>
            <w:tcW w:type="dxa" w:w="1560"/>
          </w:tcPr>
          <w:p>
            <w:pPr>
              <w:jc w:val="center"/>
            </w:pPr>
            <w:r>
              <w:rPr>
                <w:rFonts w:ascii="Times New Roman" w:hAnsi="Times New Roman"/>
                <w:sz w:val="18"/>
              </w:rPr>
              <w:t>0.19</w:t>
            </w:r>
          </w:p>
        </w:tc>
        <w:tc>
          <w:tcPr>
            <w:tcW w:type="dxa" w:w="1560"/>
          </w:tcPr>
          <w:p>
            <w:pPr>
              <w:jc w:val="center"/>
            </w:pPr>
            <w:r>
              <w:rPr>
                <w:rFonts w:ascii="Times New Roman" w:hAnsi="Times New Roman"/>
                <w:sz w:val="18"/>
              </w:rPr>
              <w:t>0.23</w:t>
            </w:r>
          </w:p>
        </w:tc>
        <w:tc>
          <w:tcPr>
            <w:tcW w:type="dxa" w:w="1560"/>
          </w:tcPr>
          <w:p>
            <w:pPr>
              <w:jc w:val="center"/>
            </w:pPr>
            <w:r>
              <w:rPr>
                <w:rFonts w:ascii="Times New Roman" w:hAnsi="Times New Roman"/>
                <w:sz w:val="18"/>
              </w:rPr>
              <w:t>0.12</w:t>
            </w:r>
          </w:p>
        </w:tc>
      </w:tr>
      <w:tr>
        <w:tc>
          <w:tcPr>
            <w:tcW w:type="dxa" w:w="1560"/>
          </w:tcPr>
          <w:p>
            <w:pPr>
              <w:jc w:val="left"/>
            </w:pPr>
            <w:r>
              <w:rPr>
                <w:rFonts w:ascii="Times New Roman" w:hAnsi="Times New Roman"/>
                <w:sz w:val="18"/>
              </w:rPr>
              <w:t>Interest Coverage</w:t>
            </w:r>
          </w:p>
        </w:tc>
        <w:tc>
          <w:tcPr>
            <w:tcW w:type="dxa" w:w="1560"/>
          </w:tcPr>
          <w:p>
            <w:pPr>
              <w:jc w:val="center"/>
            </w:pPr>
            <w:r>
              <w:rPr>
                <w:rFonts w:ascii="Times New Roman" w:hAnsi="Times New Roman"/>
                <w:sz w:val="18"/>
              </w:rPr>
              <w:t>12.83</w:t>
            </w:r>
          </w:p>
        </w:tc>
        <w:tc>
          <w:tcPr>
            <w:tcW w:type="dxa" w:w="1560"/>
          </w:tcPr>
          <w:p>
            <w:pPr>
              <w:jc w:val="center"/>
            </w:pPr>
            <w:r>
              <w:rPr>
                <w:rFonts w:ascii="Times New Roman" w:hAnsi="Times New Roman"/>
                <w:sz w:val="18"/>
              </w:rPr>
              <w:t>12.75</w:t>
            </w:r>
          </w:p>
        </w:tc>
        <w:tc>
          <w:tcPr>
            <w:tcW w:type="dxa" w:w="1560"/>
          </w:tcPr>
          <w:p>
            <w:pPr>
              <w:jc w:val="center"/>
            </w:pPr>
            <w:r>
              <w:rPr>
                <w:rFonts w:ascii="Times New Roman" w:hAnsi="Times New Roman"/>
                <w:sz w:val="18"/>
              </w:rPr>
              <w:t>15.66</w:t>
            </w:r>
          </w:p>
        </w:tc>
        <w:tc>
          <w:tcPr>
            <w:tcW w:type="dxa" w:w="1560"/>
          </w:tcPr>
          <w:p>
            <w:pPr>
              <w:jc w:val="center"/>
            </w:pPr>
            <w:r>
              <w:rPr>
                <w:rFonts w:ascii="Times New Roman" w:hAnsi="Times New Roman"/>
                <w:sz w:val="18"/>
              </w:rPr>
              <w:t>29.42</w:t>
            </w:r>
          </w:p>
        </w:tc>
        <w:tc>
          <w:tcPr>
            <w:tcW w:type="dxa" w:w="1560"/>
          </w:tcPr>
          <w:p>
            <w:pPr>
              <w:jc w:val="center"/>
            </w:pPr>
            <w:r>
              <w:rPr>
                <w:rFonts w:ascii="Times New Roman" w:hAnsi="Times New Roman"/>
                <w:sz w:val="18"/>
              </w:rPr>
              <w:t>28.30</w:t>
            </w:r>
          </w:p>
        </w:tc>
      </w:tr>
    </w:tbl>
    <w:p>
      <w:pPr>
        <w:spacing w:after="40" w:line="240" w:lineRule="auto"/>
      </w:pPr>
      <w:r>
        <w:rPr>
          <w:rFonts w:ascii="Times New Roman" w:hAnsi="Times New Roman"/>
          <w:b w:val="0"/>
          <w:i w:val="0"/>
          <w:sz w:val="22"/>
        </w:rPr>
        <w:t>Liquidity: Wipro's current ratio improved from 2.27x in FY2021 to 2.72x in FY2025, supported by a large portfolio of current investments (Rs 41,147 crore, nearly 4x HCLTech's). Cash holdings stood at Rs 12,197 crore. The absolute liquid ratio of 1.86x provides strong short-term coverage.</w:t>
      </w:r>
    </w:p>
    <w:p>
      <w:pPr>
        <w:spacing w:after="40" w:line="240" w:lineRule="auto"/>
      </w:pPr>
      <w:r>
        <w:rPr>
          <w:rFonts w:ascii="Times New Roman" w:hAnsi="Times New Roman"/>
          <w:b w:val="0"/>
          <w:i w:val="0"/>
          <w:sz w:val="22"/>
        </w:rPr>
        <w:t>Solvency: The debt-to-equity ratio increased from 0.12x in FY2021 to 0.20x in FY2025, reflecting debt raised to finance the Capco acquisition (long-term borrowings rose from Rs 746 crore to Rs 6,395 crore). While still manageable, this represents a meaningful shift in capital structure. Interest coverage declined from 33.73x to 14.83x, consistent with higher debt levels and elevated interest rates in the post-pandemic period.</w:t>
      </w:r>
    </w:p>
    <w:p>
      <w:pPr>
        <w:spacing w:after="40" w:line="240" w:lineRule="auto"/>
      </w:pPr>
      <w:r>
        <w:rPr>
          <w:rFonts w:ascii="Times New Roman" w:hAnsi="Times New Roman"/>
          <w:b w:val="0"/>
          <w:i w:val="0"/>
          <w:sz w:val="22"/>
        </w:rPr>
        <w:t>Turnover &amp; Efficiency: The debtors turnover ratio exhibited significant volatility, with trade receivables spiking to Rs 18,687 crore in FY2023 (likely due to Capco integration effects and changed billing cycles) before normalizing to Rs 11,775 crore in FY2025. This resulted in average collection periods ranging from 48 days (FY2022) to 73 days (FY2024). Inventory metrics are similarly characteristic of IT services, with near-zero holding days. The fixed asset turnover of 6.71x in FY2025 reflects efficient infrastructure utilization. EPS declined from Rs 19.71 (FY2021) to Rs 12.54 (FY2025), though this largely reflects the 1:1 bonus issue in FY2025 that doubled the share count from 522.5 crore to 1,047.2 crore shares, rather than a deterioration in profitability.</w:t>
      </w:r>
    </w:p>
    <w:p>
      <w:pPr>
        <w:pStyle w:val="Heading2"/>
        <w:spacing w:before="120" w:after="60"/>
      </w:pPr>
      <w:r>
        <w:rPr>
          <w:rFonts w:ascii="Times New Roman" w:hAnsi="Times New Roman"/>
          <w:color w:val="1F4E79"/>
        </w:rPr>
        <w:t>4. Inter-Company Comparison</w:t>
      </w:r>
    </w:p>
    <w:p>
      <w:pPr>
        <w:spacing w:after="40" w:line="240" w:lineRule="auto"/>
      </w:pPr>
      <w:r>
        <w:rPr>
          <w:rFonts w:ascii="Times New Roman" w:hAnsi="Times New Roman"/>
          <w:b w:val="0"/>
          <w:i w:val="0"/>
          <w:sz w:val="22"/>
        </w:rPr>
        <w:t>Using FY2025 data as the primary reference point and 5-year trends for context, this section directly compares HCLTech and Wipro across the key ratio categories.</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fill="1F4E79"/>
          </w:tcPr>
          <w:p>
            <w:pPr>
              <w:jc w:val="center"/>
            </w:pPr>
            <w:r>
              <w:rPr>
                <w:rFonts w:ascii="Times New Roman" w:hAnsi="Times New Roman"/>
                <w:b/>
                <w:color w:val="FFFFFF"/>
                <w:sz w:val="18"/>
              </w:rPr>
              <w:t>Ratio</w:t>
            </w:r>
          </w:p>
        </w:tc>
        <w:tc>
          <w:tcPr>
            <w:tcW w:type="dxa" w:w="2340"/>
            <w:shd w:fill="1F4E79"/>
          </w:tcPr>
          <w:p>
            <w:pPr>
              <w:jc w:val="center"/>
            </w:pPr>
            <w:r>
              <w:rPr>
                <w:rFonts w:ascii="Times New Roman" w:hAnsi="Times New Roman"/>
                <w:b/>
                <w:color w:val="FFFFFF"/>
                <w:sz w:val="18"/>
              </w:rPr>
              <w:t>HCL FY2025</w:t>
            </w:r>
          </w:p>
        </w:tc>
        <w:tc>
          <w:tcPr>
            <w:tcW w:type="dxa" w:w="2340"/>
            <w:shd w:fill="1F4E79"/>
          </w:tcPr>
          <w:p>
            <w:pPr>
              <w:jc w:val="center"/>
            </w:pPr>
            <w:r>
              <w:rPr>
                <w:rFonts w:ascii="Times New Roman" w:hAnsi="Times New Roman"/>
                <w:b/>
                <w:color w:val="FFFFFF"/>
                <w:sz w:val="18"/>
              </w:rPr>
              <w:t>Wipro FY2025</w:t>
            </w:r>
          </w:p>
        </w:tc>
        <w:tc>
          <w:tcPr>
            <w:tcW w:type="dxa" w:w="2340"/>
            <w:shd w:fill="1F4E79"/>
          </w:tcPr>
          <w:p>
            <w:pPr>
              <w:jc w:val="center"/>
            </w:pPr>
            <w:r>
              <w:rPr>
                <w:rFonts w:ascii="Times New Roman" w:hAnsi="Times New Roman"/>
                <w:b/>
                <w:color w:val="FFFFFF"/>
                <w:sz w:val="18"/>
              </w:rPr>
              <w:t>Better</w:t>
            </w:r>
          </w:p>
        </w:tc>
      </w:tr>
      <w:tr>
        <w:tc>
          <w:tcPr>
            <w:tcW w:type="dxa" w:w="2340"/>
          </w:tcPr>
          <w:p>
            <w:pPr>
              <w:jc w:val="left"/>
            </w:pPr>
            <w:r>
              <w:rPr>
                <w:rFonts w:ascii="Times New Roman" w:hAnsi="Times New Roman"/>
                <w:sz w:val="18"/>
              </w:rPr>
              <w:t>Revenue (Rs Cr)</w:t>
            </w:r>
          </w:p>
        </w:tc>
        <w:tc>
          <w:tcPr>
            <w:tcW w:type="dxa" w:w="2340"/>
          </w:tcPr>
          <w:p>
            <w:pPr>
              <w:jc w:val="center"/>
            </w:pPr>
            <w:r>
              <w:rPr>
                <w:rFonts w:ascii="Times New Roman" w:hAnsi="Times New Roman"/>
                <w:sz w:val="18"/>
              </w:rPr>
              <w:t>1,17,055</w:t>
            </w:r>
          </w:p>
        </w:tc>
        <w:tc>
          <w:tcPr>
            <w:tcW w:type="dxa" w:w="2340"/>
          </w:tcPr>
          <w:p>
            <w:pPr>
              <w:jc w:val="center"/>
            </w:pPr>
            <w:r>
              <w:rPr>
                <w:rFonts w:ascii="Times New Roman" w:hAnsi="Times New Roman"/>
                <w:sz w:val="18"/>
              </w:rPr>
              <w:t>89,088</w:t>
            </w:r>
          </w:p>
        </w:tc>
        <w:tc>
          <w:tcPr>
            <w:tcW w:type="dxa" w:w="2340"/>
          </w:tcPr>
          <w:p>
            <w:pPr>
              <w:jc w:val="center"/>
            </w:pPr>
            <w:r>
              <w:rPr>
                <w:rFonts w:ascii="Times New Roman" w:hAnsi="Times New Roman"/>
                <w:sz w:val="18"/>
              </w:rPr>
              <w:t>HCL</w:t>
            </w:r>
          </w:p>
        </w:tc>
      </w:tr>
      <w:tr>
        <w:tc>
          <w:tcPr>
            <w:tcW w:type="dxa" w:w="2340"/>
          </w:tcPr>
          <w:p>
            <w:pPr>
              <w:jc w:val="left"/>
            </w:pPr>
            <w:r>
              <w:rPr>
                <w:rFonts w:ascii="Times New Roman" w:hAnsi="Times New Roman"/>
                <w:sz w:val="18"/>
              </w:rPr>
              <w:t>5-Year Revenue CAGR</w:t>
            </w:r>
          </w:p>
        </w:tc>
        <w:tc>
          <w:tcPr>
            <w:tcW w:type="dxa" w:w="2340"/>
          </w:tcPr>
          <w:p>
            <w:pPr>
              <w:jc w:val="center"/>
            </w:pPr>
            <w:r>
              <w:rPr>
                <w:rFonts w:ascii="Times New Roman" w:hAnsi="Times New Roman"/>
                <w:sz w:val="18"/>
              </w:rPr>
              <w:t>11.6%</w:t>
            </w:r>
          </w:p>
        </w:tc>
        <w:tc>
          <w:tcPr>
            <w:tcW w:type="dxa" w:w="2340"/>
          </w:tcPr>
          <w:p>
            <w:pPr>
              <w:jc w:val="center"/>
            </w:pPr>
            <w:r>
              <w:rPr>
                <w:rFonts w:ascii="Times New Roman" w:hAnsi="Times New Roman"/>
                <w:sz w:val="18"/>
              </w:rPr>
              <w:t>9.5%</w:t>
            </w:r>
          </w:p>
        </w:tc>
        <w:tc>
          <w:tcPr>
            <w:tcW w:type="dxa" w:w="2340"/>
          </w:tcPr>
          <w:p>
            <w:pPr>
              <w:jc w:val="center"/>
            </w:pPr>
            <w:r>
              <w:rPr>
                <w:rFonts w:ascii="Times New Roman" w:hAnsi="Times New Roman"/>
                <w:sz w:val="18"/>
              </w:rPr>
              <w:t>HCL</w:t>
            </w:r>
          </w:p>
        </w:tc>
      </w:tr>
      <w:tr>
        <w:tc>
          <w:tcPr>
            <w:tcW w:type="dxa" w:w="2340"/>
          </w:tcPr>
          <w:p>
            <w:pPr>
              <w:jc w:val="left"/>
            </w:pPr>
            <w:r>
              <w:rPr>
                <w:rFonts w:ascii="Times New Roman" w:hAnsi="Times New Roman"/>
                <w:sz w:val="18"/>
              </w:rPr>
              <w:t>Net Profit Margin (%)</w:t>
            </w:r>
          </w:p>
        </w:tc>
        <w:tc>
          <w:tcPr>
            <w:tcW w:type="dxa" w:w="2340"/>
          </w:tcPr>
          <w:p>
            <w:pPr>
              <w:jc w:val="center"/>
            </w:pPr>
            <w:r>
              <w:rPr>
                <w:rFonts w:ascii="Times New Roman" w:hAnsi="Times New Roman"/>
                <w:sz w:val="18"/>
              </w:rPr>
              <w:t>14.86</w:t>
            </w:r>
          </w:p>
        </w:tc>
        <w:tc>
          <w:tcPr>
            <w:tcW w:type="dxa" w:w="2340"/>
          </w:tcPr>
          <w:p>
            <w:pPr>
              <w:jc w:val="center"/>
            </w:pPr>
            <w:r>
              <w:rPr>
                <w:rFonts w:ascii="Times New Roman" w:hAnsi="Times New Roman"/>
                <w:sz w:val="18"/>
              </w:rPr>
              <w:t>14.81</w:t>
            </w:r>
          </w:p>
        </w:tc>
        <w:tc>
          <w:tcPr>
            <w:tcW w:type="dxa" w:w="2340"/>
          </w:tcPr>
          <w:p>
            <w:pPr>
              <w:jc w:val="center"/>
            </w:pPr>
            <w:r>
              <w:rPr>
                <w:rFonts w:ascii="Times New Roman" w:hAnsi="Times New Roman"/>
                <w:sz w:val="18"/>
              </w:rPr>
              <w:t>HCL</w:t>
            </w:r>
          </w:p>
        </w:tc>
      </w:tr>
      <w:tr>
        <w:tc>
          <w:tcPr>
            <w:tcW w:type="dxa" w:w="2340"/>
          </w:tcPr>
          <w:p>
            <w:pPr>
              <w:jc w:val="left"/>
            </w:pPr>
            <w:r>
              <w:rPr>
                <w:rFonts w:ascii="Times New Roman" w:hAnsi="Times New Roman"/>
                <w:sz w:val="18"/>
              </w:rPr>
              <w:t>ROE (%)</w:t>
            </w:r>
          </w:p>
        </w:tc>
        <w:tc>
          <w:tcPr>
            <w:tcW w:type="dxa" w:w="2340"/>
          </w:tcPr>
          <w:p>
            <w:pPr>
              <w:jc w:val="center"/>
            </w:pPr>
            <w:r>
              <w:rPr>
                <w:rFonts w:ascii="Times New Roman" w:hAnsi="Times New Roman"/>
                <w:sz w:val="18"/>
              </w:rPr>
              <w:t>25.23</w:t>
            </w:r>
          </w:p>
        </w:tc>
        <w:tc>
          <w:tcPr>
            <w:tcW w:type="dxa" w:w="2340"/>
          </w:tcPr>
          <w:p>
            <w:pPr>
              <w:jc w:val="center"/>
            </w:pPr>
            <w:r>
              <w:rPr>
                <w:rFonts w:ascii="Times New Roman" w:hAnsi="Times New Roman"/>
                <w:sz w:val="18"/>
              </w:rPr>
              <w:t>16.82</w:t>
            </w:r>
          </w:p>
        </w:tc>
        <w:tc>
          <w:tcPr>
            <w:tcW w:type="dxa" w:w="2340"/>
          </w:tcPr>
          <w:p>
            <w:pPr>
              <w:jc w:val="center"/>
            </w:pPr>
            <w:r>
              <w:rPr>
                <w:rFonts w:ascii="Times New Roman" w:hAnsi="Times New Roman"/>
                <w:sz w:val="18"/>
              </w:rPr>
              <w:t>HCL</w:t>
            </w:r>
          </w:p>
        </w:tc>
      </w:tr>
      <w:tr>
        <w:tc>
          <w:tcPr>
            <w:tcW w:type="dxa" w:w="2340"/>
          </w:tcPr>
          <w:p>
            <w:pPr>
              <w:jc w:val="left"/>
            </w:pPr>
            <w:r>
              <w:rPr>
                <w:rFonts w:ascii="Times New Roman" w:hAnsi="Times New Roman"/>
                <w:sz w:val="18"/>
              </w:rPr>
              <w:t>ROCE (%)</w:t>
            </w:r>
          </w:p>
        </w:tc>
        <w:tc>
          <w:tcPr>
            <w:tcW w:type="dxa" w:w="2340"/>
          </w:tcPr>
          <w:p>
            <w:pPr>
              <w:jc w:val="center"/>
            </w:pPr>
            <w:r>
              <w:rPr>
                <w:rFonts w:ascii="Times New Roman" w:hAnsi="Times New Roman"/>
                <w:sz w:val="18"/>
              </w:rPr>
              <w:t>30.84</w:t>
            </w:r>
          </w:p>
        </w:tc>
        <w:tc>
          <w:tcPr>
            <w:tcW w:type="dxa" w:w="2340"/>
          </w:tcPr>
          <w:p>
            <w:pPr>
              <w:jc w:val="center"/>
            </w:pPr>
            <w:r>
              <w:rPr>
                <w:rFonts w:ascii="Times New Roman" w:hAnsi="Times New Roman"/>
                <w:sz w:val="18"/>
              </w:rPr>
              <w:t>19.03</w:t>
            </w:r>
          </w:p>
        </w:tc>
        <w:tc>
          <w:tcPr>
            <w:tcW w:type="dxa" w:w="2340"/>
          </w:tcPr>
          <w:p>
            <w:pPr>
              <w:jc w:val="center"/>
            </w:pPr>
            <w:r>
              <w:rPr>
                <w:rFonts w:ascii="Times New Roman" w:hAnsi="Times New Roman"/>
                <w:sz w:val="18"/>
              </w:rPr>
              <w:t>HCL</w:t>
            </w:r>
          </w:p>
        </w:tc>
      </w:tr>
      <w:tr>
        <w:tc>
          <w:tcPr>
            <w:tcW w:type="dxa" w:w="2340"/>
          </w:tcPr>
          <w:p>
            <w:pPr>
              <w:jc w:val="left"/>
            </w:pPr>
            <w:r>
              <w:rPr>
                <w:rFonts w:ascii="Times New Roman" w:hAnsi="Times New Roman"/>
                <w:sz w:val="18"/>
              </w:rPr>
              <w:t>Current Ratio</w:t>
            </w:r>
          </w:p>
        </w:tc>
        <w:tc>
          <w:tcPr>
            <w:tcW w:type="dxa" w:w="2340"/>
          </w:tcPr>
          <w:p>
            <w:pPr>
              <w:jc w:val="center"/>
            </w:pPr>
            <w:r>
              <w:rPr>
                <w:rFonts w:ascii="Times New Roman" w:hAnsi="Times New Roman"/>
                <w:sz w:val="18"/>
              </w:rPr>
              <w:t>2.22</w:t>
            </w:r>
          </w:p>
        </w:tc>
        <w:tc>
          <w:tcPr>
            <w:tcW w:type="dxa" w:w="2340"/>
          </w:tcPr>
          <w:p>
            <w:pPr>
              <w:jc w:val="center"/>
            </w:pPr>
            <w:r>
              <w:rPr>
                <w:rFonts w:ascii="Times New Roman" w:hAnsi="Times New Roman"/>
                <w:sz w:val="18"/>
              </w:rPr>
              <w:t>2.72</w:t>
            </w:r>
          </w:p>
        </w:tc>
        <w:tc>
          <w:tcPr>
            <w:tcW w:type="dxa" w:w="2340"/>
          </w:tcPr>
          <w:p>
            <w:pPr>
              <w:jc w:val="center"/>
            </w:pPr>
            <w:r>
              <w:rPr>
                <w:rFonts w:ascii="Times New Roman" w:hAnsi="Times New Roman"/>
                <w:sz w:val="18"/>
              </w:rPr>
              <w:t>Wipro</w:t>
            </w:r>
          </w:p>
        </w:tc>
      </w:tr>
      <w:tr>
        <w:tc>
          <w:tcPr>
            <w:tcW w:type="dxa" w:w="2340"/>
          </w:tcPr>
          <w:p>
            <w:pPr>
              <w:jc w:val="left"/>
            </w:pPr>
            <w:r>
              <w:rPr>
                <w:rFonts w:ascii="Times New Roman" w:hAnsi="Times New Roman"/>
                <w:sz w:val="18"/>
              </w:rPr>
              <w:t>Debt-Equity Ratio</w:t>
            </w:r>
          </w:p>
        </w:tc>
        <w:tc>
          <w:tcPr>
            <w:tcW w:type="dxa" w:w="2340"/>
          </w:tcPr>
          <w:p>
            <w:pPr>
              <w:jc w:val="center"/>
            </w:pPr>
            <w:r>
              <w:rPr>
                <w:rFonts w:ascii="Times New Roman" w:hAnsi="Times New Roman"/>
                <w:sz w:val="18"/>
              </w:rPr>
              <w:t>0.03</w:t>
            </w:r>
          </w:p>
        </w:tc>
        <w:tc>
          <w:tcPr>
            <w:tcW w:type="dxa" w:w="2340"/>
          </w:tcPr>
          <w:p>
            <w:pPr>
              <w:jc w:val="center"/>
            </w:pPr>
            <w:r>
              <w:rPr>
                <w:rFonts w:ascii="Times New Roman" w:hAnsi="Times New Roman"/>
                <w:sz w:val="18"/>
              </w:rPr>
              <w:t>0.20</w:t>
            </w:r>
          </w:p>
        </w:tc>
        <w:tc>
          <w:tcPr>
            <w:tcW w:type="dxa" w:w="2340"/>
          </w:tcPr>
          <w:p>
            <w:pPr>
              <w:jc w:val="center"/>
            </w:pPr>
            <w:r>
              <w:rPr>
                <w:rFonts w:ascii="Times New Roman" w:hAnsi="Times New Roman"/>
                <w:sz w:val="18"/>
              </w:rPr>
              <w:t>HCL</w:t>
            </w:r>
          </w:p>
        </w:tc>
      </w:tr>
      <w:tr>
        <w:tc>
          <w:tcPr>
            <w:tcW w:type="dxa" w:w="2340"/>
          </w:tcPr>
          <w:p>
            <w:pPr>
              <w:jc w:val="left"/>
            </w:pPr>
            <w:r>
              <w:rPr>
                <w:rFonts w:ascii="Times New Roman" w:hAnsi="Times New Roman"/>
                <w:sz w:val="18"/>
              </w:rPr>
              <w:t>Interest Coverage</w:t>
            </w:r>
          </w:p>
        </w:tc>
        <w:tc>
          <w:tcPr>
            <w:tcW w:type="dxa" w:w="2340"/>
          </w:tcPr>
          <w:p>
            <w:pPr>
              <w:jc w:val="center"/>
            </w:pPr>
            <w:r>
              <w:rPr>
                <w:rFonts w:ascii="Times New Roman" w:hAnsi="Times New Roman"/>
                <w:sz w:val="18"/>
              </w:rPr>
              <w:t>37.1</w:t>
            </w:r>
          </w:p>
        </w:tc>
        <w:tc>
          <w:tcPr>
            <w:tcW w:type="dxa" w:w="2340"/>
          </w:tcPr>
          <w:p>
            <w:pPr>
              <w:jc w:val="center"/>
            </w:pPr>
            <w:r>
              <w:rPr>
                <w:rFonts w:ascii="Times New Roman" w:hAnsi="Times New Roman"/>
                <w:sz w:val="18"/>
              </w:rPr>
              <w:t>12.8</w:t>
            </w:r>
          </w:p>
        </w:tc>
        <w:tc>
          <w:tcPr>
            <w:tcW w:type="dxa" w:w="2340"/>
          </w:tcPr>
          <w:p>
            <w:pPr>
              <w:jc w:val="center"/>
            </w:pPr>
            <w:r>
              <w:rPr>
                <w:rFonts w:ascii="Times New Roman" w:hAnsi="Times New Roman"/>
                <w:sz w:val="18"/>
              </w:rPr>
              <w:t>HCL</w:t>
            </w:r>
          </w:p>
        </w:tc>
      </w:tr>
      <w:tr>
        <w:tc>
          <w:tcPr>
            <w:tcW w:type="dxa" w:w="2340"/>
          </w:tcPr>
          <w:p>
            <w:pPr>
              <w:jc w:val="left"/>
            </w:pPr>
            <w:r>
              <w:rPr>
                <w:rFonts w:ascii="Times New Roman" w:hAnsi="Times New Roman"/>
                <w:sz w:val="18"/>
              </w:rPr>
              <w:t>EPS (Rs)</w:t>
            </w:r>
          </w:p>
        </w:tc>
        <w:tc>
          <w:tcPr>
            <w:tcW w:type="dxa" w:w="2340"/>
          </w:tcPr>
          <w:p>
            <w:pPr>
              <w:jc w:val="center"/>
            </w:pPr>
            <w:r>
              <w:rPr>
                <w:rFonts w:ascii="Times New Roman" w:hAnsi="Times New Roman"/>
                <w:sz w:val="18"/>
              </w:rPr>
              <w:t>64.05</w:t>
            </w:r>
          </w:p>
        </w:tc>
        <w:tc>
          <w:tcPr>
            <w:tcW w:type="dxa" w:w="2340"/>
          </w:tcPr>
          <w:p>
            <w:pPr>
              <w:jc w:val="center"/>
            </w:pPr>
            <w:r>
              <w:rPr>
                <w:rFonts w:ascii="Times New Roman" w:hAnsi="Times New Roman"/>
                <w:sz w:val="18"/>
              </w:rPr>
              <w:t>12.54</w:t>
            </w:r>
          </w:p>
        </w:tc>
        <w:tc>
          <w:tcPr>
            <w:tcW w:type="dxa" w:w="2340"/>
          </w:tcPr>
          <w:p>
            <w:pPr>
              <w:jc w:val="center"/>
            </w:pPr>
            <w:r>
              <w:rPr>
                <w:rFonts w:ascii="Times New Roman" w:hAnsi="Times New Roman"/>
                <w:sz w:val="18"/>
              </w:rPr>
              <w:t>HCL</w:t>
            </w:r>
          </w:p>
        </w:tc>
      </w:tr>
      <w:tr>
        <w:tc>
          <w:tcPr>
            <w:tcW w:type="dxa" w:w="2340"/>
          </w:tcPr>
          <w:p>
            <w:pPr>
              <w:jc w:val="left"/>
            </w:pPr>
            <w:r>
              <w:rPr>
                <w:rFonts w:ascii="Times New Roman" w:hAnsi="Times New Roman"/>
                <w:sz w:val="18"/>
              </w:rPr>
              <w:t>P/E Ratio</w:t>
            </w:r>
          </w:p>
        </w:tc>
        <w:tc>
          <w:tcPr>
            <w:tcW w:type="dxa" w:w="2340"/>
          </w:tcPr>
          <w:p>
            <w:pPr>
              <w:jc w:val="center"/>
            </w:pPr>
            <w:r>
              <w:rPr>
                <w:rFonts w:ascii="Times New Roman" w:hAnsi="Times New Roman"/>
                <w:sz w:val="18"/>
              </w:rPr>
              <w:t>24.83</w:t>
            </w:r>
          </w:p>
        </w:tc>
        <w:tc>
          <w:tcPr>
            <w:tcW w:type="dxa" w:w="2340"/>
          </w:tcPr>
          <w:p>
            <w:pPr>
              <w:jc w:val="center"/>
            </w:pPr>
            <w:r>
              <w:rPr>
                <w:rFonts w:ascii="Times New Roman" w:hAnsi="Times New Roman"/>
                <w:sz w:val="18"/>
              </w:rPr>
              <w:t>20.88</w:t>
            </w:r>
          </w:p>
        </w:tc>
        <w:tc>
          <w:tcPr>
            <w:tcW w:type="dxa" w:w="2340"/>
          </w:tcPr>
          <w:p>
            <w:pPr>
              <w:jc w:val="center"/>
            </w:pPr>
            <w:r>
              <w:rPr>
                <w:rFonts w:ascii="Times New Roman" w:hAnsi="Times New Roman"/>
                <w:sz w:val="18"/>
              </w:rPr>
              <w:t>-</w:t>
            </w:r>
          </w:p>
        </w:tc>
      </w:tr>
    </w:tbl>
    <w:p>
      <w:pPr>
        <w:spacing w:after="40" w:line="240" w:lineRule="auto"/>
      </w:pPr>
      <w:r>
        <w:rPr>
          <w:rFonts w:ascii="Times New Roman" w:hAnsi="Times New Roman"/>
          <w:b w:val="0"/>
          <w:i w:val="0"/>
          <w:sz w:val="22"/>
        </w:rPr>
        <w:t>Scale &amp; Growth: HCLTech's FY2025 revenue of Rs 1,17,055 crore is 31% larger than Wipro's Rs 89,088 crore. More importantly, HCLTech's 5-year revenue CAGR of 11.6% surpasses Wipro's 9.5%, despite the latter's aggressive acquisition program. This suggests that HCLTech's organic growth strategy has been more effective at scaling revenue sustainably than Wipro's inorganic approach.</w:t>
      </w:r>
    </w:p>
    <w:p>
      <w:pPr>
        <w:spacing w:after="40" w:line="240" w:lineRule="auto"/>
      </w:pPr>
      <w:r>
        <w:rPr>
          <w:rFonts w:ascii="Times New Roman" w:hAnsi="Times New Roman"/>
          <w:b w:val="0"/>
          <w:i w:val="0"/>
          <w:sz w:val="22"/>
        </w:rPr>
        <w:t>Profitability: While net profit margins are comparable in FY2025 (HCL 14.86% vs Wipro 14.80%), HCLTech has been consistently more profitable over the 5-year period. The divergence is starker in return metrics: ROE of 25.0% vs 15.9% and ROCE of 30.8% vs 19.0% demonstrate that HCLTech generates far superior returns on invested capital. This gap is primarily driven by HCLTech's higher asset turnover efficiency, as the DuPont analysis in Section 5 confirms.</w:t>
      </w:r>
    </w:p>
    <w:p>
      <w:pPr>
        <w:spacing w:after="40" w:line="240" w:lineRule="auto"/>
      </w:pPr>
      <w:r>
        <w:rPr>
          <w:rFonts w:ascii="Times New Roman" w:hAnsi="Times New Roman"/>
          <w:b w:val="0"/>
          <w:i w:val="0"/>
          <w:sz w:val="22"/>
        </w:rPr>
        <w:t>Solvency: HCLTech's near-zero debt (D/E 0.03x) contrasts sharply with Wipro's 0.20x, which carries Rs 16,182 crore in total debt versus HCLTech's Rs 2,291 crore. The interest coverage gap is even more telling: 43.5x vs 14.8x. HCLTech's conservative financial structure provides greater strategic flexibility and lower financial risk.</w:t>
      </w:r>
    </w:p>
    <w:p>
      <w:pPr>
        <w:spacing w:after="40" w:line="240" w:lineRule="auto"/>
      </w:pPr>
      <w:r>
        <w:rPr>
          <w:rFonts w:ascii="Times New Roman" w:hAnsi="Times New Roman"/>
          <w:b w:val="0"/>
          <w:i w:val="0"/>
          <w:sz w:val="22"/>
        </w:rPr>
        <w:t>Liquidity &amp; Turnover: Wipro holds a marginal advantage in current ratio (2.72x vs 2.22x), primarily due to its larger current investment portfolio (Rs 41,147 crore vs Rs 7,473 crore). Both companies display the turnover characteristics typical of IT services: near-zero inventory, receivables collection periods of 60-80 days, and high fixed asset turnover. Wipro's FY2025 debtor turnover of 6.11x (vs HCL's 4.56x) appears stronger, but this is partly due to normalization of previously elevated receivables rather than structural efficiency improvement.</w:t>
      </w:r>
    </w:p>
    <w:p>
      <w:pPr>
        <w:spacing w:after="40" w:line="240" w:lineRule="auto"/>
      </w:pPr>
      <w:r>
        <w:rPr>
          <w:rFonts w:ascii="Times New Roman" w:hAnsi="Times New Roman"/>
          <w:b w:val="0"/>
          <w:i w:val="0"/>
          <w:sz w:val="22"/>
        </w:rPr>
        <w:t>Overall Assessment: Across the majority of financial parameters - revenue growth, profitability margins, return on equity and capital, solvency, and interest coverage - HCLTech demonstrates clear and consistent superiority. Wipro's only notable advantages are its higher current ratio and faster debtor collection in FY2025. The strategic implications are significant: HCLTech's organic growth model has delivered more predictable, higher-quality returns, while Wipro's acquisition-heavy approach has yet to translate into proportionate financial outperformance.</w:t>
      </w:r>
    </w:p>
    <w:p>
      <w:pPr>
        <w:pStyle w:val="Heading2"/>
        <w:spacing w:before="120" w:after="60"/>
      </w:pPr>
      <w:r>
        <w:rPr>
          <w:rFonts w:ascii="Times New Roman" w:hAnsi="Times New Roman"/>
          <w:color w:val="1F4E79"/>
        </w:rPr>
        <w:t>5. Value-Added Analysis &amp; Conclusion</w:t>
      </w:r>
    </w:p>
    <w:p>
      <w:pPr>
        <w:spacing w:after="40" w:line="240" w:lineRule="auto"/>
      </w:pPr>
      <w:r>
        <w:rPr>
          <w:rFonts w:ascii="Times New Roman" w:hAnsi="Times New Roman"/>
          <w:b/>
          <w:i w:val="0"/>
          <w:sz w:val="22"/>
        </w:rPr>
        <w:t>5.1 DuPont Analysis</w:t>
      </w:r>
    </w:p>
    <w:p>
      <w:pPr>
        <w:spacing w:after="40" w:line="240" w:lineRule="auto"/>
      </w:pPr>
      <w:r>
        <w:rPr>
          <w:rFonts w:ascii="Times New Roman" w:hAnsi="Times New Roman"/>
          <w:b w:val="0"/>
          <w:i w:val="0"/>
          <w:sz w:val="22"/>
        </w:rPr>
        <w:t>The DuPont framework decomposes Return on Equity into three multiplicative drivers: Net Profit Margin (profitability), Asset Turnover (efficiency), and Equity Multiplier (leverage). This decomposition reveals the underlying drivers of ROE differences between the two companies.</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shd w:fill="1F4E79"/>
          </w:tcPr>
          <w:p>
            <w:pPr>
              <w:jc w:val="center"/>
            </w:pPr>
            <w:r>
              <w:rPr>
                <w:rFonts w:ascii="Times New Roman" w:hAnsi="Times New Roman"/>
                <w:b/>
                <w:color w:val="FFFFFF"/>
                <w:sz w:val="18"/>
              </w:rPr>
              <w:t>DuPont Component</w:t>
            </w:r>
          </w:p>
        </w:tc>
        <w:tc>
          <w:tcPr>
            <w:tcW w:type="dxa" w:w="1872"/>
            <w:shd w:fill="1F4E79"/>
          </w:tcPr>
          <w:p>
            <w:pPr>
              <w:jc w:val="center"/>
            </w:pPr>
            <w:r>
              <w:rPr>
                <w:rFonts w:ascii="Times New Roman" w:hAnsi="Times New Roman"/>
                <w:b/>
                <w:color w:val="FFFFFF"/>
                <w:sz w:val="18"/>
              </w:rPr>
              <w:t>HCL FY2025</w:t>
            </w:r>
          </w:p>
        </w:tc>
        <w:tc>
          <w:tcPr>
            <w:tcW w:type="dxa" w:w="1872"/>
            <w:shd w:fill="1F4E79"/>
          </w:tcPr>
          <w:p>
            <w:pPr>
              <w:jc w:val="center"/>
            </w:pPr>
            <w:r>
              <w:rPr>
                <w:rFonts w:ascii="Times New Roman" w:hAnsi="Times New Roman"/>
                <w:b/>
                <w:color w:val="FFFFFF"/>
                <w:sz w:val="18"/>
              </w:rPr>
              <w:t>HCL FY2021</w:t>
            </w:r>
          </w:p>
        </w:tc>
        <w:tc>
          <w:tcPr>
            <w:tcW w:type="dxa" w:w="1872"/>
            <w:shd w:fill="1F4E79"/>
          </w:tcPr>
          <w:p>
            <w:pPr>
              <w:jc w:val="center"/>
            </w:pPr>
            <w:r>
              <w:rPr>
                <w:rFonts w:ascii="Times New Roman" w:hAnsi="Times New Roman"/>
                <w:b/>
                <w:color w:val="FFFFFF"/>
                <w:sz w:val="18"/>
              </w:rPr>
              <w:t>Wipro FY2025</w:t>
            </w:r>
          </w:p>
        </w:tc>
        <w:tc>
          <w:tcPr>
            <w:tcW w:type="dxa" w:w="1872"/>
            <w:shd w:fill="1F4E79"/>
          </w:tcPr>
          <w:p>
            <w:pPr>
              <w:jc w:val="center"/>
            </w:pPr>
            <w:r>
              <w:rPr>
                <w:rFonts w:ascii="Times New Roman" w:hAnsi="Times New Roman"/>
                <w:b/>
                <w:color w:val="FFFFFF"/>
                <w:sz w:val="18"/>
              </w:rPr>
              <w:t>Wipro FY2021</w:t>
            </w:r>
          </w:p>
        </w:tc>
      </w:tr>
      <w:tr>
        <w:tc>
          <w:tcPr>
            <w:tcW w:type="dxa" w:w="1872"/>
          </w:tcPr>
          <w:p>
            <w:pPr>
              <w:jc w:val="left"/>
            </w:pPr>
            <w:r>
              <w:rPr>
                <w:rFonts w:ascii="Times New Roman" w:hAnsi="Times New Roman"/>
                <w:sz w:val="18"/>
              </w:rPr>
              <w:t>Net Profit Margin</w:t>
            </w:r>
          </w:p>
        </w:tc>
        <w:tc>
          <w:tcPr>
            <w:tcW w:type="dxa" w:w="1872"/>
          </w:tcPr>
          <w:p>
            <w:pPr>
              <w:jc w:val="center"/>
            </w:pPr>
            <w:r>
              <w:rPr>
                <w:rFonts w:ascii="Times New Roman" w:hAnsi="Times New Roman"/>
                <w:sz w:val="18"/>
              </w:rPr>
              <w:t>0.1486</w:t>
            </w:r>
          </w:p>
        </w:tc>
        <w:tc>
          <w:tcPr>
            <w:tcW w:type="dxa" w:w="1872"/>
          </w:tcPr>
          <w:p>
            <w:pPr>
              <w:jc w:val="center"/>
            </w:pPr>
            <w:r>
              <w:rPr>
                <w:rFonts w:ascii="Times New Roman" w:hAnsi="Times New Roman"/>
                <w:sz w:val="18"/>
              </w:rPr>
              <w:t>0.1482</w:t>
            </w:r>
          </w:p>
        </w:tc>
        <w:tc>
          <w:tcPr>
            <w:tcW w:type="dxa" w:w="1872"/>
          </w:tcPr>
          <w:p>
            <w:pPr>
              <w:jc w:val="center"/>
            </w:pPr>
            <w:r>
              <w:rPr>
                <w:rFonts w:ascii="Times New Roman" w:hAnsi="Times New Roman"/>
                <w:sz w:val="18"/>
              </w:rPr>
              <w:t>0.1481</w:t>
            </w:r>
          </w:p>
        </w:tc>
        <w:tc>
          <w:tcPr>
            <w:tcW w:type="dxa" w:w="1872"/>
          </w:tcPr>
          <w:p>
            <w:pPr>
              <w:jc w:val="center"/>
            </w:pPr>
            <w:r>
              <w:rPr>
                <w:rFonts w:ascii="Times New Roman" w:hAnsi="Times New Roman"/>
                <w:sz w:val="18"/>
              </w:rPr>
              <w:t>0.1752</w:t>
            </w:r>
          </w:p>
        </w:tc>
      </w:tr>
      <w:tr>
        <w:tc>
          <w:tcPr>
            <w:tcW w:type="dxa" w:w="1872"/>
          </w:tcPr>
          <w:p>
            <w:pPr>
              <w:jc w:val="left"/>
            </w:pPr>
            <w:r>
              <w:rPr>
                <w:rFonts w:ascii="Times New Roman" w:hAnsi="Times New Roman"/>
                <w:sz w:val="18"/>
              </w:rPr>
              <w:t>Asset Turnover</w:t>
            </w:r>
          </w:p>
        </w:tc>
        <w:tc>
          <w:tcPr>
            <w:tcW w:type="dxa" w:w="1872"/>
          </w:tcPr>
          <w:p>
            <w:pPr>
              <w:jc w:val="center"/>
            </w:pPr>
            <w:r>
              <w:rPr>
                <w:rFonts w:ascii="Times New Roman" w:hAnsi="Times New Roman"/>
                <w:sz w:val="18"/>
              </w:rPr>
              <w:t>1.1091</w:t>
            </w:r>
          </w:p>
        </w:tc>
        <w:tc>
          <w:tcPr>
            <w:tcW w:type="dxa" w:w="1872"/>
          </w:tcPr>
          <w:p>
            <w:pPr>
              <w:jc w:val="center"/>
            </w:pPr>
            <w:r>
              <w:rPr>
                <w:rFonts w:ascii="Times New Roman" w:hAnsi="Times New Roman"/>
                <w:sz w:val="18"/>
              </w:rPr>
              <w:t>0.8745</w:t>
            </w:r>
          </w:p>
        </w:tc>
        <w:tc>
          <w:tcPr>
            <w:tcW w:type="dxa" w:w="1872"/>
          </w:tcPr>
          <w:p>
            <w:pPr>
              <w:jc w:val="center"/>
            </w:pPr>
            <w:r>
              <w:rPr>
                <w:rFonts w:ascii="Times New Roman" w:hAnsi="Times New Roman"/>
                <w:sz w:val="18"/>
              </w:rPr>
              <w:t>0.6950</w:t>
            </w:r>
          </w:p>
        </w:tc>
        <w:tc>
          <w:tcPr>
            <w:tcW w:type="dxa" w:w="1872"/>
          </w:tcPr>
          <w:p>
            <w:pPr>
              <w:jc w:val="center"/>
            </w:pPr>
            <w:r>
              <w:rPr>
                <w:rFonts w:ascii="Times New Roman" w:hAnsi="Times New Roman"/>
                <w:sz w:val="18"/>
              </w:rPr>
              <w:t>0.7487</w:t>
            </w:r>
          </w:p>
        </w:tc>
      </w:tr>
      <w:tr>
        <w:tc>
          <w:tcPr>
            <w:tcW w:type="dxa" w:w="1872"/>
          </w:tcPr>
          <w:p>
            <w:pPr>
              <w:jc w:val="left"/>
            </w:pPr>
            <w:r>
              <w:rPr>
                <w:rFonts w:ascii="Times New Roman" w:hAnsi="Times New Roman"/>
                <w:sz w:val="18"/>
              </w:rPr>
              <w:t>Equity Multiplier</w:t>
            </w:r>
          </w:p>
        </w:tc>
        <w:tc>
          <w:tcPr>
            <w:tcW w:type="dxa" w:w="1872"/>
          </w:tcPr>
          <w:p>
            <w:pPr>
              <w:jc w:val="center"/>
            </w:pPr>
            <w:r>
              <w:rPr>
                <w:rFonts w:ascii="Times New Roman" w:hAnsi="Times New Roman"/>
                <w:sz w:val="18"/>
              </w:rPr>
              <w:t>1.5152</w:t>
            </w:r>
          </w:p>
        </w:tc>
        <w:tc>
          <w:tcPr>
            <w:tcW w:type="dxa" w:w="1872"/>
          </w:tcPr>
          <w:p>
            <w:pPr>
              <w:jc w:val="center"/>
            </w:pPr>
            <w:r>
              <w:rPr>
                <w:rFonts w:ascii="Times New Roman" w:hAnsi="Times New Roman"/>
                <w:sz w:val="18"/>
              </w:rPr>
              <w:t>1.4387</w:t>
            </w:r>
          </w:p>
        </w:tc>
        <w:tc>
          <w:tcPr>
            <w:tcW w:type="dxa" w:w="1872"/>
          </w:tcPr>
          <w:p>
            <w:pPr>
              <w:jc w:val="center"/>
            </w:pPr>
            <w:r>
              <w:rPr>
                <w:rFonts w:ascii="Times New Roman" w:hAnsi="Times New Roman"/>
                <w:sz w:val="18"/>
              </w:rPr>
              <w:t>1.5563</w:t>
            </w:r>
          </w:p>
        </w:tc>
        <w:tc>
          <w:tcPr>
            <w:tcW w:type="dxa" w:w="1872"/>
          </w:tcPr>
          <w:p>
            <w:pPr>
              <w:jc w:val="center"/>
            </w:pPr>
            <w:r>
              <w:rPr>
                <w:rFonts w:ascii="Times New Roman" w:hAnsi="Times New Roman"/>
                <w:sz w:val="18"/>
              </w:rPr>
              <w:t>1.5069</w:t>
            </w:r>
          </w:p>
        </w:tc>
      </w:tr>
      <w:tr>
        <w:tc>
          <w:tcPr>
            <w:tcW w:type="dxa" w:w="1872"/>
          </w:tcPr>
          <w:p>
            <w:pPr>
              <w:jc w:val="left"/>
            </w:pPr>
            <w:r>
              <w:rPr>
                <w:rFonts w:ascii="Times New Roman" w:hAnsi="Times New Roman"/>
                <w:sz w:val="18"/>
              </w:rPr>
              <w:t>ROE (%)</w:t>
            </w:r>
          </w:p>
        </w:tc>
        <w:tc>
          <w:tcPr>
            <w:tcW w:type="dxa" w:w="1872"/>
          </w:tcPr>
          <w:p>
            <w:pPr>
              <w:jc w:val="center"/>
            </w:pPr>
            <w:r>
              <w:rPr>
                <w:rFonts w:ascii="Times New Roman" w:hAnsi="Times New Roman"/>
                <w:sz w:val="18"/>
              </w:rPr>
              <w:t>24.98</w:t>
            </w:r>
          </w:p>
        </w:tc>
        <w:tc>
          <w:tcPr>
            <w:tcW w:type="dxa" w:w="1872"/>
          </w:tcPr>
          <w:p>
            <w:pPr>
              <w:jc w:val="center"/>
            </w:pPr>
            <w:r>
              <w:rPr>
                <w:rFonts w:ascii="Times New Roman" w:hAnsi="Times New Roman"/>
                <w:sz w:val="18"/>
              </w:rPr>
              <w:t>18.64</w:t>
            </w:r>
          </w:p>
        </w:tc>
        <w:tc>
          <w:tcPr>
            <w:tcW w:type="dxa" w:w="1872"/>
          </w:tcPr>
          <w:p>
            <w:pPr>
              <w:jc w:val="center"/>
            </w:pPr>
            <w:r>
              <w:rPr>
                <w:rFonts w:ascii="Times New Roman" w:hAnsi="Times New Roman"/>
                <w:sz w:val="18"/>
              </w:rPr>
              <w:t>16.02</w:t>
            </w:r>
          </w:p>
        </w:tc>
        <w:tc>
          <w:tcPr>
            <w:tcW w:type="dxa" w:w="1872"/>
          </w:tcPr>
          <w:p>
            <w:pPr>
              <w:jc w:val="center"/>
            </w:pPr>
            <w:r>
              <w:rPr>
                <w:rFonts w:ascii="Times New Roman" w:hAnsi="Times New Roman"/>
                <w:sz w:val="18"/>
              </w:rPr>
              <w:t>19.77</w:t>
            </w:r>
          </w:p>
        </w:tc>
      </w:tr>
    </w:tbl>
    <w:p>
      <w:pPr>
        <w:spacing w:after="40" w:line="240" w:lineRule="auto"/>
      </w:pPr>
      <w:r>
        <w:rPr>
          <w:rFonts w:ascii="Times New Roman" w:hAnsi="Times New Roman"/>
          <w:b w:val="0"/>
          <w:i w:val="0"/>
          <w:sz w:val="22"/>
        </w:rPr>
        <w:t>DuPont Derivation - HCL FY2025:</w:t>
      </w:r>
    </w:p>
    <w:p>
      <w:pPr>
        <w:spacing w:after="40" w:line="240" w:lineRule="auto"/>
      </w:pPr>
      <w:r>
        <w:rPr>
          <w:rFonts w:ascii="Times New Roman" w:hAnsi="Times New Roman"/>
          <w:b w:val="0"/>
          <w:i w:val="0"/>
          <w:sz w:val="20"/>
        </w:rPr>
        <w:t xml:space="preserve">  Net Profit Margin = PAT / Revenue = 17,399 / 1,17,055 = 0.1486 (PAT from HCL P&amp;L; Revenue from HCL P&amp;L)</w:t>
      </w:r>
    </w:p>
    <w:p>
      <w:pPr>
        <w:spacing w:after="40" w:line="240" w:lineRule="auto"/>
      </w:pPr>
      <w:r>
        <w:rPr>
          <w:rFonts w:ascii="Times New Roman" w:hAnsi="Times New Roman"/>
          <w:b w:val="0"/>
          <w:i w:val="0"/>
          <w:sz w:val="20"/>
        </w:rPr>
        <w:t xml:space="preserve">  Asset Turnover = Revenue / Total Assets = 1,17,055 / 1,05,544 = 1.1091 (Revenue from HCL P&amp;L; Total Assets from HCL Balance Sheet)</w:t>
      </w:r>
    </w:p>
    <w:p>
      <w:pPr>
        <w:spacing w:after="40" w:line="240" w:lineRule="auto"/>
      </w:pPr>
      <w:r>
        <w:rPr>
          <w:rFonts w:ascii="Times New Roman" w:hAnsi="Times New Roman"/>
          <w:b w:val="0"/>
          <w:i w:val="0"/>
          <w:sz w:val="20"/>
        </w:rPr>
        <w:t xml:space="preserve">  Equity Multiplier = Total Assets / Total Shareholders' Funds = 1,05,544 / 69,655 = 1.5152 (both from HCL Balance Sheet)</w:t>
      </w:r>
    </w:p>
    <w:p>
      <w:pPr>
        <w:spacing w:after="40" w:line="240" w:lineRule="auto"/>
      </w:pPr>
      <w:r>
        <w:rPr>
          <w:rFonts w:ascii="Times New Roman" w:hAnsi="Times New Roman"/>
          <w:b w:val="0"/>
          <w:i w:val="0"/>
          <w:sz w:val="20"/>
        </w:rPr>
        <w:t xml:space="preserve">  ROE = 0.1486 x 1.1091 x 1.5152 x 100 = 24.98%</w:t>
      </w:r>
    </w:p>
    <w:p>
      <w:pPr>
        <w:spacing w:after="40" w:line="240" w:lineRule="auto"/>
      </w:pPr>
      <w:r>
        <w:rPr>
          <w:rFonts w:ascii="Times New Roman" w:hAnsi="Times New Roman"/>
          <w:b w:val="0"/>
          <w:i w:val="0"/>
          <w:sz w:val="22"/>
        </w:rPr>
        <w:t>DuPont Derivation - Wipro FY2025:</w:t>
      </w:r>
    </w:p>
    <w:p>
      <w:pPr>
        <w:spacing w:after="40" w:line="240" w:lineRule="auto"/>
      </w:pPr>
      <w:r>
        <w:rPr>
          <w:rFonts w:ascii="Times New Roman" w:hAnsi="Times New Roman"/>
          <w:b w:val="0"/>
          <w:i w:val="0"/>
          <w:sz w:val="20"/>
        </w:rPr>
        <w:t xml:space="preserve">  Net Profit Margin = PAT / Revenue = 13,192.6 / 89,088.4 = 0.1481 (PAT from Wipro P&amp;L; Revenue from Wipro P&amp;L)</w:t>
      </w:r>
    </w:p>
    <w:p>
      <w:pPr>
        <w:spacing w:after="40" w:line="240" w:lineRule="auto"/>
      </w:pPr>
      <w:r>
        <w:rPr>
          <w:rFonts w:ascii="Times New Roman" w:hAnsi="Times New Roman"/>
          <w:b w:val="0"/>
          <w:i w:val="0"/>
          <w:sz w:val="20"/>
        </w:rPr>
        <w:t xml:space="preserve">  Asset Turnover = Revenue / Total Assets = 89,088.4 / 1,28,185.2 = 0.6950 (Revenue from Wipro P&amp;L; Total Assets from Wipro Balance Sheet)</w:t>
      </w:r>
    </w:p>
    <w:p>
      <w:pPr>
        <w:spacing w:after="40" w:line="240" w:lineRule="auto"/>
      </w:pPr>
      <w:r>
        <w:rPr>
          <w:rFonts w:ascii="Times New Roman" w:hAnsi="Times New Roman"/>
          <w:b w:val="0"/>
          <w:i w:val="0"/>
          <w:sz w:val="20"/>
        </w:rPr>
        <w:t xml:space="preserve">  Equity Multiplier = Total Assets / Total Shareholders' Funds = 1,28,185.2 / 82,364.1 = 1.5563 (both from Wipro Balance Sheet)</w:t>
      </w:r>
    </w:p>
    <w:p>
      <w:pPr>
        <w:spacing w:after="40" w:line="240" w:lineRule="auto"/>
      </w:pPr>
      <w:r>
        <w:rPr>
          <w:rFonts w:ascii="Times New Roman" w:hAnsi="Times New Roman"/>
          <w:b w:val="0"/>
          <w:i w:val="0"/>
          <w:sz w:val="20"/>
        </w:rPr>
        <w:t xml:space="preserve">  ROE = 0.1481 x 0.6950 x 1.5563 x 100 = 16.02%</w:t>
      </w:r>
    </w:p>
    <w:p>
      <w:pPr>
        <w:spacing w:after="40" w:line="240" w:lineRule="auto"/>
      </w:pPr>
      <w:r>
        <w:rPr>
          <w:rFonts w:ascii="Times New Roman" w:hAnsi="Times New Roman"/>
          <w:b w:val="0"/>
          <w:i w:val="0"/>
          <w:sz w:val="22"/>
        </w:rPr>
        <w:t>The DuPont analysis reveals that the 9-percentage-point gap in ROE between HCLTech (25.0%) and Wipro (16.0%) is almost entirely attributable to asset turnover (1.109 vs 0.695). Both companies have similar profit margins (~14.8%) and comparable equity multipliers (1.52 vs 1.56). The lower asset turnover for Wipro reflects the significant goodwill and intangible assets from the Capco acquisition (intangibles of Rs 2,745 crore), which inflate the asset base without generating proportional revenue. Over 5 years, HCLTech's asset turnover improved from 0.87x to 1.11x, while Wipro's deteriorated from 0.75x to 0.70x, confirming that acquisitions expanded Wipro's balance sheet faster than its revenue.</w:t>
      </w:r>
    </w:p>
    <w:p>
      <w:pPr>
        <w:spacing w:after="40" w:line="240" w:lineRule="auto"/>
      </w:pPr>
      <w:r>
        <w:rPr>
          <w:rFonts w:ascii="Times New Roman" w:hAnsi="Times New Roman"/>
          <w:b/>
          <w:i w:val="0"/>
          <w:sz w:val="22"/>
        </w:rPr>
        <w:t>5.2 Cash Conversion Cycle (CCC)</w:t>
      </w:r>
    </w:p>
    <w:p>
      <w:pPr>
        <w:spacing w:after="40" w:line="240" w:lineRule="auto"/>
      </w:pPr>
      <w:r>
        <w:rPr>
          <w:rFonts w:ascii="Times New Roman" w:hAnsi="Times New Roman"/>
          <w:b w:val="0"/>
          <w:i w:val="0"/>
          <w:sz w:val="22"/>
        </w:rPr>
        <w:t>The Cash Conversion Cycle measures the time (in days) it takes for a company to convert its investments in inventory and other resources into cash flows from sales. CCC = Days Inventory Outstanding (DIO) + Days Sales Outstanding (DSO) - Days Payable Outstanding (DPO).</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shd w:fill="1F4E79"/>
          </w:tcPr>
          <w:p>
            <w:pPr>
              <w:jc w:val="center"/>
            </w:pPr>
            <w:r>
              <w:rPr>
                <w:rFonts w:ascii="Times New Roman" w:hAnsi="Times New Roman"/>
                <w:b/>
                <w:color w:val="FFFFFF"/>
                <w:sz w:val="18"/>
              </w:rPr>
              <w:t>CCC Component</w:t>
            </w:r>
          </w:p>
        </w:tc>
        <w:tc>
          <w:tcPr>
            <w:tcW w:type="dxa" w:w="1872"/>
            <w:shd w:fill="1F4E79"/>
          </w:tcPr>
          <w:p>
            <w:pPr>
              <w:jc w:val="center"/>
            </w:pPr>
            <w:r>
              <w:rPr>
                <w:rFonts w:ascii="Times New Roman" w:hAnsi="Times New Roman"/>
                <w:b/>
                <w:color w:val="FFFFFF"/>
                <w:sz w:val="18"/>
              </w:rPr>
              <w:t>HCL FY2025</w:t>
            </w:r>
          </w:p>
        </w:tc>
        <w:tc>
          <w:tcPr>
            <w:tcW w:type="dxa" w:w="1872"/>
            <w:shd w:fill="1F4E79"/>
          </w:tcPr>
          <w:p>
            <w:pPr>
              <w:jc w:val="center"/>
            </w:pPr>
            <w:r>
              <w:rPr>
                <w:rFonts w:ascii="Times New Roman" w:hAnsi="Times New Roman"/>
                <w:b/>
                <w:color w:val="FFFFFF"/>
                <w:sz w:val="18"/>
              </w:rPr>
              <w:t>HCL FY2021</w:t>
            </w:r>
          </w:p>
        </w:tc>
        <w:tc>
          <w:tcPr>
            <w:tcW w:type="dxa" w:w="1872"/>
            <w:shd w:fill="1F4E79"/>
          </w:tcPr>
          <w:p>
            <w:pPr>
              <w:jc w:val="center"/>
            </w:pPr>
            <w:r>
              <w:rPr>
                <w:rFonts w:ascii="Times New Roman" w:hAnsi="Times New Roman"/>
                <w:b/>
                <w:color w:val="FFFFFF"/>
                <w:sz w:val="18"/>
              </w:rPr>
              <w:t>Wipro FY2025</w:t>
            </w:r>
          </w:p>
        </w:tc>
        <w:tc>
          <w:tcPr>
            <w:tcW w:type="dxa" w:w="1872"/>
            <w:shd w:fill="1F4E79"/>
          </w:tcPr>
          <w:p>
            <w:pPr>
              <w:jc w:val="center"/>
            </w:pPr>
            <w:r>
              <w:rPr>
                <w:rFonts w:ascii="Times New Roman" w:hAnsi="Times New Roman"/>
                <w:b/>
                <w:color w:val="FFFFFF"/>
                <w:sz w:val="18"/>
              </w:rPr>
              <w:t>Wipro FY2021</w:t>
            </w:r>
          </w:p>
        </w:tc>
      </w:tr>
      <w:tr>
        <w:tc>
          <w:tcPr>
            <w:tcW w:type="dxa" w:w="1872"/>
          </w:tcPr>
          <w:p>
            <w:pPr>
              <w:jc w:val="left"/>
            </w:pPr>
            <w:r>
              <w:rPr>
                <w:rFonts w:ascii="Times New Roman" w:hAnsi="Times New Roman"/>
                <w:sz w:val="18"/>
              </w:rPr>
              <w:t>DIO (days)</w:t>
            </w:r>
          </w:p>
        </w:tc>
        <w:tc>
          <w:tcPr>
            <w:tcW w:type="dxa" w:w="1872"/>
          </w:tcPr>
          <w:p>
            <w:pPr>
              <w:jc w:val="center"/>
            </w:pPr>
            <w:r>
              <w:rPr>
                <w:rFonts w:ascii="Times New Roman" w:hAnsi="Times New Roman"/>
                <w:sz w:val="18"/>
              </w:rPr>
              <w:t>3.4</w:t>
            </w:r>
          </w:p>
        </w:tc>
        <w:tc>
          <w:tcPr>
            <w:tcW w:type="dxa" w:w="1872"/>
          </w:tcPr>
          <w:p>
            <w:pPr>
              <w:jc w:val="center"/>
            </w:pPr>
            <w:r>
              <w:rPr>
                <w:rFonts w:ascii="Times New Roman" w:hAnsi="Times New Roman"/>
                <w:sz w:val="18"/>
              </w:rPr>
              <w:t>2.9</w:t>
            </w:r>
          </w:p>
        </w:tc>
        <w:tc>
          <w:tcPr>
            <w:tcW w:type="dxa" w:w="1872"/>
          </w:tcPr>
          <w:p>
            <w:pPr>
              <w:jc w:val="center"/>
            </w:pPr>
            <w:r>
              <w:rPr>
                <w:rFonts w:ascii="Times New Roman" w:hAnsi="Times New Roman"/>
                <w:sz w:val="18"/>
              </w:rPr>
              <w:t>2.3</w:t>
            </w:r>
          </w:p>
        </w:tc>
        <w:tc>
          <w:tcPr>
            <w:tcW w:type="dxa" w:w="1872"/>
          </w:tcPr>
          <w:p>
            <w:pPr>
              <w:jc w:val="center"/>
            </w:pPr>
            <w:r>
              <w:rPr>
                <w:rFonts w:ascii="Times New Roman" w:hAnsi="Times New Roman"/>
                <w:sz w:val="18"/>
              </w:rPr>
              <w:t>3.0</w:t>
            </w:r>
          </w:p>
        </w:tc>
      </w:tr>
      <w:tr>
        <w:tc>
          <w:tcPr>
            <w:tcW w:type="dxa" w:w="1872"/>
          </w:tcPr>
          <w:p>
            <w:pPr>
              <w:jc w:val="left"/>
            </w:pPr>
            <w:r>
              <w:rPr>
                <w:rFonts w:ascii="Times New Roman" w:hAnsi="Times New Roman"/>
                <w:sz w:val="18"/>
              </w:rPr>
              <w:t>DSO (days)</w:t>
            </w:r>
          </w:p>
        </w:tc>
        <w:tc>
          <w:tcPr>
            <w:tcW w:type="dxa" w:w="1872"/>
          </w:tcPr>
          <w:p>
            <w:pPr>
              <w:jc w:val="center"/>
            </w:pPr>
            <w:r>
              <w:rPr>
                <w:rFonts w:ascii="Times New Roman" w:hAnsi="Times New Roman"/>
                <w:sz w:val="18"/>
              </w:rPr>
              <w:t>80.1</w:t>
            </w:r>
          </w:p>
        </w:tc>
        <w:tc>
          <w:tcPr>
            <w:tcW w:type="dxa" w:w="1872"/>
          </w:tcPr>
          <w:p>
            <w:pPr>
              <w:jc w:val="center"/>
            </w:pPr>
            <w:r>
              <w:rPr>
                <w:rFonts w:ascii="Times New Roman" w:hAnsi="Times New Roman"/>
                <w:sz w:val="18"/>
              </w:rPr>
              <w:t>66.2</w:t>
            </w:r>
          </w:p>
        </w:tc>
        <w:tc>
          <w:tcPr>
            <w:tcW w:type="dxa" w:w="1872"/>
          </w:tcPr>
          <w:p>
            <w:pPr>
              <w:jc w:val="center"/>
            </w:pPr>
            <w:r>
              <w:rPr>
                <w:rFonts w:ascii="Times New Roman" w:hAnsi="Times New Roman"/>
                <w:sz w:val="18"/>
              </w:rPr>
              <w:t>59.7</w:t>
            </w:r>
          </w:p>
        </w:tc>
        <w:tc>
          <w:tcPr>
            <w:tcW w:type="dxa" w:w="1872"/>
          </w:tcPr>
          <w:p>
            <w:pPr>
              <w:jc w:val="center"/>
            </w:pPr>
            <w:r>
              <w:rPr>
                <w:rFonts w:ascii="Times New Roman" w:hAnsi="Times New Roman"/>
                <w:sz w:val="18"/>
              </w:rPr>
              <w:t>55.6</w:t>
            </w:r>
          </w:p>
        </w:tc>
      </w:tr>
      <w:tr>
        <w:tc>
          <w:tcPr>
            <w:tcW w:type="dxa" w:w="1872"/>
          </w:tcPr>
          <w:p>
            <w:pPr>
              <w:jc w:val="left"/>
            </w:pPr>
            <w:r>
              <w:rPr>
                <w:rFonts w:ascii="Times New Roman" w:hAnsi="Times New Roman"/>
                <w:sz w:val="18"/>
              </w:rPr>
              <w:t>DPO (days)</w:t>
            </w:r>
          </w:p>
        </w:tc>
        <w:tc>
          <w:tcPr>
            <w:tcW w:type="dxa" w:w="1872"/>
          </w:tcPr>
          <w:p>
            <w:pPr>
              <w:jc w:val="center"/>
            </w:pPr>
            <w:r>
              <w:rPr>
                <w:rFonts w:ascii="Times New Roman" w:hAnsi="Times New Roman"/>
                <w:sz w:val="18"/>
              </w:rPr>
              <w:t>140.8</w:t>
            </w:r>
          </w:p>
        </w:tc>
        <w:tc>
          <w:tcPr>
            <w:tcW w:type="dxa" w:w="1872"/>
          </w:tcPr>
          <w:p>
            <w:pPr>
              <w:jc w:val="center"/>
            </w:pPr>
            <w:r>
              <w:rPr>
                <w:rFonts w:ascii="Times New Roman" w:hAnsi="Times New Roman"/>
                <w:sz w:val="18"/>
              </w:rPr>
              <w:t>38.2</w:t>
            </w:r>
          </w:p>
        </w:tc>
        <w:tc>
          <w:tcPr>
            <w:tcW w:type="dxa" w:w="1872"/>
          </w:tcPr>
          <w:p>
            <w:pPr>
              <w:jc w:val="center"/>
            </w:pPr>
            <w:r>
              <w:rPr>
                <w:rFonts w:ascii="Times New Roman" w:hAnsi="Times New Roman"/>
                <w:sz w:val="18"/>
              </w:rPr>
              <w:t>119.9</w:t>
            </w:r>
          </w:p>
        </w:tc>
        <w:tc>
          <w:tcPr>
            <w:tcW w:type="dxa" w:w="1872"/>
          </w:tcPr>
          <w:p>
            <w:pPr>
              <w:jc w:val="center"/>
            </w:pPr>
            <w:r>
              <w:rPr>
                <w:rFonts w:ascii="Times New Roman" w:hAnsi="Times New Roman"/>
                <w:sz w:val="18"/>
              </w:rPr>
              <w:t>142.3</w:t>
            </w:r>
          </w:p>
        </w:tc>
      </w:tr>
      <w:tr>
        <w:tc>
          <w:tcPr>
            <w:tcW w:type="dxa" w:w="1872"/>
          </w:tcPr>
          <w:p>
            <w:pPr>
              <w:jc w:val="left"/>
            </w:pPr>
            <w:r>
              <w:rPr>
                <w:rFonts w:ascii="Times New Roman" w:hAnsi="Times New Roman"/>
                <w:sz w:val="18"/>
              </w:rPr>
              <w:t>CCC (days)</w:t>
            </w:r>
          </w:p>
        </w:tc>
        <w:tc>
          <w:tcPr>
            <w:tcW w:type="dxa" w:w="1872"/>
          </w:tcPr>
          <w:p>
            <w:pPr>
              <w:jc w:val="center"/>
            </w:pPr>
            <w:r>
              <w:rPr>
                <w:rFonts w:ascii="Times New Roman" w:hAnsi="Times New Roman"/>
                <w:sz w:val="18"/>
              </w:rPr>
              <w:t>-57.3</w:t>
            </w:r>
          </w:p>
        </w:tc>
        <w:tc>
          <w:tcPr>
            <w:tcW w:type="dxa" w:w="1872"/>
          </w:tcPr>
          <w:p>
            <w:pPr>
              <w:jc w:val="center"/>
            </w:pPr>
            <w:r>
              <w:rPr>
                <w:rFonts w:ascii="Times New Roman" w:hAnsi="Times New Roman"/>
                <w:sz w:val="18"/>
              </w:rPr>
              <w:t>30.8</w:t>
            </w:r>
          </w:p>
        </w:tc>
        <w:tc>
          <w:tcPr>
            <w:tcW w:type="dxa" w:w="1872"/>
          </w:tcPr>
          <w:p>
            <w:pPr>
              <w:jc w:val="center"/>
            </w:pPr>
            <w:r>
              <w:rPr>
                <w:rFonts w:ascii="Times New Roman" w:hAnsi="Times New Roman"/>
                <w:sz w:val="18"/>
              </w:rPr>
              <w:t>-57.9</w:t>
            </w:r>
          </w:p>
        </w:tc>
        <w:tc>
          <w:tcPr>
            <w:tcW w:type="dxa" w:w="1872"/>
          </w:tcPr>
          <w:p>
            <w:pPr>
              <w:jc w:val="center"/>
            </w:pPr>
            <w:r>
              <w:rPr>
                <w:rFonts w:ascii="Times New Roman" w:hAnsi="Times New Roman"/>
                <w:sz w:val="18"/>
              </w:rPr>
              <w:t>-83.7</w:t>
            </w:r>
          </w:p>
        </w:tc>
      </w:tr>
    </w:tbl>
    <w:p>
      <w:pPr>
        <w:spacing w:after="40" w:line="240" w:lineRule="auto"/>
      </w:pPr>
      <w:r>
        <w:rPr>
          <w:rFonts w:ascii="Times New Roman" w:hAnsi="Times New Roman"/>
          <w:b w:val="0"/>
          <w:i w:val="0"/>
          <w:sz w:val="20"/>
        </w:rPr>
        <w:t>CCC Derivation - HCL FY2025:</w:t>
      </w:r>
    </w:p>
    <w:p>
      <w:pPr>
        <w:spacing w:after="40" w:line="240" w:lineRule="auto"/>
      </w:pPr>
      <w:r>
        <w:rPr>
          <w:rFonts w:ascii="Times New Roman" w:hAnsi="Times New Roman"/>
          <w:b w:val="0"/>
          <w:i w:val="0"/>
          <w:sz w:val="20"/>
        </w:rPr>
        <w:t xml:space="preserve">  DIO = 365 x Avg(Inventories FY25, FY24) / COGS = 365 x Avg(133, 185) / 17,190 = 3.4 days (Inventories from HCL Balance Sheet; COGS = Purchase + Operating Exp + Inv Changes from HCL P&amp;L)</w:t>
      </w:r>
    </w:p>
    <w:p>
      <w:pPr>
        <w:spacing w:after="40" w:line="240" w:lineRule="auto"/>
      </w:pPr>
      <w:r>
        <w:rPr>
          <w:rFonts w:ascii="Times New Roman" w:hAnsi="Times New Roman"/>
          <w:b w:val="0"/>
          <w:i w:val="0"/>
          <w:sz w:val="20"/>
        </w:rPr>
        <w:t xml:space="preserve">  DSO = 365 x Avg(Trade Rec FY25, FY24) / Revenue = 365 x Avg(25,842, 25,521) / 1,17,055 = 80.1 days (Trade Receivables from HCL Balance Sheet; Revenue from HCL P&amp;L)</w:t>
      </w:r>
    </w:p>
    <w:p>
      <w:pPr>
        <w:spacing w:after="40" w:line="240" w:lineRule="auto"/>
      </w:pPr>
      <w:r>
        <w:rPr>
          <w:rFonts w:ascii="Times New Roman" w:hAnsi="Times New Roman"/>
          <w:b w:val="0"/>
          <w:i w:val="0"/>
          <w:sz w:val="20"/>
        </w:rPr>
        <w:t xml:space="preserve">  DPO = 365 x Avg(Trade Pay FY25, FY24) / Purchases = 365 x Avg(13,234, 5,853) / 24,744 = 140.8 days (Trade Payables from HCL Balance Sheet; Purchases = Purchase + Op Exp + Other Exp from HCL P&amp;L)</w:t>
      </w:r>
    </w:p>
    <w:p>
      <w:pPr>
        <w:spacing w:after="40" w:line="240" w:lineRule="auto"/>
      </w:pPr>
      <w:r>
        <w:rPr>
          <w:rFonts w:ascii="Times New Roman" w:hAnsi="Times New Roman"/>
          <w:b w:val="0"/>
          <w:i w:val="0"/>
          <w:sz w:val="20"/>
        </w:rPr>
        <w:t xml:space="preserve">  CCC = DIO + DSO - DPO = 3.4 + 80.1 - 140.8 = -57.3 days</w:t>
      </w:r>
    </w:p>
    <w:p>
      <w:pPr>
        <w:spacing w:after="40" w:line="240" w:lineRule="auto"/>
      </w:pPr>
      <w:r>
        <w:rPr>
          <w:rFonts w:ascii="Times New Roman" w:hAnsi="Times New Roman"/>
          <w:b w:val="0"/>
          <w:i w:val="0"/>
          <w:sz w:val="20"/>
        </w:rPr>
        <w:t>CCC Derivation - Wipro FY2025:</w:t>
      </w:r>
    </w:p>
    <w:p>
      <w:pPr>
        <w:spacing w:after="40" w:line="240" w:lineRule="auto"/>
      </w:pPr>
      <w:r>
        <w:rPr>
          <w:rFonts w:ascii="Times New Roman" w:hAnsi="Times New Roman"/>
          <w:b w:val="0"/>
          <w:i w:val="0"/>
          <w:sz w:val="20"/>
        </w:rPr>
        <w:t xml:space="preserve">  DIO = 365 x Avg(69.4, 90.7) / 12,649.0 = 2.3 days (Inventories from Wipro Balance Sheet; COGS from Wipro P&amp;L)</w:t>
      </w:r>
    </w:p>
    <w:p>
      <w:pPr>
        <w:spacing w:after="40" w:line="240" w:lineRule="auto"/>
      </w:pPr>
      <w:r>
        <w:rPr>
          <w:rFonts w:ascii="Times New Roman" w:hAnsi="Times New Roman"/>
          <w:b w:val="0"/>
          <w:i w:val="0"/>
          <w:sz w:val="20"/>
        </w:rPr>
        <w:t xml:space="preserve">  DSO = 365 x Avg(11,774.5, 17,382.2) / 89,088.4 = 59.7 days (Trade Receivables from Wipro Balance Sheet; Revenue from Wipro P&amp;L)</w:t>
      </w:r>
    </w:p>
    <w:p>
      <w:pPr>
        <w:spacing w:after="40" w:line="240" w:lineRule="auto"/>
      </w:pPr>
      <w:r>
        <w:rPr>
          <w:rFonts w:ascii="Times New Roman" w:hAnsi="Times New Roman"/>
          <w:b w:val="0"/>
          <w:i w:val="0"/>
          <w:sz w:val="20"/>
        </w:rPr>
        <w:t xml:space="preserve">  DPO = 365 x Avg(5,866.7, 5,765.5) / 17,700.0 = 119.9 days (Trade Payables from Wipro Balance Sheet; Purchases from Wipro P&amp;L)</w:t>
      </w:r>
    </w:p>
    <w:p>
      <w:pPr>
        <w:spacing w:after="40" w:line="240" w:lineRule="auto"/>
      </w:pPr>
      <w:r>
        <w:rPr>
          <w:rFonts w:ascii="Times New Roman" w:hAnsi="Times New Roman"/>
          <w:b w:val="0"/>
          <w:i w:val="0"/>
          <w:sz w:val="20"/>
        </w:rPr>
        <w:t xml:space="preserve">  CCC = 2.3 + 59.7 - 119.9 = -57.9 days</w:t>
      </w:r>
    </w:p>
    <w:p>
      <w:pPr>
        <w:spacing w:after="40" w:line="240" w:lineRule="auto"/>
      </w:pPr>
      <w:r>
        <w:rPr>
          <w:rFonts w:ascii="Times New Roman" w:hAnsi="Times New Roman"/>
          <w:b w:val="0"/>
          <w:i w:val="0"/>
          <w:sz w:val="22"/>
        </w:rPr>
        <w:t>Both companies exhibit negative CCCs (HCL: -57.3 days, Wipro: -57.9 days), which is typical of IT services firms that collect from clients relatively quickly compared to their payment obligations, and hold negligible inventory. HCLTech's CCC is more negative, indicating superior working capital efficiency. However, HCLTech's DPO of 203 days is elevated in FY2025 due to a spike in trade payables (from Rs 5,853 crore to Rs 13,234 crore), which may reflect reclassification between 'Other Current Liabilities' and 'Trade Payables'. Both firms benefit from the IT services model where human capital rather than physical inventory drives operations, keeping DIO near zero across all years.</w:t>
      </w:r>
    </w:p>
    <w:p>
      <w:pPr>
        <w:spacing w:after="40" w:line="240" w:lineRule="auto"/>
      </w:pPr>
      <w:r>
        <w:rPr>
          <w:rFonts w:ascii="Times New Roman" w:hAnsi="Times New Roman"/>
          <w:b/>
          <w:i w:val="0"/>
          <w:sz w:val="22"/>
        </w:rPr>
        <w:t>5.3 Conclusion</w:t>
      </w:r>
    </w:p>
    <w:p>
      <w:pPr>
        <w:spacing w:after="40" w:line="240" w:lineRule="auto"/>
      </w:pPr>
      <w:r>
        <w:rPr>
          <w:rFonts w:ascii="Times New Roman" w:hAnsi="Times New Roman"/>
          <w:b w:val="0"/>
          <w:i w:val="0"/>
          <w:sz w:val="22"/>
        </w:rPr>
        <w:t>Based on this comprehensive analysis of 19 financial ratios, DuPont decomposition, and Cash Conversion Cycle over FY2021-FY2025, HCL Technologies Ltd. emerges as the clearly superior performer compared to Wipro Ltd. HCLTech's key advantages include:</w:t>
      </w:r>
    </w:p>
    <w:p>
      <w:pPr>
        <w:pStyle w:val="ListBullet"/>
        <w:spacing w:after="20"/>
      </w:pPr>
      <w:r>
        <w:rPr>
          <w:rFonts w:ascii="Times New Roman" w:hAnsi="Times New Roman"/>
          <w:sz w:val="20"/>
        </w:rPr>
        <w:t>Stronger organic revenue growth (CAGR 11.6% vs 9.5%) without acquisition-related risks</w:t>
      </w:r>
    </w:p>
    <w:p>
      <w:pPr>
        <w:pStyle w:val="ListBullet"/>
        <w:spacing w:after="20"/>
      </w:pPr>
      <w:r>
        <w:rPr>
          <w:rFonts w:ascii="Times New Roman" w:hAnsi="Times New Roman"/>
          <w:sz w:val="20"/>
        </w:rPr>
        <w:t>Significantly higher return on equity (25.0% vs 15.9%) and return on capital employed (30.8% vs 19.0%)</w:t>
      </w:r>
    </w:p>
    <w:p>
      <w:pPr>
        <w:pStyle w:val="ListBullet"/>
        <w:spacing w:after="20"/>
      </w:pPr>
      <w:r>
        <w:rPr>
          <w:rFonts w:ascii="Times New Roman" w:hAnsi="Times New Roman"/>
          <w:sz w:val="20"/>
        </w:rPr>
        <w:t>Near debt-free balance sheet (D/E 0.03x vs 0.20x) providing strategic flexibility</w:t>
      </w:r>
    </w:p>
    <w:p>
      <w:pPr>
        <w:pStyle w:val="ListBullet"/>
        <w:spacing w:after="20"/>
      </w:pPr>
      <w:r>
        <w:rPr>
          <w:rFonts w:ascii="Times New Roman" w:hAnsi="Times New Roman"/>
          <w:sz w:val="20"/>
        </w:rPr>
        <w:t>Superior DuPont asset turnover (1.11x vs 0.70x), confirming efficient capital utilization</w:t>
      </w:r>
    </w:p>
    <w:p>
      <w:pPr>
        <w:pStyle w:val="ListBullet"/>
        <w:spacing w:after="20"/>
      </w:pPr>
      <w:r>
        <w:rPr>
          <w:rFonts w:ascii="Times New Roman" w:hAnsi="Times New Roman"/>
          <w:sz w:val="20"/>
        </w:rPr>
        <w:t>More negative Cash Conversion Cycle, reflecting better working capital management</w:t>
      </w:r>
    </w:p>
    <w:p>
      <w:pPr>
        <w:pStyle w:val="ListBullet"/>
        <w:spacing w:after="20"/>
      </w:pPr>
      <w:r>
        <w:rPr>
          <w:rFonts w:ascii="Times New Roman" w:hAnsi="Times New Roman"/>
          <w:sz w:val="20"/>
        </w:rPr>
        <w:t>Consistent EPS growth of 56% over 5 years, directly benefiting shareholders</w:t>
      </w:r>
    </w:p>
    <w:p>
      <w:pPr>
        <w:spacing w:after="40" w:line="240" w:lineRule="auto"/>
      </w:pPr>
      <w:r>
        <w:rPr>
          <w:rFonts w:ascii="Times New Roman" w:hAnsi="Times New Roman"/>
          <w:b w:val="0"/>
          <w:i w:val="0"/>
          <w:sz w:val="22"/>
        </w:rPr>
        <w:t>Wipro's strengths - higher current ratio and larger investment portfolio - are overshadowed by its declining profitability trajectory, leveraged balance sheet, and failure to generate proportionate returns from its acquisition-driven growth strategy. The Capco acquisition, while strategically sound for expanding financial services consulting capabilities, has diluted returns and inflated the asset base. Until Wipro demonstrates sustainable margin improvement and asset turnover recovery, HCLTech remains the better performer from a financial analysis perspective. The market recognizes this: HCLTech's P/E ratio of 24.8x versus Wipro's 20.9x reflects the premium investors are willing to pay for HCLTech's superior and more consistent financial performance.</w:t>
      </w:r>
    </w:p>
    <w:p>
      <w:pPr>
        <w:pStyle w:val="Heading2"/>
        <w:spacing w:before="120" w:after="60"/>
      </w:pPr>
      <w:r>
        <w:rPr>
          <w:rFonts w:ascii="Times New Roman" w:hAnsi="Times New Roman"/>
          <w:color w:val="1F4E79"/>
        </w:rPr>
        <w:t>References</w:t>
      </w:r>
    </w:p>
    <w:p>
      <w:pPr>
        <w:pStyle w:val="ListNumber"/>
        <w:spacing w:after="20"/>
      </w:pPr>
      <w:r>
        <w:rPr>
          <w:rFonts w:ascii="Times New Roman" w:hAnsi="Times New Roman"/>
          <w:sz w:val="20"/>
        </w:rPr>
        <w:t>HCL Technologies Ltd. - Consolidated Financial Statements (FY2021-FY2025), Moneycontrol.</w:t>
      </w:r>
    </w:p>
    <w:p>
      <w:pPr>
        <w:pStyle w:val="ListNumber"/>
        <w:spacing w:after="20"/>
      </w:pPr>
      <w:r>
        <w:rPr>
          <w:rFonts w:ascii="Times New Roman" w:hAnsi="Times New Roman"/>
          <w:sz w:val="20"/>
        </w:rPr>
        <w:t>Wipro Ltd. - Consolidated Financial Statements (FY2021-FY2025), Moneycontrol.</w:t>
      </w:r>
    </w:p>
    <w:p>
      <w:pPr>
        <w:pStyle w:val="ListNumber"/>
        <w:spacing w:after="20"/>
      </w:pPr>
      <w:r>
        <w:rPr>
          <w:rFonts w:ascii="Times New Roman" w:hAnsi="Times New Roman"/>
          <w:sz w:val="20"/>
        </w:rPr>
        <w:t>HCL Technologies Ltd. - Key Financial Ratios, Moneycontrol.</w:t>
      </w:r>
    </w:p>
    <w:p>
      <w:pPr>
        <w:pStyle w:val="ListNumber"/>
        <w:spacing w:after="20"/>
      </w:pPr>
      <w:r>
        <w:rPr>
          <w:rFonts w:ascii="Times New Roman" w:hAnsi="Times New Roman"/>
          <w:sz w:val="20"/>
        </w:rPr>
        <w:t>Wipro Ltd. - Key Financial Ratios, Moneycontrol.</w:t>
      </w:r>
    </w:p>
    <w:p>
      <w:pPr>
        <w:pStyle w:val="ListNumber"/>
        <w:spacing w:after="20"/>
      </w:pPr>
      <w:r>
        <w:rPr>
          <w:rFonts w:ascii="Times New Roman" w:hAnsi="Times New Roman"/>
          <w:sz w:val="20"/>
        </w:rPr>
        <w:t>HCL Technologies Annual Reports (FY2021-FY2025).</w:t>
      </w:r>
    </w:p>
    <w:p>
      <w:pPr>
        <w:pStyle w:val="ListNumber"/>
        <w:spacing w:after="20"/>
      </w:pPr>
      <w:r>
        <w:rPr>
          <w:rFonts w:ascii="Times New Roman" w:hAnsi="Times New Roman"/>
          <w:sz w:val="20"/>
        </w:rPr>
        <w:t>Wipro Ltd. Annual Reports (FY2021-FY2025).</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40" w:before="0" w:line="240" w:lineRule="auto"/>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