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3B31C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eastAsia="宋体" w:cs="Arial"/>
          <w:lang w:val="en-US" w:eastAsia="zh-CN"/>
        </w:rPr>
        <w:t>40.信用卡纠纷民事答辩状实例</w:t>
      </w:r>
    </w:p>
    <w:p w14:paraId="5C3236AD">
      <w:pPr>
        <w:pStyle w:val="3"/>
        <w:spacing w:line="242" w:lineRule="auto"/>
      </w:pPr>
    </w:p>
    <w:p w14:paraId="2ECD1AFD">
      <w:pPr>
        <w:pStyle w:val="3"/>
        <w:spacing w:line="243" w:lineRule="auto"/>
      </w:pPr>
    </w:p>
    <w:p w14:paraId="700CBEC7">
      <w:pPr>
        <w:pStyle w:val="3"/>
        <w:spacing w:line="243" w:lineRule="auto"/>
      </w:pPr>
    </w:p>
    <w:p w14:paraId="0C6FFBF9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AFC766D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70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4137C526">
      <w:pPr>
        <w:spacing w:before="65" w:line="205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（信用卡纠纷）</w:t>
      </w:r>
    </w:p>
    <w:p w14:paraId="7A794084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47C8FD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245DF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89380C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7FF256D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026F327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F41635A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4AABC07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C1D0B68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3D80A4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A06C17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9D65F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789FC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68566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4DAD57">
            <w:pPr>
              <w:spacing w:line="297" w:lineRule="auto"/>
              <w:rPr>
                <w:rFonts w:ascii="Arial"/>
                <w:sz w:val="21"/>
              </w:rPr>
            </w:pPr>
          </w:p>
          <w:p w14:paraId="0FCACF8D">
            <w:pPr>
              <w:spacing w:line="297" w:lineRule="auto"/>
              <w:rPr>
                <w:rFonts w:ascii="Arial"/>
                <w:sz w:val="21"/>
              </w:rPr>
            </w:pPr>
          </w:p>
          <w:p w14:paraId="2BCECFC3">
            <w:pPr>
              <w:spacing w:line="298" w:lineRule="auto"/>
              <w:rPr>
                <w:rFonts w:ascii="Arial"/>
                <w:sz w:val="21"/>
              </w:rPr>
            </w:pPr>
          </w:p>
          <w:p w14:paraId="71C76AF9">
            <w:pPr>
              <w:spacing w:line="298" w:lineRule="auto"/>
              <w:rPr>
                <w:rFonts w:ascii="Arial"/>
                <w:sz w:val="21"/>
              </w:rPr>
            </w:pPr>
          </w:p>
          <w:p w14:paraId="45BD8DA1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3D223F2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3642604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5BB60298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 </w:t>
            </w:r>
            <w:r>
              <w:rPr>
                <w:color w:val="231F20"/>
                <w:spacing w:val="-7"/>
              </w:rPr>
              <w:t xml:space="preserve">日  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族</w:t>
            </w:r>
          </w:p>
          <w:p w14:paraId="7DE2F03B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 公司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职员</w:t>
            </w:r>
          </w:p>
          <w:p w14:paraId="0A5FB5E7">
            <w:pPr>
              <w:pStyle w:val="8"/>
              <w:spacing w:before="41" w:line="258" w:lineRule="auto"/>
              <w:ind w:left="83" w:right="34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河南省新密市</w:t>
            </w:r>
          </w:p>
          <w:p w14:paraId="3F19A9BA">
            <w:pPr>
              <w:pStyle w:val="8"/>
              <w:spacing w:before="5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上海市浦东区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弄  ×× 号</w:t>
            </w:r>
          </w:p>
          <w:p w14:paraId="3F9E3215">
            <w:pPr>
              <w:pStyle w:val="8"/>
              <w:spacing w:before="4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31833D4">
            <w:pPr>
              <w:pStyle w:val="8"/>
              <w:spacing w:before="49" w:line="208" w:lineRule="auto"/>
              <w:ind w:left="82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54D2A1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4A42C70">
            <w:pPr>
              <w:spacing w:line="255" w:lineRule="auto"/>
              <w:rPr>
                <w:rFonts w:ascii="Arial"/>
                <w:sz w:val="21"/>
              </w:rPr>
            </w:pPr>
          </w:p>
          <w:p w14:paraId="639C2494">
            <w:pPr>
              <w:spacing w:line="255" w:lineRule="auto"/>
              <w:rPr>
                <w:rFonts w:ascii="Arial"/>
                <w:sz w:val="21"/>
              </w:rPr>
            </w:pPr>
          </w:p>
          <w:p w14:paraId="4AAEF85F">
            <w:pPr>
              <w:spacing w:line="255" w:lineRule="auto"/>
              <w:rPr>
                <w:rFonts w:ascii="Arial"/>
                <w:sz w:val="21"/>
              </w:rPr>
            </w:pPr>
          </w:p>
          <w:p w14:paraId="5CE923F0">
            <w:pPr>
              <w:spacing w:line="255" w:lineRule="auto"/>
              <w:rPr>
                <w:rFonts w:ascii="Arial"/>
                <w:sz w:val="21"/>
              </w:rPr>
            </w:pPr>
          </w:p>
          <w:p w14:paraId="20396D2A">
            <w:pPr>
              <w:spacing w:line="255" w:lineRule="auto"/>
              <w:rPr>
                <w:rFonts w:ascii="Arial"/>
                <w:sz w:val="21"/>
              </w:rPr>
            </w:pPr>
          </w:p>
          <w:p w14:paraId="30BA2173">
            <w:pPr>
              <w:spacing w:line="255" w:lineRule="auto"/>
              <w:rPr>
                <w:rFonts w:ascii="Arial"/>
                <w:sz w:val="21"/>
              </w:rPr>
            </w:pPr>
          </w:p>
          <w:p w14:paraId="4AA1E52E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D42A56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5509B6A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3FEC6DB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0B118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1527804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813FBAE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07BF8B23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9134745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38273DD">
            <w:pPr>
              <w:spacing w:line="333" w:lineRule="auto"/>
              <w:rPr>
                <w:rFonts w:ascii="Arial"/>
                <w:sz w:val="21"/>
              </w:rPr>
            </w:pPr>
          </w:p>
          <w:p w14:paraId="4EC85F04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93ACB94">
            <w:pPr>
              <w:spacing w:line="327" w:lineRule="auto"/>
              <w:rPr>
                <w:rFonts w:ascii="Arial"/>
                <w:sz w:val="21"/>
              </w:rPr>
            </w:pPr>
          </w:p>
          <w:p w14:paraId="476B845F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4DF52E2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EDD1B1A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EF71E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6B243AD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B6F0A79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578EC88">
            <w:pPr>
              <w:pStyle w:val="8"/>
              <w:spacing w:before="66" w:line="237" w:lineRule="auto"/>
              <w:ind w:left="83" w:right="30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0A23BF5">
      <w:pPr>
        <w:pStyle w:val="3"/>
      </w:pPr>
    </w:p>
    <w:p w14:paraId="4F73AD82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E848C38">
      <w:pPr>
        <w:spacing w:before="41"/>
      </w:pPr>
    </w:p>
    <w:p w14:paraId="3F0AF0A2">
      <w:pPr>
        <w:spacing w:before="41"/>
      </w:pPr>
    </w:p>
    <w:p w14:paraId="3CD018CB">
      <w:pPr>
        <w:spacing w:before="41"/>
      </w:pPr>
    </w:p>
    <w:p w14:paraId="3799CD7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E7EA0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05725E">
            <w:pPr>
              <w:spacing w:line="346" w:lineRule="auto"/>
              <w:rPr>
                <w:rFonts w:ascii="Arial"/>
                <w:sz w:val="21"/>
              </w:rPr>
            </w:pPr>
          </w:p>
          <w:p w14:paraId="30441F44">
            <w:pPr>
              <w:spacing w:line="347" w:lineRule="auto"/>
              <w:rPr>
                <w:rFonts w:ascii="Arial"/>
                <w:sz w:val="21"/>
              </w:rPr>
            </w:pPr>
          </w:p>
          <w:p w14:paraId="644E7BAA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C3B601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0B9E4D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A9289B0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7DD89325">
            <w:pPr>
              <w:pStyle w:val="8"/>
              <w:spacing w:before="33" w:line="217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6B6CF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9802F7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3AC57F2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266B69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5B914E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ABDDA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15574A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对透支本金有无异议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B69416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EF1FC9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17630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5C0D87">
            <w:pPr>
              <w:pStyle w:val="8"/>
              <w:spacing w:before="87" w:line="244" w:lineRule="auto"/>
              <w:ind w:left="84"/>
              <w:jc w:val="both"/>
            </w:pPr>
            <w:r>
              <w:rPr>
                <w:color w:val="231F20"/>
                <w:spacing w:val="17"/>
              </w:rPr>
              <w:t>2. 对利息、罚息、复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利、滞纳金、违约金、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手续费等有无异议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ADCD1E">
            <w:pPr>
              <w:pStyle w:val="8"/>
              <w:spacing w:before="25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4F7044D">
            <w:pPr>
              <w:pStyle w:val="8"/>
              <w:spacing w:before="73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答辩人对违约金、手续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费等约定并不知情。</w:t>
            </w:r>
          </w:p>
        </w:tc>
      </w:tr>
      <w:tr w14:paraId="4AC0EE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DFED5E">
            <w:pPr>
              <w:pStyle w:val="8"/>
              <w:spacing w:before="85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对担保权利诉请有无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3FAC2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0140DD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AE67E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F40D5B">
            <w:pPr>
              <w:pStyle w:val="8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对实现债权的费用有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57505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58911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DE06B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1DBD3E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7B6AB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C955B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696E9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828C76">
            <w:pPr>
              <w:pStyle w:val="8"/>
              <w:spacing w:before="267" w:line="208" w:lineRule="auto"/>
              <w:ind w:left="86"/>
            </w:pPr>
            <w:r>
              <w:rPr>
                <w:color w:val="231F20"/>
                <w:spacing w:val="-1"/>
              </w:rPr>
              <w:t>6.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A3F084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2F6BBDD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答辩人仅应归还本金。</w:t>
            </w:r>
          </w:p>
        </w:tc>
      </w:tr>
      <w:tr w14:paraId="7CD793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45145F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56957387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30E39D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440E83">
            <w:pPr>
              <w:spacing w:before="84" w:line="259" w:lineRule="auto"/>
              <w:ind w:left="88" w:right="86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原告并未就相关违约金、手续费等条款进行说明，答辩人对违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约金、手续费等内容并不知情，不应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承担这些费用；且利息、违约金、手续费等费用标准过高。因疫情原因，收入中断，故不能及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时还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款。且答辩人并未收到过原告的催款通知。</w:t>
            </w:r>
          </w:p>
        </w:tc>
      </w:tr>
      <w:tr w14:paraId="4FC0FB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3B585F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-2"/>
              </w:rPr>
              <w:t>1. 对信用卡办理情况有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22920A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5D8B283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DC640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74E513">
            <w:pPr>
              <w:pStyle w:val="8"/>
              <w:spacing w:before="255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对信用卡合约的主要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F7980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0FD10E0">
            <w:pPr>
              <w:pStyle w:val="8"/>
              <w:spacing w:before="73" w:line="212" w:lineRule="auto"/>
              <w:ind w:left="90" w:right="84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答辩人对违约金、手续费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等内容并不知情，不应承担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这些费用；且利息、违约金、手续费等费用标准过高。</w:t>
            </w:r>
          </w:p>
        </w:tc>
      </w:tr>
      <w:tr w14:paraId="3E4CD0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3B2B5C">
            <w:pPr>
              <w:pStyle w:val="8"/>
              <w:spacing w:before="85" w:line="249" w:lineRule="auto"/>
              <w:ind w:left="85" w:right="84" w:firstLine="3"/>
              <w:jc w:val="both"/>
            </w:pPr>
            <w:r>
              <w:rPr>
                <w:color w:val="231F20"/>
                <w:spacing w:val="-1"/>
              </w:rPr>
              <w:t>3. 对原告就信用卡合约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主要条款进行提示注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1"/>
              </w:rPr>
              <w:t>意、说明的情况有无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2AB132">
            <w:pPr>
              <w:spacing w:line="345" w:lineRule="auto"/>
              <w:rPr>
                <w:rFonts w:ascii="Arial"/>
                <w:sz w:val="21"/>
              </w:rPr>
            </w:pPr>
          </w:p>
          <w:p w14:paraId="73C82BB0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CA87748">
            <w:pPr>
              <w:pStyle w:val="8"/>
              <w:spacing w:before="73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原告并未就相关违约金、手续费等条款进行说明。</w:t>
            </w:r>
          </w:p>
        </w:tc>
      </w:tr>
    </w:tbl>
    <w:p w14:paraId="10072CE8">
      <w:pPr>
        <w:pStyle w:val="3"/>
      </w:pPr>
    </w:p>
    <w:p w14:paraId="78F09F2B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B7288D6">
      <w:pPr>
        <w:spacing w:before="41"/>
      </w:pPr>
    </w:p>
    <w:p w14:paraId="443F34ED">
      <w:pPr>
        <w:spacing w:before="41"/>
      </w:pPr>
    </w:p>
    <w:p w14:paraId="221424CB">
      <w:pPr>
        <w:spacing w:before="41"/>
      </w:pPr>
    </w:p>
    <w:p w14:paraId="2935DB5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6A787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9AB010">
            <w:pPr>
              <w:pStyle w:val="8"/>
              <w:spacing w:before="87" w:line="237" w:lineRule="auto"/>
              <w:ind w:left="82" w:right="84"/>
            </w:pPr>
            <w:r>
              <w:rPr>
                <w:color w:val="231F20"/>
                <w:spacing w:val="-1"/>
              </w:rPr>
              <w:t>4. 对被告已还款金额有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2A308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18925E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D0B8E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8ED680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对被告逾期未还款金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7E96E1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527A4A4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CAD36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994F94">
            <w:pPr>
              <w:pStyle w:val="8"/>
              <w:spacing w:before="96"/>
              <w:ind w:left="86" w:right="84"/>
            </w:pPr>
            <w:r>
              <w:rPr>
                <w:color w:val="231F20"/>
                <w:spacing w:val="-1"/>
              </w:rPr>
              <w:t>6. 对是否向被告进行通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知和催收有无异议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3DE1D6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49E987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答辩人并未收到过原告的催款通知。</w:t>
            </w:r>
          </w:p>
        </w:tc>
      </w:tr>
      <w:tr w14:paraId="3274CC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A893F7">
            <w:pPr>
              <w:pStyle w:val="8"/>
              <w:spacing w:before="85" w:line="237" w:lineRule="auto"/>
              <w:ind w:left="83" w:right="84"/>
            </w:pPr>
            <w:r>
              <w:rPr>
                <w:color w:val="231F20"/>
                <w:spacing w:val="-1"/>
              </w:rPr>
              <w:t>7. 对是否签订物的担保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BFFFC6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EE13B3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15CBB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07D8FB">
            <w:pPr>
              <w:pStyle w:val="8"/>
              <w:spacing w:before="85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对担保人、担保物有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2EE62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A546BA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C8E30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C35FB8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9. 对最高额抵押担保有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34F88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8023D4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91245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44EC6B">
            <w:pPr>
              <w:pStyle w:val="8"/>
              <w:spacing w:before="85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10.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F97CF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1B394C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CE11D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FA66EA">
            <w:pPr>
              <w:pStyle w:val="8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11.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85C33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28DDF2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E4209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FE8833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-3"/>
              </w:rPr>
              <w:t>12.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E684C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C58EB8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3889B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3FB879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13.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1E8E2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0D680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70AAB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16737C">
            <w:pPr>
              <w:pStyle w:val="8"/>
              <w:spacing w:before="94" w:line="241" w:lineRule="auto"/>
              <w:ind w:left="87" w:right="85" w:firstLine="15"/>
            </w:pPr>
            <w:r>
              <w:rPr>
                <w:color w:val="231F20"/>
                <w:spacing w:val="9"/>
              </w:rPr>
              <w:t>14.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59D42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8F0A7D2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因疫情原因，收入中断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，故不能及时还款。</w:t>
            </w:r>
          </w:p>
        </w:tc>
      </w:tr>
      <w:tr w14:paraId="660AB5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2E98B3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15.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912815">
            <w:pPr>
              <w:pStyle w:val="8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491C82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546395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16.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4366F3">
            <w:pPr>
              <w:rPr>
                <w:rFonts w:ascii="Arial"/>
                <w:sz w:val="21"/>
              </w:rPr>
            </w:pPr>
          </w:p>
        </w:tc>
      </w:tr>
      <w:tr w14:paraId="504DDA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7EDE20">
            <w:pPr>
              <w:pStyle w:val="8"/>
              <w:spacing w:before="87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17.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CE8041">
            <w:pPr>
              <w:rPr>
                <w:rFonts w:ascii="Arial"/>
                <w:sz w:val="21"/>
              </w:rPr>
            </w:pPr>
          </w:p>
        </w:tc>
      </w:tr>
      <w:tr w14:paraId="112650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74369D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58151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13E15E">
            <w:pPr>
              <w:pStyle w:val="8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43D6CB">
            <w:pPr>
              <w:spacing w:line="260" w:lineRule="auto"/>
              <w:rPr>
                <w:rFonts w:ascii="Arial"/>
                <w:sz w:val="21"/>
              </w:rPr>
            </w:pPr>
          </w:p>
          <w:p w14:paraId="2C8EA491">
            <w:pPr>
              <w:spacing w:line="260" w:lineRule="auto"/>
              <w:rPr>
                <w:rFonts w:ascii="Arial"/>
                <w:sz w:val="21"/>
              </w:rPr>
            </w:pPr>
          </w:p>
          <w:p w14:paraId="31A58B8E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2E51AF5">
      <w:pPr>
        <w:pStyle w:val="3"/>
      </w:pPr>
    </w:p>
    <w:p w14:paraId="772870A0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22DF014">
      <w:pPr>
        <w:spacing w:before="41"/>
      </w:pPr>
    </w:p>
    <w:p w14:paraId="46EEC5A8">
      <w:pPr>
        <w:spacing w:before="41"/>
      </w:pPr>
    </w:p>
    <w:p w14:paraId="683A9733">
      <w:pPr>
        <w:spacing w:before="41"/>
      </w:pPr>
    </w:p>
    <w:p w14:paraId="7F21D14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79264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A96EC0">
            <w:pPr>
              <w:spacing w:line="263" w:lineRule="auto"/>
              <w:rPr>
                <w:rFonts w:ascii="Arial"/>
                <w:sz w:val="21"/>
              </w:rPr>
            </w:pPr>
          </w:p>
          <w:p w14:paraId="731BF24A">
            <w:pPr>
              <w:spacing w:line="263" w:lineRule="auto"/>
              <w:rPr>
                <w:rFonts w:ascii="Arial"/>
                <w:sz w:val="21"/>
              </w:rPr>
            </w:pPr>
          </w:p>
          <w:p w14:paraId="6BB175E3">
            <w:pPr>
              <w:spacing w:line="263" w:lineRule="auto"/>
              <w:rPr>
                <w:rFonts w:ascii="Arial"/>
                <w:sz w:val="21"/>
              </w:rPr>
            </w:pPr>
          </w:p>
          <w:p w14:paraId="7DCB78B5">
            <w:pPr>
              <w:spacing w:line="264" w:lineRule="auto"/>
              <w:rPr>
                <w:rFonts w:ascii="Arial"/>
                <w:sz w:val="21"/>
              </w:rPr>
            </w:pPr>
          </w:p>
          <w:p w14:paraId="27FCB1D1">
            <w:pPr>
              <w:spacing w:line="264" w:lineRule="auto"/>
              <w:rPr>
                <w:rFonts w:ascii="Arial"/>
                <w:sz w:val="21"/>
              </w:rPr>
            </w:pPr>
          </w:p>
          <w:p w14:paraId="23A77251">
            <w:pPr>
              <w:spacing w:line="264" w:lineRule="auto"/>
              <w:rPr>
                <w:rFonts w:ascii="Arial"/>
                <w:sz w:val="21"/>
              </w:rPr>
            </w:pPr>
          </w:p>
          <w:p w14:paraId="5902DA1C">
            <w:pPr>
              <w:spacing w:line="264" w:lineRule="auto"/>
              <w:rPr>
                <w:rFonts w:ascii="Arial"/>
                <w:sz w:val="21"/>
              </w:rPr>
            </w:pPr>
          </w:p>
          <w:p w14:paraId="34557C0B">
            <w:pPr>
              <w:spacing w:line="264" w:lineRule="auto"/>
              <w:rPr>
                <w:rFonts w:ascii="Arial"/>
                <w:sz w:val="21"/>
              </w:rPr>
            </w:pPr>
          </w:p>
          <w:p w14:paraId="30066589">
            <w:pPr>
              <w:spacing w:line="264" w:lineRule="auto"/>
              <w:rPr>
                <w:rFonts w:ascii="Arial"/>
                <w:sz w:val="21"/>
              </w:rPr>
            </w:pPr>
          </w:p>
          <w:p w14:paraId="08C0FB83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15E15A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5CDC41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A125609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F6B8D2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948E453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30B1403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CB3E916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138F78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CFEC50E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564C72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95FF2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05B32B1">
            <w:pPr>
              <w:spacing w:line="352" w:lineRule="auto"/>
              <w:rPr>
                <w:rFonts w:ascii="Arial"/>
                <w:sz w:val="21"/>
              </w:rPr>
            </w:pPr>
          </w:p>
          <w:p w14:paraId="15388F3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C201DA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DEC44C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0F5462D">
      <w:pPr>
        <w:spacing w:before="174" w:line="223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C058137">
      <w:pPr>
        <w:spacing w:line="223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F9E0F1A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90BE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151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C14CA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152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EAFA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153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F8FA9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154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8515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94C8D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26"/>
    <w:bookmarkEnd w:id="2"/>
    <w:bookmarkStart w:id="3" w:name="bookmark95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BB82A97"/>
    <w:rsid w:val="1DAE4148"/>
    <w:rsid w:val="21432977"/>
    <w:rsid w:val="33DA9E9B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4133BA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8EFFB41F83DC4FC5B8B71E8242D9AF93_13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