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DB5D6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43.房屋租赁合同纠纷民事起诉状实例</w:t>
      </w:r>
    </w:p>
    <w:p w14:paraId="7ADA3CD8">
      <w:pPr>
        <w:pStyle w:val="3"/>
        <w:spacing w:line="242" w:lineRule="auto"/>
      </w:pPr>
    </w:p>
    <w:p w14:paraId="1B7F8E98">
      <w:pPr>
        <w:pStyle w:val="3"/>
        <w:spacing w:line="243" w:lineRule="auto"/>
      </w:pPr>
    </w:p>
    <w:p w14:paraId="1D10E059">
      <w:pPr>
        <w:pStyle w:val="3"/>
        <w:spacing w:line="243" w:lineRule="auto"/>
      </w:pPr>
    </w:p>
    <w:p w14:paraId="427658F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1F9B1F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053E6C3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5B959AE4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40DAE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631D6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245B3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D3C885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8D27E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310600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60464CB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84B9A95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650F18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0B84DE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E3150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35853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3FA0E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99F5D5">
            <w:pPr>
              <w:spacing w:line="298" w:lineRule="auto"/>
              <w:rPr>
                <w:rFonts w:ascii="Arial"/>
                <w:sz w:val="21"/>
              </w:rPr>
            </w:pPr>
          </w:p>
          <w:p w14:paraId="37F73B57">
            <w:pPr>
              <w:spacing w:line="298" w:lineRule="auto"/>
              <w:rPr>
                <w:rFonts w:ascii="Arial"/>
                <w:sz w:val="21"/>
              </w:rPr>
            </w:pPr>
          </w:p>
          <w:p w14:paraId="05C46FC8">
            <w:pPr>
              <w:spacing w:line="298" w:lineRule="auto"/>
              <w:rPr>
                <w:rFonts w:ascii="Arial"/>
                <w:sz w:val="21"/>
              </w:rPr>
            </w:pPr>
          </w:p>
          <w:p w14:paraId="4D7BA6A5">
            <w:pPr>
              <w:spacing w:line="299" w:lineRule="auto"/>
              <w:rPr>
                <w:rFonts w:ascii="Arial"/>
                <w:sz w:val="21"/>
              </w:rPr>
            </w:pPr>
          </w:p>
          <w:p w14:paraId="49F8783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7FE4B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80B24B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33E0BD2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75040B8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F70EF1F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BD28E76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94373E8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7342B6FA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0720BCD7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CFB524D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66EA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33F0FBC">
            <w:pPr>
              <w:spacing w:line="255" w:lineRule="auto"/>
              <w:rPr>
                <w:rFonts w:ascii="Arial"/>
                <w:sz w:val="21"/>
              </w:rPr>
            </w:pPr>
          </w:p>
          <w:p w14:paraId="3C2A26A5">
            <w:pPr>
              <w:spacing w:line="255" w:lineRule="auto"/>
              <w:rPr>
                <w:rFonts w:ascii="Arial"/>
                <w:sz w:val="21"/>
              </w:rPr>
            </w:pPr>
          </w:p>
          <w:p w14:paraId="7E4D1E26">
            <w:pPr>
              <w:spacing w:line="255" w:lineRule="auto"/>
              <w:rPr>
                <w:rFonts w:ascii="Arial"/>
                <w:sz w:val="21"/>
              </w:rPr>
            </w:pPr>
          </w:p>
          <w:p w14:paraId="783E7549">
            <w:pPr>
              <w:spacing w:line="255" w:lineRule="auto"/>
              <w:rPr>
                <w:rFonts w:ascii="Arial"/>
                <w:sz w:val="21"/>
              </w:rPr>
            </w:pPr>
          </w:p>
          <w:p w14:paraId="07AB01B6">
            <w:pPr>
              <w:spacing w:line="256" w:lineRule="auto"/>
              <w:rPr>
                <w:rFonts w:ascii="Arial"/>
                <w:sz w:val="21"/>
              </w:rPr>
            </w:pPr>
          </w:p>
          <w:p w14:paraId="16A54FE4">
            <w:pPr>
              <w:spacing w:line="256" w:lineRule="auto"/>
              <w:rPr>
                <w:rFonts w:ascii="Arial"/>
                <w:sz w:val="21"/>
              </w:rPr>
            </w:pPr>
          </w:p>
          <w:p w14:paraId="53FEA74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B63482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BE96B5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6B5DCBF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B45A8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906E7B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7CBFDEA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8B1BF8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4D1D592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ED38F88">
            <w:pPr>
              <w:spacing w:line="333" w:lineRule="auto"/>
              <w:rPr>
                <w:rFonts w:ascii="Arial"/>
                <w:sz w:val="21"/>
              </w:rPr>
            </w:pPr>
          </w:p>
          <w:p w14:paraId="4B0B6B07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A625A59">
            <w:pPr>
              <w:spacing w:line="327" w:lineRule="auto"/>
              <w:rPr>
                <w:rFonts w:ascii="Arial"/>
                <w:sz w:val="21"/>
              </w:rPr>
            </w:pPr>
          </w:p>
          <w:p w14:paraId="683C329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EA7866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5C49C27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B419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14244B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F0C75AA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579B2D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7DC07FB">
      <w:pPr>
        <w:pStyle w:val="3"/>
      </w:pPr>
    </w:p>
    <w:p w14:paraId="7C226081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792A075">
      <w:pPr>
        <w:spacing w:before="41"/>
      </w:pPr>
    </w:p>
    <w:p w14:paraId="19EE4DB0">
      <w:pPr>
        <w:spacing w:before="41"/>
      </w:pPr>
    </w:p>
    <w:p w14:paraId="123EE904">
      <w:pPr>
        <w:spacing w:before="41"/>
      </w:pPr>
    </w:p>
    <w:p w14:paraId="002A54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5D01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8B2E22">
            <w:pPr>
              <w:spacing w:line="284" w:lineRule="auto"/>
              <w:rPr>
                <w:rFonts w:ascii="Arial"/>
                <w:sz w:val="21"/>
              </w:rPr>
            </w:pPr>
          </w:p>
          <w:p w14:paraId="35A1C16E">
            <w:pPr>
              <w:spacing w:line="284" w:lineRule="auto"/>
              <w:rPr>
                <w:rFonts w:ascii="Arial"/>
                <w:sz w:val="21"/>
              </w:rPr>
            </w:pPr>
          </w:p>
          <w:p w14:paraId="2D855598">
            <w:pPr>
              <w:spacing w:line="284" w:lineRule="auto"/>
              <w:rPr>
                <w:rFonts w:ascii="Arial"/>
                <w:sz w:val="21"/>
              </w:rPr>
            </w:pPr>
          </w:p>
          <w:p w14:paraId="69CF61C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AC253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0D1943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B448FB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3167B80B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BB25FE9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00DBC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15C396">
            <w:pPr>
              <w:spacing w:line="255" w:lineRule="auto"/>
              <w:rPr>
                <w:rFonts w:ascii="Arial"/>
                <w:sz w:val="21"/>
              </w:rPr>
            </w:pPr>
          </w:p>
          <w:p w14:paraId="406D1366">
            <w:pPr>
              <w:spacing w:line="256" w:lineRule="auto"/>
              <w:rPr>
                <w:rFonts w:ascii="Arial"/>
                <w:sz w:val="21"/>
              </w:rPr>
            </w:pPr>
          </w:p>
          <w:p w14:paraId="440F6B26">
            <w:pPr>
              <w:spacing w:line="256" w:lineRule="auto"/>
              <w:rPr>
                <w:rFonts w:ascii="Arial"/>
                <w:sz w:val="21"/>
              </w:rPr>
            </w:pPr>
          </w:p>
          <w:p w14:paraId="6A3392B9">
            <w:pPr>
              <w:spacing w:line="256" w:lineRule="auto"/>
              <w:rPr>
                <w:rFonts w:ascii="Arial"/>
                <w:sz w:val="21"/>
              </w:rPr>
            </w:pPr>
          </w:p>
          <w:p w14:paraId="1FB31AF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EB12A2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C35B44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41C99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46549A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CF9495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34886B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ACDBE33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63434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3748A5">
            <w:pPr>
              <w:spacing w:line="268" w:lineRule="auto"/>
              <w:rPr>
                <w:rFonts w:ascii="Arial"/>
                <w:sz w:val="21"/>
              </w:rPr>
            </w:pPr>
          </w:p>
          <w:p w14:paraId="43F4430D">
            <w:pPr>
              <w:spacing w:line="268" w:lineRule="auto"/>
              <w:rPr>
                <w:rFonts w:ascii="Arial"/>
                <w:sz w:val="21"/>
              </w:rPr>
            </w:pPr>
          </w:p>
          <w:p w14:paraId="50013924">
            <w:pPr>
              <w:spacing w:line="268" w:lineRule="auto"/>
              <w:rPr>
                <w:rFonts w:ascii="Arial"/>
                <w:sz w:val="21"/>
              </w:rPr>
            </w:pPr>
          </w:p>
          <w:p w14:paraId="45899D86">
            <w:pPr>
              <w:spacing w:line="268" w:lineRule="auto"/>
              <w:rPr>
                <w:rFonts w:ascii="Arial"/>
                <w:sz w:val="21"/>
              </w:rPr>
            </w:pPr>
          </w:p>
          <w:p w14:paraId="406982B7">
            <w:pPr>
              <w:spacing w:line="268" w:lineRule="auto"/>
              <w:rPr>
                <w:rFonts w:ascii="Arial"/>
                <w:sz w:val="21"/>
              </w:rPr>
            </w:pPr>
          </w:p>
          <w:p w14:paraId="68B90FC3">
            <w:pPr>
              <w:spacing w:line="269" w:lineRule="auto"/>
              <w:rPr>
                <w:rFonts w:ascii="Arial"/>
                <w:sz w:val="21"/>
              </w:rPr>
            </w:pPr>
          </w:p>
          <w:p w14:paraId="616689A7">
            <w:pPr>
              <w:spacing w:line="269" w:lineRule="auto"/>
              <w:rPr>
                <w:rFonts w:ascii="Arial"/>
                <w:sz w:val="21"/>
              </w:rPr>
            </w:pPr>
          </w:p>
          <w:p w14:paraId="37BFDE3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3118B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23329F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 w14:paraId="4645CD28">
            <w:pPr>
              <w:pStyle w:val="8"/>
              <w:spacing w:before="41" w:line="261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住所地（主要办事机构所在地</w:t>
            </w:r>
            <w:r>
              <w:rPr>
                <w:color w:val="231F20"/>
                <w:spacing w:val="9"/>
              </w:rPr>
              <w:t>）：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号</w:t>
            </w:r>
          </w:p>
          <w:p w14:paraId="53C0F23F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DCAFBB5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25BCCAED">
            <w:pPr>
              <w:pStyle w:val="8"/>
              <w:spacing w:before="52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 w14:paraId="04AFF91D">
            <w:pPr>
              <w:pStyle w:val="8"/>
              <w:spacing w:before="6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ECC8B5C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9DF3371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6D981D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DBCD8C5">
            <w:pPr>
              <w:pStyle w:val="8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E91B7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3C144">
            <w:pPr>
              <w:spacing w:line="342" w:lineRule="auto"/>
              <w:rPr>
                <w:rFonts w:ascii="Arial"/>
                <w:sz w:val="21"/>
              </w:rPr>
            </w:pPr>
          </w:p>
          <w:p w14:paraId="00E03163">
            <w:pPr>
              <w:spacing w:line="343" w:lineRule="auto"/>
              <w:rPr>
                <w:rFonts w:ascii="Arial"/>
                <w:sz w:val="21"/>
              </w:rPr>
            </w:pPr>
          </w:p>
          <w:p w14:paraId="20F4477C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EE889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0FF374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793529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333CDC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33E9856">
            <w:pPr>
              <w:pStyle w:val="8"/>
              <w:spacing w:before="62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 w14:paraId="2ED0F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25224D">
            <w:pPr>
              <w:spacing w:line="258" w:lineRule="auto"/>
              <w:rPr>
                <w:rFonts w:ascii="Arial"/>
                <w:sz w:val="21"/>
              </w:rPr>
            </w:pPr>
          </w:p>
          <w:p w14:paraId="0CF4CD2A">
            <w:pPr>
              <w:spacing w:line="258" w:lineRule="auto"/>
              <w:rPr>
                <w:rFonts w:ascii="Arial"/>
                <w:sz w:val="21"/>
              </w:rPr>
            </w:pPr>
          </w:p>
          <w:p w14:paraId="54F81F6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C3C64B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129D3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E25C46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254EEF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5F7F433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2240EF4">
      <w:pPr>
        <w:pStyle w:val="3"/>
      </w:pPr>
    </w:p>
    <w:p w14:paraId="00683FD5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A8F6E93">
      <w:pPr>
        <w:spacing w:before="41"/>
      </w:pPr>
    </w:p>
    <w:p w14:paraId="7BF0D315">
      <w:pPr>
        <w:spacing w:before="41"/>
      </w:pPr>
    </w:p>
    <w:p w14:paraId="0C1CB777">
      <w:pPr>
        <w:spacing w:before="41"/>
      </w:pPr>
    </w:p>
    <w:p w14:paraId="4A094B6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5"/>
        <w:gridCol w:w="2225"/>
        <w:gridCol w:w="4784"/>
      </w:tblGrid>
      <w:tr w14:paraId="6CDC4B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38D02B5">
            <w:pPr>
              <w:spacing w:line="341" w:lineRule="auto"/>
              <w:rPr>
                <w:rFonts w:ascii="Arial"/>
                <w:sz w:val="21"/>
              </w:rPr>
            </w:pPr>
          </w:p>
          <w:p w14:paraId="50398E8B">
            <w:pPr>
              <w:spacing w:line="342" w:lineRule="auto"/>
              <w:rPr>
                <w:rFonts w:ascii="Arial"/>
                <w:sz w:val="21"/>
              </w:rPr>
            </w:pPr>
          </w:p>
          <w:p w14:paraId="54D1131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26FBE4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 w14:paraId="3709CEA2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8A7FE3C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C782A7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D270EBB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D1F14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2564DF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D3C38A5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4CF24D9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3B987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C9DAFC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7A2577B0"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 w14:paraId="6133A16C"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 w14:paraId="10A509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09D036">
            <w:pPr>
              <w:spacing w:before="82" w:line="252" w:lineRule="auto"/>
              <w:ind w:left="87" w:right="80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判决广西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投资管理有限公司支付到期未付租金 19009567 元及迟延支付租金的违约金 5702870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元。</w:t>
            </w:r>
          </w:p>
        </w:tc>
      </w:tr>
      <w:tr w14:paraId="52053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F52DDA9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3"/>
              </w:rPr>
              <w:t>1. 支付租金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193BC4">
            <w:pPr>
              <w:pStyle w:val="8"/>
              <w:spacing w:before="83" w:line="238" w:lineRule="auto"/>
              <w:ind w:left="101" w:right="953" w:hanging="11"/>
            </w:pPr>
            <w:r>
              <w:rPr>
                <w:color w:val="231F20"/>
                <w:spacing w:val="-1"/>
              </w:rPr>
              <w:t>到期未付租金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19009567 元</w:t>
            </w:r>
            <w:r>
              <w:rPr>
                <w:color w:val="231F20"/>
                <w:spacing w:val="-1"/>
              </w:rPr>
              <w:t>（人民币，下同；如外币需特别注明）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407F5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9EF1E86">
            <w:pPr>
              <w:spacing w:line="342" w:lineRule="auto"/>
              <w:rPr>
                <w:rFonts w:ascii="Arial"/>
                <w:sz w:val="21"/>
              </w:rPr>
            </w:pPr>
          </w:p>
          <w:p w14:paraId="64CBED90">
            <w:pPr>
              <w:pStyle w:val="8"/>
              <w:spacing w:before="79" w:line="262" w:lineRule="auto"/>
              <w:ind w:right="84" w:firstLine="117"/>
            </w:pPr>
            <w:r>
              <w:rPr>
                <w:color w:val="231F20"/>
                <w:spacing w:val="2"/>
              </w:rPr>
              <w:t xml:space="preserve">2. 迟延支付租金的利息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FE5E7DF">
            <w:pPr>
              <w:spacing w:before="81" w:line="23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迟延支付租金的违约金 5702870 元</w:t>
            </w:r>
          </w:p>
          <w:p w14:paraId="47E506A0">
            <w:pPr>
              <w:pStyle w:val="8"/>
              <w:spacing w:before="51" w:line="20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19009567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×30%=57028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70 元</w:t>
            </w:r>
          </w:p>
          <w:p w14:paraId="1898202B">
            <w:pPr>
              <w:pStyle w:val="8"/>
              <w:spacing w:before="74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 w14:paraId="4660C310">
            <w:pPr>
              <w:pStyle w:val="8"/>
              <w:spacing w:before="46" w:line="205" w:lineRule="auto"/>
              <w:ind w:left="102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070E5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49D1D4B">
            <w:pPr>
              <w:pStyle w:val="8"/>
              <w:spacing w:before="84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A5076B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3720C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BFCEECE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B919C8D">
            <w:pPr>
              <w:pStyle w:val="8"/>
              <w:spacing w:before="96" w:line="175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确认合同于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2017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  </w:t>
            </w:r>
            <w:r>
              <w:rPr>
                <w:color w:val="231F20"/>
                <w:spacing w:val="-5"/>
              </w:rPr>
              <w:t>日解除</w:t>
            </w:r>
          </w:p>
          <w:p w14:paraId="2D7784BC">
            <w:pPr>
              <w:pStyle w:val="8"/>
              <w:spacing w:before="54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2E541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61D86C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4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因解 除合 同而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</w:rPr>
              <w:t>受到 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11F1F83">
            <w:pPr>
              <w:pStyle w:val="8"/>
              <w:spacing w:before="268" w:line="173" w:lineRule="auto"/>
              <w:ind w:left="84"/>
            </w:pPr>
            <w:r>
              <w:rPr>
                <w:color w:val="231F20"/>
                <w:spacing w:val="-1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9"/>
              </w:rPr>
              <w:t>内容：</w:t>
            </w:r>
          </w:p>
          <w:p w14:paraId="7F83C8EA">
            <w:pPr>
              <w:pStyle w:val="8"/>
              <w:spacing w:before="5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F1573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847B7D3">
            <w:pPr>
              <w:pStyle w:val="8"/>
              <w:spacing w:before="264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37872E">
            <w:pPr>
              <w:pStyle w:val="8"/>
              <w:spacing w:before="87" w:line="216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DF81A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86C9219">
            <w:pPr>
              <w:pStyle w:val="8"/>
              <w:spacing w:before="264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B875E7">
            <w:pPr>
              <w:pStyle w:val="8"/>
              <w:spacing w:before="90" w:line="215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14C9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2044786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010C30C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 w14:paraId="1E774366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3662F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ECF69A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DBFF56F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律师费 520000 元</w:t>
            </w:r>
          </w:p>
          <w:p w14:paraId="552A9AC0">
            <w:pPr>
              <w:pStyle w:val="8"/>
              <w:spacing w:before="3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D21D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321BCEC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622736">
            <w:pPr>
              <w:pStyle w:val="8"/>
              <w:spacing w:before="103" w:line="204" w:lineRule="auto"/>
              <w:ind w:left="86" w:right="6453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A620D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769A0D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B99208">
            <w:pPr>
              <w:spacing w:before="84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本案公告费、财产保全费等由被告负担</w:t>
            </w:r>
          </w:p>
        </w:tc>
      </w:tr>
      <w:tr w14:paraId="4B37BC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A7E0EB3">
            <w:pPr>
              <w:pStyle w:val="8"/>
              <w:spacing w:before="90" w:line="236" w:lineRule="auto"/>
              <w:ind w:left="80" w:right="84" w:firstLine="22"/>
            </w:pPr>
            <w:r>
              <w:rPr>
                <w:color w:val="231F20"/>
                <w:spacing w:val="12"/>
              </w:rPr>
              <w:t>12. 标的总额（全部诉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4DFBB2">
            <w:pPr>
              <w:spacing w:before="253" w:line="231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25232437 元</w:t>
            </w:r>
          </w:p>
        </w:tc>
      </w:tr>
    </w:tbl>
    <w:p w14:paraId="41782C0B">
      <w:pPr>
        <w:pStyle w:val="3"/>
      </w:pPr>
    </w:p>
    <w:p w14:paraId="0BF6ABA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5ED34A">
      <w:pPr>
        <w:spacing w:before="41"/>
      </w:pPr>
    </w:p>
    <w:p w14:paraId="7D42765F">
      <w:pPr>
        <w:spacing w:before="41"/>
      </w:pPr>
    </w:p>
    <w:p w14:paraId="797D2A47">
      <w:pPr>
        <w:spacing w:before="41"/>
      </w:pPr>
    </w:p>
    <w:p w14:paraId="659500C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52C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CC081F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B5B2A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369CE7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31C281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11792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88F08D">
            <w:pPr>
              <w:spacing w:line="256" w:lineRule="auto"/>
              <w:rPr>
                <w:rFonts w:ascii="Arial"/>
                <w:sz w:val="21"/>
              </w:rPr>
            </w:pPr>
          </w:p>
          <w:p w14:paraId="635489C5">
            <w:pPr>
              <w:spacing w:line="257" w:lineRule="auto"/>
              <w:rPr>
                <w:rFonts w:ascii="Arial"/>
                <w:sz w:val="21"/>
              </w:rPr>
            </w:pPr>
          </w:p>
          <w:p w14:paraId="7CF70200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1179FA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C3F0520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65C0A3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E363E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E4C991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994D8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B06175">
            <w:pPr>
              <w:spacing w:before="79" w:line="253" w:lineRule="auto"/>
              <w:ind w:left="119" w:right="79" w:hanging="2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双方签订《房屋租赁合同》后阙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依约交付房屋，现广西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投资管理有限公司逾期支付租金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已构成根本违约，租赁合同应当解除，广西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投资管理有限公司应当支付租金及违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约金。</w:t>
            </w:r>
          </w:p>
        </w:tc>
      </w:tr>
      <w:tr w14:paraId="7F63CC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677A04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EEACB8">
            <w:pPr>
              <w:spacing w:before="251" w:line="266" w:lineRule="auto"/>
              <w:ind w:left="85" w:right="79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日，阙  ×× 与广西  ×× 投资管理有限公司签订《房屋租赁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合同》</w:t>
            </w:r>
          </w:p>
        </w:tc>
      </w:tr>
      <w:tr w14:paraId="29ADF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80044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404474">
            <w:pPr>
              <w:pStyle w:val="8"/>
              <w:spacing w:before="90" w:line="205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5A635AD1">
            <w:pPr>
              <w:pStyle w:val="8"/>
              <w:spacing w:before="63" w:line="21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承租人：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</w:tc>
      </w:tr>
      <w:tr w14:paraId="2F6716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7742CC">
            <w:pPr>
              <w:pStyle w:val="8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8"/>
              </w:rPr>
              <w:t>3. 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赁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标  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权情况等）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A2D04E">
            <w:pPr>
              <w:spacing w:before="251" w:line="268" w:lineRule="auto"/>
              <w:ind w:left="85" w:right="79" w:firstLine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享有使用权的位于广西南宁市高新区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路的三产综合楼地下二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层至地上十二层共计 16321.8 平方米的场地。</w:t>
            </w:r>
          </w:p>
        </w:tc>
      </w:tr>
      <w:tr w14:paraId="276112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9A80F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4B301B">
            <w:pPr>
              <w:spacing w:before="81" w:line="229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自房屋交接之日起至 2031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30  日止</w:t>
            </w:r>
          </w:p>
        </w:tc>
      </w:tr>
      <w:tr w14:paraId="00DE6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44FE71">
            <w:pPr>
              <w:spacing w:line="341" w:lineRule="auto"/>
              <w:rPr>
                <w:rFonts w:ascii="Arial"/>
                <w:sz w:val="21"/>
              </w:rPr>
            </w:pPr>
          </w:p>
          <w:p w14:paraId="0A9C952E">
            <w:pPr>
              <w:spacing w:line="341" w:lineRule="auto"/>
              <w:rPr>
                <w:rFonts w:ascii="Arial"/>
                <w:sz w:val="21"/>
              </w:rPr>
            </w:pPr>
          </w:p>
          <w:p w14:paraId="476E9E1B">
            <w:pPr>
              <w:pStyle w:val="8"/>
              <w:spacing w:before="79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5. 合同约定的租金及支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1C9906">
            <w:pPr>
              <w:pStyle w:val="8"/>
              <w:spacing w:before="81" w:line="259" w:lineRule="auto"/>
              <w:ind w:left="86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租金：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自免租期 9 个月结束起算，前三年 515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 / 年，从第四年开始每三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年租金上涨 6%。</w:t>
            </w:r>
          </w:p>
          <w:p w14:paraId="79185D1C">
            <w:pPr>
              <w:pStyle w:val="8"/>
              <w:spacing w:before="33" w:line="203" w:lineRule="auto"/>
              <w:ind w:left="85" w:right="1373" w:firstLine="16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</w:t>
            </w:r>
            <w:r>
              <w:rPr>
                <w:color w:val="231F20"/>
                <w:spacing w:val="-2"/>
              </w:rPr>
              <w:t>明票据类型）  其他□    方式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3AE4B690">
            <w:pPr>
              <w:pStyle w:val="8"/>
              <w:spacing w:before="2" w:line="244" w:lineRule="auto"/>
              <w:ind w:left="95" w:right="79" w:hanging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前 5 年按季度支付；第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6-10 年按半年支付；第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10 年后按年缴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纳。</w:t>
            </w:r>
          </w:p>
        </w:tc>
      </w:tr>
      <w:tr w14:paraId="069C8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D0EBB0">
            <w:pPr>
              <w:pStyle w:val="8"/>
              <w:spacing w:before="85" w:line="237" w:lineRule="auto"/>
              <w:ind w:left="90" w:right="74" w:hanging="4"/>
            </w:pPr>
            <w:r>
              <w:rPr>
                <w:color w:val="231F20"/>
                <w:spacing w:val="-1"/>
              </w:rPr>
              <w:t>6. 其他费用约定（物业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B652F">
            <w:pPr>
              <w:pStyle w:val="8"/>
              <w:spacing w:before="87" w:line="208" w:lineRule="auto"/>
              <w:ind w:left="99"/>
            </w:pPr>
            <w:r>
              <w:rPr>
                <w:color w:val="231F20"/>
                <w:spacing w:val="-9"/>
              </w:rPr>
              <w:t>出租人负担：</w:t>
            </w:r>
          </w:p>
          <w:p w14:paraId="4E3F84EF">
            <w:pPr>
              <w:pStyle w:val="8"/>
              <w:spacing w:before="63" w:line="21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承租人负担：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物业费、水电费</w:t>
            </w:r>
          </w:p>
        </w:tc>
      </w:tr>
      <w:tr w14:paraId="03DEFE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A5631C">
            <w:pPr>
              <w:spacing w:line="257" w:lineRule="auto"/>
              <w:rPr>
                <w:rFonts w:ascii="Arial"/>
                <w:sz w:val="21"/>
              </w:rPr>
            </w:pPr>
          </w:p>
          <w:p w14:paraId="7798201C">
            <w:pPr>
              <w:spacing w:line="258" w:lineRule="auto"/>
              <w:rPr>
                <w:rFonts w:ascii="Arial"/>
                <w:sz w:val="21"/>
              </w:rPr>
            </w:pPr>
          </w:p>
          <w:p w14:paraId="3A79EB17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B5722F">
            <w:pPr>
              <w:spacing w:before="84" w:line="263" w:lineRule="auto"/>
              <w:ind w:left="123" w:right="85" w:hanging="12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《房屋租赁合同》第四条约定，如承租方逾期缴纳租金，出租方有权按照实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际欠款数额的 30% 计算滞纳金，逾期超过两个月的，按违约处理，出租方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有权终止合同。第十一条约定，任何一方违约，违约方除赔偿损失外，还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要向守约方偿付本合同总租金数额的 50%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的违约金。</w:t>
            </w:r>
          </w:p>
        </w:tc>
      </w:tr>
      <w:tr w14:paraId="76354F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5DD53E">
            <w:pPr>
              <w:pStyle w:val="8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是否约定合同解除的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B26ECF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13F4692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48ADE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2D2D78">
            <w:pPr>
              <w:pStyle w:val="8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B86EB2">
            <w:pPr>
              <w:spacing w:before="8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23  日交付</w:t>
            </w:r>
          </w:p>
        </w:tc>
      </w:tr>
    </w:tbl>
    <w:p w14:paraId="435832D7">
      <w:pPr>
        <w:pStyle w:val="3"/>
      </w:pPr>
    </w:p>
    <w:p w14:paraId="33E1EDF3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A6B015">
      <w:pPr>
        <w:spacing w:before="41"/>
      </w:pPr>
    </w:p>
    <w:p w14:paraId="7C705A65">
      <w:pPr>
        <w:spacing w:before="41"/>
      </w:pPr>
    </w:p>
    <w:p w14:paraId="65ABDF3B">
      <w:pPr>
        <w:spacing w:before="41"/>
      </w:pPr>
    </w:p>
    <w:p w14:paraId="324D581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1347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40EB56">
            <w:pPr>
              <w:spacing w:line="342" w:lineRule="auto"/>
              <w:rPr>
                <w:rFonts w:ascii="Arial"/>
                <w:sz w:val="21"/>
              </w:rPr>
            </w:pPr>
          </w:p>
          <w:p w14:paraId="2D3E7EB3">
            <w:pPr>
              <w:spacing w:line="342" w:lineRule="auto"/>
              <w:rPr>
                <w:rFonts w:ascii="Arial"/>
                <w:sz w:val="21"/>
              </w:rPr>
            </w:pPr>
          </w:p>
          <w:p w14:paraId="657D0611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36593D">
            <w:pPr>
              <w:pStyle w:val="8"/>
              <w:spacing w:before="94" w:line="249" w:lineRule="auto"/>
              <w:ind w:left="87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押金数额：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万元，2013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  日已支付押金。合同终止，在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承租方没有违约，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并清理好合同履行期间的相关债务（如水、电、税费、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工资、货款等）及完善交还租赁房屋手续后七日内，出租方将押金退还给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承租方。</w:t>
            </w:r>
          </w:p>
          <w:p w14:paraId="6FED892A">
            <w:pPr>
              <w:pStyle w:val="8"/>
              <w:spacing w:before="2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1AA43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B17FD6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446199">
            <w:pPr>
              <w:pStyle w:val="8"/>
              <w:spacing w:before="79" w:line="246" w:lineRule="auto"/>
              <w:ind w:left="100" w:right="5540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未缴纳过租金。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146E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219095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566BDC">
            <w:pPr>
              <w:spacing w:before="79" w:line="253" w:lineRule="auto"/>
              <w:ind w:left="98" w:right="83" w:firstLine="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自 2014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日起开始欠付租金，截至 2017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20  日，欠付租金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19009567 元。</w:t>
            </w:r>
          </w:p>
        </w:tc>
      </w:tr>
      <w:tr w14:paraId="75CA1B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B3D80E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B1E2B">
            <w:pPr>
              <w:rPr>
                <w:rFonts w:ascii="Arial"/>
                <w:sz w:val="21"/>
              </w:rPr>
            </w:pPr>
          </w:p>
        </w:tc>
      </w:tr>
      <w:tr w14:paraId="7C05C9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84795">
            <w:pPr>
              <w:pStyle w:val="8"/>
              <w:spacing w:before="252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559042">
            <w:pPr>
              <w:pStyle w:val="8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《房屋租赁合同》第四条、第六条、第十一条</w:t>
            </w:r>
          </w:p>
          <w:p w14:paraId="1C916E25">
            <w:pPr>
              <w:pStyle w:val="8"/>
              <w:spacing w:before="44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《中华人民共和国民法典》第五百零九条、第五百七十九条</w:t>
            </w:r>
          </w:p>
        </w:tc>
      </w:tr>
      <w:tr w14:paraId="421C22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372B5B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E4595">
            <w:pPr>
              <w:spacing w:before="249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64756B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4ED1C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D0A86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3E37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02383D">
            <w:pPr>
              <w:spacing w:line="258" w:lineRule="auto"/>
              <w:rPr>
                <w:rFonts w:ascii="Arial"/>
                <w:sz w:val="21"/>
              </w:rPr>
            </w:pPr>
          </w:p>
          <w:p w14:paraId="49BDD973">
            <w:pPr>
              <w:spacing w:line="259" w:lineRule="auto"/>
              <w:rPr>
                <w:rFonts w:ascii="Arial"/>
                <w:sz w:val="21"/>
              </w:rPr>
            </w:pPr>
          </w:p>
          <w:p w14:paraId="2D2797D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8858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E0C9C">
            <w:pPr>
              <w:spacing w:line="263" w:lineRule="auto"/>
              <w:rPr>
                <w:rFonts w:ascii="Arial"/>
                <w:sz w:val="21"/>
              </w:rPr>
            </w:pPr>
          </w:p>
          <w:p w14:paraId="541F39F7">
            <w:pPr>
              <w:spacing w:line="263" w:lineRule="auto"/>
              <w:rPr>
                <w:rFonts w:ascii="Arial"/>
                <w:sz w:val="21"/>
              </w:rPr>
            </w:pPr>
          </w:p>
          <w:p w14:paraId="1147075C">
            <w:pPr>
              <w:spacing w:line="264" w:lineRule="auto"/>
              <w:rPr>
                <w:rFonts w:ascii="Arial"/>
                <w:sz w:val="21"/>
              </w:rPr>
            </w:pPr>
          </w:p>
          <w:p w14:paraId="086A72F8">
            <w:pPr>
              <w:spacing w:line="264" w:lineRule="auto"/>
              <w:rPr>
                <w:rFonts w:ascii="Arial"/>
                <w:sz w:val="21"/>
              </w:rPr>
            </w:pPr>
          </w:p>
          <w:p w14:paraId="74AA0502">
            <w:pPr>
              <w:spacing w:line="264" w:lineRule="auto"/>
              <w:rPr>
                <w:rFonts w:ascii="Arial"/>
                <w:sz w:val="21"/>
              </w:rPr>
            </w:pPr>
          </w:p>
          <w:p w14:paraId="5F893950">
            <w:pPr>
              <w:spacing w:line="264" w:lineRule="auto"/>
              <w:rPr>
                <w:rFonts w:ascii="Arial"/>
                <w:sz w:val="21"/>
              </w:rPr>
            </w:pPr>
          </w:p>
          <w:p w14:paraId="7D4D22C8">
            <w:pPr>
              <w:spacing w:line="264" w:lineRule="auto"/>
              <w:rPr>
                <w:rFonts w:ascii="Arial"/>
                <w:sz w:val="21"/>
              </w:rPr>
            </w:pPr>
          </w:p>
          <w:p w14:paraId="3AAF3263">
            <w:pPr>
              <w:spacing w:line="264" w:lineRule="auto"/>
              <w:rPr>
                <w:rFonts w:ascii="Arial"/>
                <w:sz w:val="21"/>
              </w:rPr>
            </w:pPr>
          </w:p>
          <w:p w14:paraId="2C88A89A">
            <w:pPr>
              <w:spacing w:line="264" w:lineRule="auto"/>
              <w:rPr>
                <w:rFonts w:ascii="Arial"/>
                <w:sz w:val="21"/>
              </w:rPr>
            </w:pPr>
          </w:p>
          <w:p w14:paraId="2F704CF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B238D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5737F2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C5F049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47826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D105A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D34957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726346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E17C0B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389844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1D88E39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5262230">
      <w:pPr>
        <w:pStyle w:val="3"/>
      </w:pPr>
    </w:p>
    <w:p w14:paraId="0CA56BBA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76C46AB">
      <w:pPr>
        <w:spacing w:before="41"/>
      </w:pPr>
    </w:p>
    <w:p w14:paraId="63F88A07">
      <w:pPr>
        <w:spacing w:before="41"/>
      </w:pPr>
    </w:p>
    <w:p w14:paraId="546676A7">
      <w:pPr>
        <w:spacing w:before="41"/>
      </w:pPr>
    </w:p>
    <w:p w14:paraId="66A32ED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3DD32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1B2ED17">
            <w:pPr>
              <w:spacing w:line="346" w:lineRule="auto"/>
              <w:rPr>
                <w:rFonts w:ascii="Arial"/>
                <w:sz w:val="21"/>
              </w:rPr>
            </w:pPr>
          </w:p>
          <w:p w14:paraId="3CF1398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367E889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B45C99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CBE041B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阙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2CEFCA8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0A60D59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9345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2C850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B0FA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8529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C6C4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94E5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31E1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9B3C0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2ED1BD5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724CD2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1D348DCB09AD4A24B929F9D570ECBD7D_13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