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1CD12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44.房屋租赁合同纠纷民事答辩状实例</w:t>
      </w:r>
    </w:p>
    <w:p w14:paraId="15B16739">
      <w:pPr>
        <w:pStyle w:val="3"/>
        <w:spacing w:line="242" w:lineRule="auto"/>
      </w:pPr>
    </w:p>
    <w:p w14:paraId="3E10BB83">
      <w:pPr>
        <w:pStyle w:val="3"/>
        <w:spacing w:line="243" w:lineRule="auto"/>
      </w:pPr>
    </w:p>
    <w:p w14:paraId="543CD29B">
      <w:pPr>
        <w:pStyle w:val="3"/>
        <w:spacing w:line="243" w:lineRule="auto"/>
      </w:pPr>
    </w:p>
    <w:p w14:paraId="53C456A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CB5398F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4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38F301C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14FF6EBE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1085"/>
        <w:gridCol w:w="2402"/>
        <w:gridCol w:w="1167"/>
        <w:gridCol w:w="3505"/>
      </w:tblGrid>
      <w:tr w14:paraId="7DDB23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FFDDF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E23E79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773D2E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E708E0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33F8417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E109A3E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B3DFB1E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8D7129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D788C4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7B37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5" w:type="dxa"/>
            <w:tcBorders>
              <w:left w:val="single" w:color="231F20" w:sz="4" w:space="0"/>
            </w:tcBorders>
            <w:noWrap w:val="0"/>
            <w:vAlign w:val="top"/>
          </w:tcPr>
          <w:p w14:paraId="12C2CC56">
            <w:pPr>
              <w:pStyle w:val="8"/>
              <w:spacing w:before="86" w:line="208" w:lineRule="auto"/>
              <w:ind w:left="38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87" w:type="dxa"/>
            <w:gridSpan w:val="2"/>
            <w:noWrap w:val="0"/>
            <w:vAlign w:val="top"/>
          </w:tcPr>
          <w:p w14:paraId="733F369F">
            <w:pPr>
              <w:spacing w:before="80" w:line="230" w:lineRule="auto"/>
              <w:ind w:left="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（2021）桂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67" w:type="dxa"/>
            <w:noWrap w:val="0"/>
            <w:vAlign w:val="top"/>
          </w:tcPr>
          <w:p w14:paraId="4B69E234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0199617B">
            <w:pPr>
              <w:spacing w:before="80" w:line="228" w:lineRule="auto"/>
              <w:ind w:left="9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房屋租赁合同纠纷</w:t>
            </w:r>
          </w:p>
        </w:tc>
      </w:tr>
      <w:tr w14:paraId="40D2C5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D8B780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8BC70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269D5B5">
            <w:pPr>
              <w:spacing w:line="241" w:lineRule="auto"/>
              <w:rPr>
                <w:rFonts w:ascii="Arial"/>
                <w:sz w:val="21"/>
              </w:rPr>
            </w:pPr>
          </w:p>
          <w:p w14:paraId="2A080E4F">
            <w:pPr>
              <w:spacing w:line="241" w:lineRule="auto"/>
              <w:rPr>
                <w:rFonts w:ascii="Arial"/>
                <w:sz w:val="21"/>
              </w:rPr>
            </w:pPr>
          </w:p>
          <w:p w14:paraId="2150A126">
            <w:pPr>
              <w:spacing w:line="241" w:lineRule="auto"/>
              <w:rPr>
                <w:rFonts w:ascii="Arial"/>
                <w:sz w:val="21"/>
              </w:rPr>
            </w:pPr>
          </w:p>
          <w:p w14:paraId="465BE1BB">
            <w:pPr>
              <w:spacing w:line="241" w:lineRule="auto"/>
              <w:rPr>
                <w:rFonts w:ascii="Arial"/>
                <w:sz w:val="21"/>
              </w:rPr>
            </w:pPr>
          </w:p>
          <w:p w14:paraId="6F87E151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F4C945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010CAD2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834A0C3">
            <w:pPr>
              <w:pStyle w:val="8"/>
              <w:spacing w:before="4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3DCB2B58">
            <w:pPr>
              <w:pStyle w:val="8"/>
              <w:spacing w:before="1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1BCFA5E">
            <w:pPr>
              <w:pStyle w:val="8"/>
              <w:spacing w:before="4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A4AFFD8">
            <w:pPr>
              <w:pStyle w:val="8"/>
              <w:spacing w:before="40" w:line="22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504E2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7C8E320">
            <w:pPr>
              <w:spacing w:line="270" w:lineRule="auto"/>
              <w:rPr>
                <w:rFonts w:ascii="Arial"/>
                <w:sz w:val="21"/>
              </w:rPr>
            </w:pPr>
          </w:p>
          <w:p w14:paraId="2AD7670B">
            <w:pPr>
              <w:spacing w:line="270" w:lineRule="auto"/>
              <w:rPr>
                <w:rFonts w:ascii="Arial"/>
                <w:sz w:val="21"/>
              </w:rPr>
            </w:pPr>
          </w:p>
          <w:p w14:paraId="2403A61F">
            <w:pPr>
              <w:spacing w:line="270" w:lineRule="auto"/>
              <w:rPr>
                <w:rFonts w:ascii="Arial"/>
                <w:sz w:val="21"/>
              </w:rPr>
            </w:pPr>
          </w:p>
          <w:p w14:paraId="3D945FD0">
            <w:pPr>
              <w:spacing w:line="270" w:lineRule="auto"/>
              <w:rPr>
                <w:rFonts w:ascii="Arial"/>
                <w:sz w:val="21"/>
              </w:rPr>
            </w:pPr>
          </w:p>
          <w:p w14:paraId="50EEAD83">
            <w:pPr>
              <w:spacing w:line="270" w:lineRule="auto"/>
              <w:rPr>
                <w:rFonts w:ascii="Arial"/>
                <w:sz w:val="21"/>
              </w:rPr>
            </w:pPr>
          </w:p>
          <w:p w14:paraId="2C41FBEB">
            <w:pPr>
              <w:spacing w:line="270" w:lineRule="auto"/>
              <w:rPr>
                <w:rFonts w:ascii="Arial"/>
                <w:sz w:val="21"/>
              </w:rPr>
            </w:pPr>
          </w:p>
          <w:p w14:paraId="3A83CABF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E6BF8AA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707AF8F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  <w:p w14:paraId="76260F3A">
            <w:pPr>
              <w:pStyle w:val="8"/>
              <w:spacing w:before="21" w:line="239" w:lineRule="auto"/>
              <w:ind w:left="88" w:right="165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2"/>
              </w:rPr>
              <w:t>住所地（主要办事机构所在地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DB6F219">
            <w:pPr>
              <w:pStyle w:val="8"/>
              <w:spacing w:before="16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0965E2F5">
            <w:pPr>
              <w:pStyle w:val="8"/>
              <w:spacing w:before="2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EF98598">
            <w:pPr>
              <w:pStyle w:val="8"/>
              <w:spacing w:before="18" w:line="22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945711F">
            <w:pPr>
              <w:pStyle w:val="8"/>
              <w:spacing w:before="1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D4594B3">
            <w:pPr>
              <w:pStyle w:val="8"/>
              <w:spacing w:before="4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511BAEF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C3D23A6">
            <w:pPr>
              <w:pStyle w:val="8"/>
              <w:spacing w:before="45" w:line="210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19B10E0F">
      <w:pPr>
        <w:pStyle w:val="3"/>
      </w:pPr>
    </w:p>
    <w:p w14:paraId="6014AC50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8C65E70">
      <w:pPr>
        <w:spacing w:before="41"/>
      </w:pPr>
    </w:p>
    <w:p w14:paraId="03FD4F71">
      <w:pPr>
        <w:spacing w:before="41"/>
      </w:pPr>
    </w:p>
    <w:p w14:paraId="47901B66">
      <w:pPr>
        <w:spacing w:before="41"/>
      </w:pPr>
    </w:p>
    <w:p w14:paraId="7FCD264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AFAD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466ABF">
            <w:pPr>
              <w:spacing w:line="284" w:lineRule="auto"/>
              <w:rPr>
                <w:rFonts w:ascii="Arial"/>
                <w:sz w:val="21"/>
              </w:rPr>
            </w:pPr>
          </w:p>
          <w:p w14:paraId="23464B8C">
            <w:pPr>
              <w:spacing w:line="284" w:lineRule="auto"/>
              <w:rPr>
                <w:rFonts w:ascii="Arial"/>
                <w:sz w:val="21"/>
              </w:rPr>
            </w:pPr>
          </w:p>
          <w:p w14:paraId="3998023A">
            <w:pPr>
              <w:spacing w:line="284" w:lineRule="auto"/>
              <w:rPr>
                <w:rFonts w:ascii="Arial"/>
                <w:sz w:val="21"/>
              </w:rPr>
            </w:pPr>
          </w:p>
          <w:p w14:paraId="1278D19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E5796A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30AB858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761288C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广西× 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7E29C31C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188E44E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69991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281124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3E6E8E4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04F3F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E5C63F">
            <w:pPr>
              <w:spacing w:before="79" w:line="228" w:lineRule="auto"/>
              <w:ind w:lef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未依约提供能够正常使用的房屋，其诉讼请求不成立。</w:t>
            </w:r>
          </w:p>
        </w:tc>
      </w:tr>
      <w:tr w14:paraId="0CDC23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576646">
            <w:pPr>
              <w:pStyle w:val="8"/>
              <w:spacing w:before="251" w:line="262" w:lineRule="auto"/>
              <w:ind w:left="82" w:right="84" w:firstLine="20"/>
            </w:pPr>
            <w:r>
              <w:rPr>
                <w:color w:val="231F20"/>
                <w:spacing w:val="-2"/>
              </w:rPr>
              <w:t>1. 对支付租金的诉请有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E11B6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400852">
            <w:pPr>
              <w:pStyle w:val="8"/>
              <w:spacing w:before="73" w:line="213" w:lineRule="auto"/>
              <w:ind w:left="85" w:right="7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租金支付起算时间应为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日，阙  ×× 也存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在违约行为，租金应减免。</w:t>
            </w:r>
          </w:p>
        </w:tc>
      </w:tr>
      <w:tr w14:paraId="30DEEB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2101CE">
            <w:pPr>
              <w:pStyle w:val="8"/>
              <w:spacing w:before="92" w:line="242" w:lineRule="auto"/>
              <w:ind w:left="85" w:right="84"/>
            </w:pPr>
            <w:r>
              <w:rPr>
                <w:color w:val="231F20"/>
                <w:spacing w:val="-1"/>
              </w:rPr>
              <w:t>2. 对迟延支付租金的利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BF03A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82E6F7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阙  ×× 违约在先，违约金不应支付</w:t>
            </w:r>
          </w:p>
        </w:tc>
      </w:tr>
      <w:tr w14:paraId="00F5DB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9560EF">
            <w:pPr>
              <w:pStyle w:val="8"/>
              <w:spacing w:before="252" w:line="262" w:lineRule="auto"/>
              <w:ind w:left="85" w:right="85" w:firstLine="3"/>
            </w:pPr>
            <w:r>
              <w:rPr>
                <w:color w:val="231F20"/>
                <w:spacing w:val="18"/>
              </w:rPr>
              <w:t>3. 对交付标的物有无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98DA4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683987">
            <w:pPr>
              <w:pStyle w:val="8"/>
              <w:spacing w:before="72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案涉房屋未取得建设工程规划许可证，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工程未竣工验收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合格；公司长期处于无法正常使用房屋的状态。</w:t>
            </w:r>
          </w:p>
        </w:tc>
      </w:tr>
      <w:tr w14:paraId="5DA395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F82C50">
            <w:pPr>
              <w:pStyle w:val="8"/>
              <w:spacing w:before="266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281F7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5F19F1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阙  ×× 违约在先，不享有单方解除权。</w:t>
            </w:r>
          </w:p>
        </w:tc>
      </w:tr>
      <w:tr w14:paraId="4D8D68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0F7C91">
            <w:pPr>
              <w:pStyle w:val="8"/>
              <w:spacing w:before="88" w:line="236" w:lineRule="auto"/>
              <w:ind w:left="82" w:right="85" w:firstLine="3"/>
            </w:pPr>
            <w:r>
              <w:rPr>
                <w:color w:val="231F20"/>
                <w:spacing w:val="3"/>
              </w:rPr>
              <w:t>5. 对返还租赁物 / 押金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6F2A2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70E35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35DA6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C7F0F6">
            <w:pPr>
              <w:pStyle w:val="8"/>
              <w:spacing w:before="97"/>
              <w:ind w:left="82" w:right="84" w:firstLine="3"/>
            </w:pPr>
            <w:r>
              <w:rPr>
                <w:color w:val="231F20"/>
                <w:spacing w:val="-1"/>
              </w:rPr>
              <w:t>6. 对实现债权的费用有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7D709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46FD843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不同意支付律师费用。</w:t>
            </w:r>
          </w:p>
        </w:tc>
      </w:tr>
      <w:tr w14:paraId="57EBF7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77B9A0">
            <w:pPr>
              <w:pStyle w:val="8"/>
              <w:spacing w:before="97"/>
              <w:ind w:left="85" w:right="84" w:hanging="1"/>
            </w:pPr>
            <w:r>
              <w:rPr>
                <w:color w:val="231F20"/>
                <w:spacing w:val="-1"/>
              </w:rPr>
              <w:t>7. 对诉讼费的负担有无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7A444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8F5C38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由阙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负担。</w:t>
            </w:r>
          </w:p>
        </w:tc>
      </w:tr>
      <w:tr w14:paraId="6A58AC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BCFCF1">
            <w:pPr>
              <w:pStyle w:val="8"/>
              <w:spacing w:before="255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8C177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6A36B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7F9D6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6A6B80">
            <w:pPr>
              <w:pStyle w:val="8"/>
              <w:spacing w:before="26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F4FE9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A570FE2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不应支付该数额</w:t>
            </w:r>
          </w:p>
        </w:tc>
      </w:tr>
      <w:tr w14:paraId="56BEF5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69CEAE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678FB08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2773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C438F4">
            <w:pPr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月起房屋才能正常使用，阙  ×× 违约在先，应减少租金。</w:t>
            </w:r>
          </w:p>
        </w:tc>
      </w:tr>
      <w:tr w14:paraId="2195A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2E2945">
            <w:pPr>
              <w:pStyle w:val="8"/>
              <w:spacing w:before="87" w:line="244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B4988C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E7CFE6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44BD2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240E77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F0D7C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C55CDC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7D98F80C">
      <w:pPr>
        <w:pStyle w:val="3"/>
      </w:pPr>
    </w:p>
    <w:p w14:paraId="75EE2BF2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42F0F6B">
      <w:pPr>
        <w:spacing w:before="41"/>
      </w:pPr>
    </w:p>
    <w:p w14:paraId="614D4D1F">
      <w:pPr>
        <w:spacing w:before="41"/>
      </w:pPr>
    </w:p>
    <w:p w14:paraId="2692FD10">
      <w:pPr>
        <w:spacing w:before="41"/>
      </w:pPr>
    </w:p>
    <w:p w14:paraId="72F2591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6DEB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060BFA">
            <w:pPr>
              <w:pStyle w:val="8"/>
              <w:spacing w:before="86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对租赁标的物情况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权情况等）有无异议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DDD1BD">
            <w:pPr>
              <w:pStyle w:val="8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0869AD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B8942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ACFEA7">
            <w:pPr>
              <w:pStyle w:val="8"/>
              <w:spacing w:before="83" w:line="238" w:lineRule="auto"/>
              <w:ind w:left="83" w:right="84" w:hanging="1"/>
            </w:pPr>
            <w:r>
              <w:rPr>
                <w:color w:val="231F20"/>
                <w:spacing w:val="-1"/>
              </w:rPr>
              <w:t>4. 对合同约定租赁期限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AE7182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6BDFBE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07A74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2FB1B6">
            <w:pPr>
              <w:pStyle w:val="8"/>
              <w:spacing w:before="94" w:line="241" w:lineRule="auto"/>
              <w:ind w:left="85" w:right="84"/>
            </w:pPr>
            <w:r>
              <w:rPr>
                <w:color w:val="231F20"/>
                <w:spacing w:val="-1"/>
              </w:rPr>
              <w:t>5. 对合同约定的租金及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F294B3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31ADA0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租金起算时间应为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日。</w:t>
            </w:r>
          </w:p>
        </w:tc>
      </w:tr>
      <w:tr w14:paraId="759800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707E11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对其他费用的约定有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09715E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CED0CC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E6320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DCBF13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6AD06D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7A4BC1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BB423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8566E7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对是否约定合同解除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5CA5AD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69D270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D8E45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FC02E6">
            <w:pPr>
              <w:pStyle w:val="8"/>
              <w:spacing w:before="94" w:line="241" w:lineRule="auto"/>
              <w:ind w:left="82" w:right="84" w:firstLine="3"/>
            </w:pPr>
            <w:r>
              <w:rPr>
                <w:color w:val="231F20"/>
                <w:spacing w:val="-1"/>
              </w:rPr>
              <w:t>9. 对租赁物交付时间有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44346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45E86E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月起房屋才能够正常使用，此时才交付。</w:t>
            </w:r>
          </w:p>
        </w:tc>
      </w:tr>
      <w:tr w14:paraId="7B6CA1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9DA653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对押金约定情况有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CCE084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5BC249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7A867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66AE96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11.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EBA194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4C9978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D9E5F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73E976">
            <w:pPr>
              <w:pStyle w:val="8"/>
              <w:spacing w:before="95" w:line="241" w:lineRule="auto"/>
              <w:ind w:left="84" w:right="84" w:firstLine="18"/>
            </w:pPr>
            <w:r>
              <w:rPr>
                <w:color w:val="231F20"/>
                <w:spacing w:val="6"/>
              </w:rPr>
              <w:t>12.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FE172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D50515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租金支付起算时间为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日，数额有异议。</w:t>
            </w:r>
          </w:p>
        </w:tc>
      </w:tr>
      <w:tr w14:paraId="001FC4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B24886">
            <w:pPr>
              <w:pStyle w:val="8"/>
              <w:spacing w:before="96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1B836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595C7B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阙  ×× 存在违约行为在先，应减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少租金。</w:t>
            </w:r>
          </w:p>
        </w:tc>
      </w:tr>
      <w:tr w14:paraId="113CDF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FBC5C7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E98C38">
            <w:pPr>
              <w:spacing w:before="28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CDE37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136C95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ADE91E">
            <w:pPr>
              <w:pStyle w:val="8"/>
              <w:spacing w:before="83" w:line="238" w:lineRule="auto"/>
              <w:ind w:left="84" w:right="1841" w:hanging="1"/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《房屋租赁合同》第三条、第四条、第十一条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法律规定：</w:t>
            </w:r>
          </w:p>
        </w:tc>
      </w:tr>
      <w:tr w14:paraId="6FBD52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B1FAE8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B7854B">
            <w:pPr>
              <w:rPr>
                <w:rFonts w:ascii="Arial"/>
                <w:sz w:val="21"/>
              </w:rPr>
            </w:pPr>
          </w:p>
        </w:tc>
      </w:tr>
      <w:tr w14:paraId="6C4D19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AD554F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1843B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43652F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D1D202">
            <w:pPr>
              <w:spacing w:line="260" w:lineRule="auto"/>
              <w:rPr>
                <w:rFonts w:ascii="Arial"/>
                <w:sz w:val="21"/>
              </w:rPr>
            </w:pPr>
          </w:p>
          <w:p w14:paraId="7C004FBE">
            <w:pPr>
              <w:spacing w:line="260" w:lineRule="auto"/>
              <w:rPr>
                <w:rFonts w:ascii="Arial"/>
                <w:sz w:val="21"/>
              </w:rPr>
            </w:pPr>
          </w:p>
          <w:p w14:paraId="34B0BD3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E029BA7">
      <w:pPr>
        <w:pStyle w:val="3"/>
      </w:pPr>
    </w:p>
    <w:p w14:paraId="29FF3F41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0DE1EB8">
      <w:pPr>
        <w:spacing w:before="41"/>
      </w:pPr>
    </w:p>
    <w:p w14:paraId="18928BB8">
      <w:pPr>
        <w:spacing w:before="41"/>
      </w:pPr>
    </w:p>
    <w:p w14:paraId="3C5E1726">
      <w:pPr>
        <w:spacing w:before="41"/>
      </w:pPr>
    </w:p>
    <w:p w14:paraId="413687C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798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764AF4">
            <w:pPr>
              <w:spacing w:line="263" w:lineRule="auto"/>
              <w:rPr>
                <w:rFonts w:ascii="Arial"/>
                <w:sz w:val="21"/>
              </w:rPr>
            </w:pPr>
          </w:p>
          <w:p w14:paraId="46480554">
            <w:pPr>
              <w:spacing w:line="263" w:lineRule="auto"/>
              <w:rPr>
                <w:rFonts w:ascii="Arial"/>
                <w:sz w:val="21"/>
              </w:rPr>
            </w:pPr>
          </w:p>
          <w:p w14:paraId="06ACCF17">
            <w:pPr>
              <w:spacing w:line="263" w:lineRule="auto"/>
              <w:rPr>
                <w:rFonts w:ascii="Arial"/>
                <w:sz w:val="21"/>
              </w:rPr>
            </w:pPr>
          </w:p>
          <w:p w14:paraId="045649CE">
            <w:pPr>
              <w:spacing w:line="264" w:lineRule="auto"/>
              <w:rPr>
                <w:rFonts w:ascii="Arial"/>
                <w:sz w:val="21"/>
              </w:rPr>
            </w:pPr>
          </w:p>
          <w:p w14:paraId="30D8A4D1">
            <w:pPr>
              <w:spacing w:line="264" w:lineRule="auto"/>
              <w:rPr>
                <w:rFonts w:ascii="Arial"/>
                <w:sz w:val="21"/>
              </w:rPr>
            </w:pPr>
          </w:p>
          <w:p w14:paraId="640730A9">
            <w:pPr>
              <w:spacing w:line="264" w:lineRule="auto"/>
              <w:rPr>
                <w:rFonts w:ascii="Arial"/>
                <w:sz w:val="21"/>
              </w:rPr>
            </w:pPr>
          </w:p>
          <w:p w14:paraId="238E42F3">
            <w:pPr>
              <w:spacing w:line="264" w:lineRule="auto"/>
              <w:rPr>
                <w:rFonts w:ascii="Arial"/>
                <w:sz w:val="21"/>
              </w:rPr>
            </w:pPr>
          </w:p>
          <w:p w14:paraId="518C799D">
            <w:pPr>
              <w:spacing w:line="264" w:lineRule="auto"/>
              <w:rPr>
                <w:rFonts w:ascii="Arial"/>
                <w:sz w:val="21"/>
              </w:rPr>
            </w:pPr>
          </w:p>
          <w:p w14:paraId="2D5A10C9">
            <w:pPr>
              <w:spacing w:line="264" w:lineRule="auto"/>
              <w:rPr>
                <w:rFonts w:ascii="Arial"/>
                <w:sz w:val="21"/>
              </w:rPr>
            </w:pPr>
          </w:p>
          <w:p w14:paraId="22603CD2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538560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75D3F9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B2EAE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A4357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112A2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A154FC4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6A005D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FAC0B7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697D5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E84F26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DCC50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7F85D22">
            <w:pPr>
              <w:spacing w:line="352" w:lineRule="auto"/>
              <w:rPr>
                <w:rFonts w:ascii="Arial"/>
                <w:sz w:val="21"/>
              </w:rPr>
            </w:pPr>
          </w:p>
          <w:p w14:paraId="4B3D1DA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08C12E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227F33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AA9D08E">
      <w:pPr>
        <w:spacing w:before="169" w:line="21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 广西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投资管理有限公司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13C3B8D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0A94E66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31D7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9F9FB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8D97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01367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C800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F2536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199"/>
    <w:bookmarkEnd w:id="2"/>
    <w:bookmarkStart w:id="3" w:name="bookmark95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33DA9E9B"/>
    <w:rsid w:val="39DE4CD1"/>
    <w:rsid w:val="3AEB0608"/>
    <w:rsid w:val="3CE8434E"/>
    <w:rsid w:val="3D6F3104"/>
    <w:rsid w:val="3F47EB2B"/>
    <w:rsid w:val="3F9FDA55"/>
    <w:rsid w:val="3FDF4AB0"/>
    <w:rsid w:val="3FEFD56B"/>
    <w:rsid w:val="3FFCB97D"/>
    <w:rsid w:val="48F0500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2B93565189F14832A1A7C64745415565_13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