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AF9C6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54.物业服务合同纠纷民事答辩状</w:t>
      </w:r>
    </w:p>
    <w:p w14:paraId="51BE6CEB">
      <w:pPr>
        <w:pStyle w:val="3"/>
        <w:spacing w:line="273" w:lineRule="auto"/>
      </w:pPr>
    </w:p>
    <w:p w14:paraId="6AB2EF02">
      <w:pPr>
        <w:pStyle w:val="3"/>
        <w:spacing w:line="274" w:lineRule="auto"/>
      </w:pPr>
    </w:p>
    <w:p w14:paraId="1BB31238">
      <w:pPr>
        <w:pStyle w:val="3"/>
        <w:spacing w:line="274" w:lineRule="auto"/>
      </w:pPr>
    </w:p>
    <w:p w14:paraId="641423C1">
      <w:pPr>
        <w:pStyle w:val="3"/>
        <w:spacing w:line="274" w:lineRule="auto"/>
      </w:pPr>
    </w:p>
    <w:p w14:paraId="692323D3">
      <w:pPr>
        <w:pStyle w:val="3"/>
        <w:spacing w:line="274" w:lineRule="auto"/>
      </w:pPr>
    </w:p>
    <w:p w14:paraId="45374C9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0C9010D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 w14:paraId="778ACA8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1244"/>
        <w:gridCol w:w="1630"/>
        <w:gridCol w:w="1001"/>
        <w:gridCol w:w="4453"/>
      </w:tblGrid>
      <w:tr w14:paraId="191200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431C0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E0B026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6E9089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45B921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73673CE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6D308C0">
            <w:pPr>
              <w:pStyle w:val="8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D501076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4A4A7D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5CA9EF1">
            <w:pPr>
              <w:pStyle w:val="8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BEFAC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6" w:type="dxa"/>
            <w:tcBorders>
              <w:left w:val="single" w:color="231F20" w:sz="4" w:space="0"/>
            </w:tcBorders>
            <w:noWrap w:val="0"/>
            <w:vAlign w:val="top"/>
          </w:tcPr>
          <w:p w14:paraId="025C07AD">
            <w:pPr>
              <w:pStyle w:val="8"/>
              <w:spacing w:before="86" w:line="208" w:lineRule="auto"/>
              <w:ind w:left="30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4" w:type="dxa"/>
            <w:gridSpan w:val="2"/>
            <w:noWrap w:val="0"/>
            <w:vAlign w:val="top"/>
          </w:tcPr>
          <w:p w14:paraId="6C9C772F">
            <w:pPr>
              <w:rPr>
                <w:rFonts w:ascii="Arial"/>
                <w:sz w:val="21"/>
              </w:rPr>
            </w:pPr>
          </w:p>
        </w:tc>
        <w:tc>
          <w:tcPr>
            <w:tcW w:w="1001" w:type="dxa"/>
            <w:noWrap w:val="0"/>
            <w:vAlign w:val="top"/>
          </w:tcPr>
          <w:p w14:paraId="62DD6DF4">
            <w:pPr>
              <w:pStyle w:val="8"/>
              <w:spacing w:before="86" w:line="208" w:lineRule="auto"/>
              <w:ind w:left="29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3" w:type="dxa"/>
            <w:tcBorders>
              <w:right w:val="single" w:color="231F20" w:sz="4" w:space="0"/>
            </w:tcBorders>
            <w:noWrap w:val="0"/>
            <w:vAlign w:val="top"/>
          </w:tcPr>
          <w:p w14:paraId="0DFC4E53">
            <w:pPr>
              <w:rPr>
                <w:rFonts w:ascii="Arial"/>
                <w:sz w:val="21"/>
              </w:rPr>
            </w:pPr>
          </w:p>
        </w:tc>
      </w:tr>
      <w:tr w14:paraId="1BB721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C4CF35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8256B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CAB1796">
            <w:pPr>
              <w:spacing w:line="299" w:lineRule="auto"/>
              <w:rPr>
                <w:rFonts w:ascii="Arial"/>
                <w:sz w:val="21"/>
              </w:rPr>
            </w:pPr>
          </w:p>
          <w:p w14:paraId="7B3F6E3C">
            <w:pPr>
              <w:spacing w:line="300" w:lineRule="auto"/>
              <w:rPr>
                <w:rFonts w:ascii="Arial"/>
                <w:sz w:val="21"/>
              </w:rPr>
            </w:pPr>
          </w:p>
          <w:p w14:paraId="7D1249B0">
            <w:pPr>
              <w:spacing w:line="300" w:lineRule="auto"/>
              <w:rPr>
                <w:rFonts w:ascii="Arial"/>
                <w:sz w:val="21"/>
              </w:rPr>
            </w:pPr>
          </w:p>
          <w:p w14:paraId="062BAC09">
            <w:pPr>
              <w:spacing w:line="300" w:lineRule="auto"/>
              <w:rPr>
                <w:rFonts w:ascii="Arial"/>
                <w:sz w:val="21"/>
              </w:rPr>
            </w:pPr>
          </w:p>
          <w:p w14:paraId="2A6AAEFF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907898E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FB44C1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0171D54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E945EE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7CBC0EF5">
            <w:pPr>
              <w:pStyle w:val="8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8A31ACF">
            <w:pPr>
              <w:pStyle w:val="8"/>
              <w:spacing w:before="44" w:line="262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F589B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E0FE007">
            <w:pPr>
              <w:spacing w:line="268" w:lineRule="auto"/>
              <w:rPr>
                <w:rFonts w:ascii="Arial"/>
                <w:sz w:val="21"/>
              </w:rPr>
            </w:pPr>
          </w:p>
          <w:p w14:paraId="64BBFAB6">
            <w:pPr>
              <w:spacing w:line="269" w:lineRule="auto"/>
              <w:rPr>
                <w:rFonts w:ascii="Arial"/>
                <w:sz w:val="21"/>
              </w:rPr>
            </w:pPr>
          </w:p>
          <w:p w14:paraId="2C1270AE">
            <w:pPr>
              <w:spacing w:line="269" w:lineRule="auto"/>
              <w:rPr>
                <w:rFonts w:ascii="Arial"/>
                <w:sz w:val="21"/>
              </w:rPr>
            </w:pPr>
          </w:p>
          <w:p w14:paraId="70ECD4E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F618BC9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C50599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B4EAD24">
            <w:pPr>
              <w:pStyle w:val="8"/>
              <w:spacing w:before="67" w:line="209" w:lineRule="auto"/>
              <w:ind w:left="50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4F1CA04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170B626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7B02CD9">
      <w:pPr>
        <w:pStyle w:val="3"/>
      </w:pPr>
    </w:p>
    <w:p w14:paraId="5170B640">
      <w:pPr>
        <w:sectPr>
          <w:footerReference r:id="rId5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268AB8F8">
      <w:pPr>
        <w:spacing w:before="41"/>
      </w:pPr>
    </w:p>
    <w:p w14:paraId="463DAA97">
      <w:pPr>
        <w:spacing w:before="41"/>
      </w:pPr>
    </w:p>
    <w:p w14:paraId="1878E98F">
      <w:pPr>
        <w:spacing w:before="41"/>
      </w:pPr>
    </w:p>
    <w:p w14:paraId="745BBF8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20C238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5386BF">
            <w:pPr>
              <w:spacing w:before="89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85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23F4A9C"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C2DD2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69D2B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56C45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2ECBB1">
            <w:pPr>
              <w:pStyle w:val="8"/>
              <w:spacing w:before="257" w:line="207" w:lineRule="auto"/>
              <w:ind w:left="102"/>
            </w:pPr>
            <w:r>
              <w:rPr>
                <w:color w:val="231F20"/>
                <w:spacing w:val="-2"/>
              </w:rPr>
              <w:t>1. 对物业费有无异议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95A658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CC229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07706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583F26">
            <w:pPr>
              <w:pStyle w:val="8"/>
              <w:spacing w:before="258" w:line="206" w:lineRule="auto"/>
              <w:ind w:left="85"/>
            </w:pPr>
            <w:r>
              <w:rPr>
                <w:color w:val="231F20"/>
                <w:spacing w:val="-1"/>
              </w:rPr>
              <w:t>2. 对违约金有无异议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7177FC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9896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619FB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BA61DF">
            <w:pPr>
              <w:pStyle w:val="8"/>
              <w:spacing w:before="85" w:line="237" w:lineRule="auto"/>
              <w:ind w:left="85" w:right="205" w:firstLine="3"/>
            </w:pPr>
            <w:r>
              <w:rPr>
                <w:color w:val="231F20"/>
                <w:spacing w:val="7"/>
              </w:rPr>
              <w:t>3. 对诉讼费负担有无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E611F4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EFC98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B3C3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A002F5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1"/>
              </w:rPr>
              <w:t>4.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82139D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65C22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6F48F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308356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11"/>
              </w:rPr>
              <w:t>5.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CA7FB9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F59724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AEF21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E20F7C">
            <w:pPr>
              <w:spacing w:before="69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C2B07D3">
            <w:pPr>
              <w:spacing w:line="222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670229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BDDD7B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3C356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30E3F3">
            <w:pPr>
              <w:pStyle w:val="8"/>
              <w:spacing w:before="84" w:line="251" w:lineRule="auto"/>
              <w:ind w:left="83" w:firstLine="19"/>
              <w:jc w:val="both"/>
            </w:pPr>
            <w:r>
              <w:rPr>
                <w:color w:val="231F20"/>
                <w:spacing w:val="14"/>
              </w:rPr>
              <w:t>1. 对物业服务合同或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9"/>
              </w:rPr>
              <w:t>前期物业服务合同签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订情况（名称、编号、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签订时间、地点等）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F7238FE">
            <w:pPr>
              <w:spacing w:line="261" w:lineRule="auto"/>
              <w:rPr>
                <w:rFonts w:ascii="Arial"/>
                <w:sz w:val="21"/>
              </w:rPr>
            </w:pPr>
          </w:p>
          <w:p w14:paraId="2838483B">
            <w:pPr>
              <w:spacing w:line="261" w:lineRule="auto"/>
              <w:rPr>
                <w:rFonts w:ascii="Arial"/>
                <w:sz w:val="21"/>
              </w:rPr>
            </w:pPr>
          </w:p>
          <w:p w14:paraId="73EE0EC9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6C715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329FB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BC39B7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1"/>
              </w:rPr>
              <w:t>2. 对签订主体有无异议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5CA617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60847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AB699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034857">
            <w:pPr>
              <w:pStyle w:val="8"/>
              <w:spacing w:before="88" w:line="236" w:lineRule="auto"/>
              <w:ind w:left="85" w:right="84" w:firstLine="3"/>
            </w:pPr>
            <w:r>
              <w:rPr>
                <w:color w:val="231F20"/>
                <w:spacing w:val="-1"/>
              </w:rPr>
              <w:t>3. 对物业项目情况有无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C6B5E7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FA049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C0EA4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E7368B">
            <w:pPr>
              <w:pStyle w:val="8"/>
              <w:spacing w:before="88" w:line="236" w:lineRule="auto"/>
              <w:ind w:left="85" w:right="85" w:hanging="3"/>
            </w:pPr>
            <w:r>
              <w:rPr>
                <w:color w:val="231F20"/>
                <w:spacing w:val="18"/>
              </w:rPr>
              <w:t>4. 对物业费标准有无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FC31FE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AC4CD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64825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9BA82C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5. 对物业服务期限有无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2ED33A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C8162C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FB97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E563D1">
            <w:pPr>
              <w:pStyle w:val="8"/>
              <w:spacing w:before="85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6. 对物业费支付方式有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9622C8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326C4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48C272A2">
      <w:pPr>
        <w:pStyle w:val="3"/>
      </w:pPr>
    </w:p>
    <w:p w14:paraId="5D59AF0F">
      <w:pPr>
        <w:sectPr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3D933060">
      <w:pPr>
        <w:spacing w:before="41"/>
      </w:pPr>
    </w:p>
    <w:p w14:paraId="5575C2AD">
      <w:pPr>
        <w:spacing w:before="41"/>
      </w:pPr>
    </w:p>
    <w:p w14:paraId="25149B69">
      <w:pPr>
        <w:spacing w:before="41"/>
      </w:pPr>
    </w:p>
    <w:p w14:paraId="7B9C07B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605CF4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96FCA5">
            <w:pPr>
              <w:pStyle w:val="8"/>
              <w:spacing w:before="85" w:line="238" w:lineRule="auto"/>
              <w:ind w:left="89" w:right="84" w:hanging="5"/>
            </w:pPr>
            <w:r>
              <w:rPr>
                <w:color w:val="231F20"/>
                <w:spacing w:val="-1"/>
              </w:rPr>
              <w:t>7. 对逾期支付物业费违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约金标准有无异议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E6ACC8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BCA3B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43721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03B4CF">
            <w:pPr>
              <w:pStyle w:val="8"/>
              <w:spacing w:before="82" w:line="238" w:lineRule="auto"/>
              <w:ind w:left="82" w:right="84" w:firstLine="5"/>
            </w:pPr>
            <w:r>
              <w:rPr>
                <w:color w:val="231F20"/>
                <w:spacing w:val="-1"/>
              </w:rPr>
              <w:t>8. 对欠付物业费数额及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计算方式有无异议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140601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227CDB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94E54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B208A3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9. 对应付违约金数额及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计算方式有无异议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D167D8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C227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7FE5B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24D418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催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缴 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3B65C8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51F3A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37C34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34011E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82D25A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F6B78D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3F34F4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21E096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12.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E89F532">
            <w:pPr>
              <w:pStyle w:val="8"/>
              <w:spacing w:before="85" w:line="237" w:lineRule="auto"/>
              <w:ind w:left="84" w:right="598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E6305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899BA7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13.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3D2DE4E">
            <w:pPr>
              <w:rPr>
                <w:rFonts w:ascii="Arial"/>
                <w:sz w:val="21"/>
              </w:rPr>
            </w:pPr>
          </w:p>
        </w:tc>
      </w:tr>
      <w:tr w14:paraId="08E8A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D27ACB"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0AEC6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EDD015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4B80E70">
            <w:pPr>
              <w:spacing w:line="258" w:lineRule="auto"/>
              <w:rPr>
                <w:rFonts w:ascii="Arial"/>
                <w:sz w:val="21"/>
              </w:rPr>
            </w:pPr>
          </w:p>
          <w:p w14:paraId="4D9BBE0A">
            <w:pPr>
              <w:spacing w:line="259" w:lineRule="auto"/>
              <w:rPr>
                <w:rFonts w:ascii="Arial"/>
                <w:sz w:val="21"/>
              </w:rPr>
            </w:pPr>
          </w:p>
          <w:p w14:paraId="4DEFBA2F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0F614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9F492A">
            <w:pPr>
              <w:spacing w:line="263" w:lineRule="auto"/>
              <w:rPr>
                <w:rFonts w:ascii="Arial"/>
                <w:sz w:val="21"/>
              </w:rPr>
            </w:pPr>
          </w:p>
          <w:p w14:paraId="56A6AF4D">
            <w:pPr>
              <w:spacing w:line="263" w:lineRule="auto"/>
              <w:rPr>
                <w:rFonts w:ascii="Arial"/>
                <w:sz w:val="21"/>
              </w:rPr>
            </w:pPr>
          </w:p>
          <w:p w14:paraId="455236E5">
            <w:pPr>
              <w:spacing w:line="264" w:lineRule="auto"/>
              <w:rPr>
                <w:rFonts w:ascii="Arial"/>
                <w:sz w:val="21"/>
              </w:rPr>
            </w:pPr>
          </w:p>
          <w:p w14:paraId="59C85E06">
            <w:pPr>
              <w:spacing w:line="264" w:lineRule="auto"/>
              <w:rPr>
                <w:rFonts w:ascii="Arial"/>
                <w:sz w:val="21"/>
              </w:rPr>
            </w:pPr>
          </w:p>
          <w:p w14:paraId="0052C52E">
            <w:pPr>
              <w:spacing w:line="264" w:lineRule="auto"/>
              <w:rPr>
                <w:rFonts w:ascii="Arial"/>
                <w:sz w:val="21"/>
              </w:rPr>
            </w:pPr>
          </w:p>
          <w:p w14:paraId="30715FB6">
            <w:pPr>
              <w:spacing w:line="264" w:lineRule="auto"/>
              <w:rPr>
                <w:rFonts w:ascii="Arial"/>
                <w:sz w:val="21"/>
              </w:rPr>
            </w:pPr>
          </w:p>
          <w:p w14:paraId="3D52B5D0">
            <w:pPr>
              <w:spacing w:line="264" w:lineRule="auto"/>
              <w:rPr>
                <w:rFonts w:ascii="Arial"/>
                <w:sz w:val="21"/>
              </w:rPr>
            </w:pPr>
          </w:p>
          <w:p w14:paraId="1D6ACCCC">
            <w:pPr>
              <w:spacing w:line="264" w:lineRule="auto"/>
              <w:rPr>
                <w:rFonts w:ascii="Arial"/>
                <w:sz w:val="21"/>
              </w:rPr>
            </w:pPr>
          </w:p>
          <w:p w14:paraId="40EB4F8E">
            <w:pPr>
              <w:spacing w:line="264" w:lineRule="auto"/>
              <w:rPr>
                <w:rFonts w:ascii="Arial"/>
                <w:sz w:val="21"/>
              </w:rPr>
            </w:pPr>
          </w:p>
          <w:p w14:paraId="488685D8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C118000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EE3259D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616F9A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745C8B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758A813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E7F0B6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87ABE0F">
            <w:pPr>
              <w:pStyle w:val="8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FEE563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01CE8C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2589518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8FAEDD0">
      <w:pPr>
        <w:pStyle w:val="3"/>
      </w:pPr>
    </w:p>
    <w:p w14:paraId="0CA6DDEE">
      <w:pPr>
        <w:sectPr>
          <w:footerReference r:id="rId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1A4F02B9">
      <w:pPr>
        <w:spacing w:before="41"/>
      </w:pPr>
    </w:p>
    <w:p w14:paraId="76E58EC4">
      <w:pPr>
        <w:spacing w:before="41"/>
      </w:pPr>
    </w:p>
    <w:p w14:paraId="54CA19BB">
      <w:pPr>
        <w:spacing w:before="41"/>
      </w:pPr>
    </w:p>
    <w:p w14:paraId="28BBF9F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28D6F363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6A60B097">
            <w:pPr>
              <w:spacing w:line="346" w:lineRule="auto"/>
              <w:rPr>
                <w:rFonts w:ascii="Arial"/>
                <w:sz w:val="21"/>
              </w:rPr>
            </w:pPr>
          </w:p>
          <w:p w14:paraId="7D30934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55AC3C92">
            <w:pPr>
              <w:pStyle w:val="8"/>
              <w:spacing w:before="92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B66E7F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253FD1F">
      <w:pPr>
        <w:spacing w:before="155" w:line="215" w:lineRule="auto"/>
        <w:ind w:left="5379" w:right="89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56BF815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6FCD3668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16F8E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4A7EC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99EF3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A7AA4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B8B2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12C29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199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57A040A"/>
    <w:rsid w:val="1BB82A97"/>
    <w:rsid w:val="1DAE4148"/>
    <w:rsid w:val="2BF01BA0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C6207A1888804B858543DB4BB22D9557_13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