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B6321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76.保证保险合同纠纷民事答辩状实例</w:t>
      </w:r>
    </w:p>
    <w:p w14:paraId="6AAC1B34">
      <w:pPr>
        <w:pStyle w:val="3"/>
        <w:spacing w:line="242" w:lineRule="auto"/>
      </w:pPr>
    </w:p>
    <w:p w14:paraId="098E1D10">
      <w:pPr>
        <w:pStyle w:val="3"/>
        <w:spacing w:line="243" w:lineRule="auto"/>
      </w:pPr>
    </w:p>
    <w:p w14:paraId="4D84AD6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228A41B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D68CF83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（保证保险合同纠纷）</w:t>
      </w:r>
    </w:p>
    <w:p w14:paraId="696C55BB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202"/>
        <w:gridCol w:w="1677"/>
        <w:gridCol w:w="613"/>
        <w:gridCol w:w="406"/>
        <w:gridCol w:w="4378"/>
      </w:tblGrid>
      <w:tr w14:paraId="236450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2A3C3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7BECE3B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4D78F26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ED96D29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87D72CE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5693F6C">
            <w:pPr>
              <w:pStyle w:val="8"/>
              <w:spacing w:before="14" w:line="235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2A32183">
            <w:pPr>
              <w:pStyle w:val="8"/>
              <w:spacing w:before="4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A541387">
            <w:pPr>
              <w:pStyle w:val="8"/>
              <w:spacing w:before="4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12904F4">
            <w:pPr>
              <w:pStyle w:val="8"/>
              <w:spacing w:before="46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32D2B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8" w:type="dxa"/>
            <w:tcBorders>
              <w:left w:val="single" w:color="231F20" w:sz="4" w:space="0"/>
            </w:tcBorders>
            <w:noWrap w:val="0"/>
            <w:vAlign w:val="top"/>
          </w:tcPr>
          <w:p w14:paraId="5C81813B">
            <w:pPr>
              <w:pStyle w:val="8"/>
              <w:spacing w:before="86" w:line="208" w:lineRule="auto"/>
              <w:ind w:left="322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9" w:type="dxa"/>
            <w:gridSpan w:val="2"/>
            <w:noWrap w:val="0"/>
            <w:vAlign w:val="top"/>
          </w:tcPr>
          <w:p w14:paraId="4283770C">
            <w:pPr>
              <w:spacing w:before="80" w:line="230" w:lineRule="auto"/>
              <w:ind w:left="1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（2022）京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×× 号</w:t>
            </w:r>
          </w:p>
        </w:tc>
        <w:tc>
          <w:tcPr>
            <w:tcW w:w="1019" w:type="dxa"/>
            <w:gridSpan w:val="2"/>
            <w:noWrap w:val="0"/>
            <w:vAlign w:val="top"/>
          </w:tcPr>
          <w:p w14:paraId="4A9BBDEB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78" w:type="dxa"/>
            <w:tcBorders>
              <w:right w:val="single" w:color="231F20" w:sz="4" w:space="0"/>
            </w:tcBorders>
            <w:noWrap w:val="0"/>
            <w:vAlign w:val="top"/>
          </w:tcPr>
          <w:p w14:paraId="6CEA9E3C">
            <w:pPr>
              <w:spacing w:before="80" w:line="230" w:lineRule="auto"/>
              <w:ind w:left="135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保证保险合同纠纷</w:t>
            </w:r>
          </w:p>
        </w:tc>
      </w:tr>
      <w:tr w14:paraId="12EC03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2C3D1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2BD8A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F1719D4">
            <w:pPr>
              <w:spacing w:line="297" w:lineRule="auto"/>
              <w:rPr>
                <w:rFonts w:ascii="Arial"/>
                <w:sz w:val="21"/>
              </w:rPr>
            </w:pPr>
          </w:p>
          <w:p w14:paraId="3BD07128">
            <w:pPr>
              <w:spacing w:line="297" w:lineRule="auto"/>
              <w:rPr>
                <w:rFonts w:ascii="Arial"/>
                <w:sz w:val="21"/>
              </w:rPr>
            </w:pPr>
          </w:p>
          <w:p w14:paraId="1488673F">
            <w:pPr>
              <w:spacing w:line="298" w:lineRule="auto"/>
              <w:rPr>
                <w:rFonts w:ascii="Arial"/>
                <w:sz w:val="21"/>
              </w:rPr>
            </w:pPr>
          </w:p>
          <w:p w14:paraId="70C3388B">
            <w:pPr>
              <w:spacing w:line="298" w:lineRule="auto"/>
              <w:rPr>
                <w:rFonts w:ascii="Arial"/>
                <w:sz w:val="21"/>
              </w:rPr>
            </w:pPr>
          </w:p>
          <w:p w14:paraId="581E7678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14413FC2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杜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826D03D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4F18D222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族</w:t>
            </w:r>
          </w:p>
          <w:p w14:paraId="230FC2C2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4EB512B0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F2AAF0F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住所地（户籍所在地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</w:t>
            </w:r>
          </w:p>
          <w:p w14:paraId="725A4EA4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 w14:paraId="1C9B99F7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E472580">
            <w:pPr>
              <w:pStyle w:val="8"/>
              <w:spacing w:before="4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 w14:paraId="32E043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F78138F">
            <w:pPr>
              <w:spacing w:line="255" w:lineRule="auto"/>
              <w:rPr>
                <w:rFonts w:ascii="Arial"/>
                <w:sz w:val="21"/>
              </w:rPr>
            </w:pPr>
          </w:p>
          <w:p w14:paraId="04575CAF">
            <w:pPr>
              <w:spacing w:line="255" w:lineRule="auto"/>
              <w:rPr>
                <w:rFonts w:ascii="Arial"/>
                <w:sz w:val="21"/>
              </w:rPr>
            </w:pPr>
          </w:p>
          <w:p w14:paraId="3DE08F9A">
            <w:pPr>
              <w:spacing w:line="255" w:lineRule="auto"/>
              <w:rPr>
                <w:rFonts w:ascii="Arial"/>
                <w:sz w:val="21"/>
              </w:rPr>
            </w:pPr>
          </w:p>
          <w:p w14:paraId="7904D53F">
            <w:pPr>
              <w:spacing w:line="255" w:lineRule="auto"/>
              <w:rPr>
                <w:rFonts w:ascii="Arial"/>
                <w:sz w:val="21"/>
              </w:rPr>
            </w:pPr>
          </w:p>
          <w:p w14:paraId="63203728">
            <w:pPr>
              <w:spacing w:line="255" w:lineRule="auto"/>
              <w:rPr>
                <w:rFonts w:ascii="Arial"/>
                <w:sz w:val="21"/>
              </w:rPr>
            </w:pPr>
          </w:p>
          <w:p w14:paraId="69BE6DAE">
            <w:pPr>
              <w:spacing w:line="255" w:lineRule="auto"/>
              <w:rPr>
                <w:rFonts w:ascii="Arial"/>
                <w:sz w:val="21"/>
              </w:rPr>
            </w:pPr>
          </w:p>
          <w:p w14:paraId="08E647F9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4B35F99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8AD46D7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B79115A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49608B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E0E7D88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FD0FFB8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977F9CC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2D2228DE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7BF9CD2">
            <w:pPr>
              <w:spacing w:line="334" w:lineRule="auto"/>
              <w:rPr>
                <w:rFonts w:ascii="Arial"/>
                <w:sz w:val="21"/>
              </w:rPr>
            </w:pPr>
          </w:p>
          <w:p w14:paraId="2A265FAD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C0A61BF">
            <w:pPr>
              <w:spacing w:line="327" w:lineRule="auto"/>
              <w:rPr>
                <w:rFonts w:ascii="Arial"/>
                <w:sz w:val="21"/>
              </w:rPr>
            </w:pPr>
          </w:p>
          <w:p w14:paraId="003135A9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1C5E52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A75A22D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A9874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A5A10C2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08C677A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E884007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C9FCE45">
      <w:pPr>
        <w:pStyle w:val="3"/>
      </w:pPr>
    </w:p>
    <w:p w14:paraId="47535013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FA77D59">
      <w:pPr>
        <w:spacing w:before="41"/>
      </w:pPr>
    </w:p>
    <w:p w14:paraId="2006C4C7">
      <w:pPr>
        <w:spacing w:before="41"/>
      </w:pPr>
    </w:p>
    <w:p w14:paraId="3C8B272E">
      <w:pPr>
        <w:spacing w:before="41"/>
      </w:pPr>
    </w:p>
    <w:p w14:paraId="6DB4F0A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D6428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DFCFC9">
            <w:pPr>
              <w:spacing w:line="346" w:lineRule="auto"/>
              <w:rPr>
                <w:rFonts w:ascii="Arial"/>
                <w:sz w:val="21"/>
              </w:rPr>
            </w:pPr>
          </w:p>
          <w:p w14:paraId="56A871FF">
            <w:pPr>
              <w:spacing w:line="347" w:lineRule="auto"/>
              <w:rPr>
                <w:rFonts w:ascii="Arial"/>
                <w:sz w:val="21"/>
              </w:rPr>
            </w:pPr>
          </w:p>
          <w:p w14:paraId="20FE1DD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F4A7D4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8A4352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D4B06B4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77BC7CAA">
            <w:pPr>
              <w:pStyle w:val="8"/>
              <w:spacing w:before="33" w:line="217" w:lineRule="auto"/>
              <w:ind w:left="82" w:right="1001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67B442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254E4F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2907BDD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366E1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8277BF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208B3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EF67BA">
            <w:pPr>
              <w:spacing w:line="345" w:lineRule="auto"/>
              <w:rPr>
                <w:rFonts w:ascii="Arial"/>
                <w:sz w:val="21"/>
              </w:rPr>
            </w:pPr>
          </w:p>
          <w:p w14:paraId="686820F3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对理赔款有无异议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8B9944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DFD891B">
            <w:pPr>
              <w:pStyle w:val="8"/>
              <w:spacing w:before="72" w:line="213" w:lineRule="auto"/>
              <w:ind w:left="128" w:right="79" w:hanging="4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不能确认原告已经支付的理赔款数额；从 2019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 25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日开始被告已经还款 196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万，本金基本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已还清。</w:t>
            </w:r>
          </w:p>
        </w:tc>
      </w:tr>
      <w:tr w14:paraId="232151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5DD746">
            <w:pPr>
              <w:pStyle w:val="8"/>
              <w:spacing w:before="9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2. 对保险费、违约金等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A9085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6AD4905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原告各项费率约定过高。</w:t>
            </w:r>
          </w:p>
        </w:tc>
      </w:tr>
      <w:tr w14:paraId="7AE83C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F1295B">
            <w:pPr>
              <w:pStyle w:val="8"/>
              <w:spacing w:before="97"/>
              <w:ind w:left="82" w:right="84" w:firstLine="6"/>
            </w:pPr>
            <w:r>
              <w:rPr>
                <w:color w:val="231F20"/>
                <w:spacing w:val="-1"/>
              </w:rPr>
              <w:t>3. 对实现债权的费用有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AE167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AF82F9">
            <w:pPr>
              <w:pStyle w:val="8"/>
              <w:spacing w:before="73" w:line="178" w:lineRule="auto"/>
              <w:ind w:left="84"/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：原告聘请律师享受法律服务，应自负律师费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。</w:t>
            </w:r>
          </w:p>
        </w:tc>
      </w:tr>
      <w:tr w14:paraId="3D0C21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96C886">
            <w:pPr>
              <w:pStyle w:val="8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0A46B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279DA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1C169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E6FCDA">
            <w:pPr>
              <w:spacing w:line="347" w:lineRule="auto"/>
              <w:rPr>
                <w:rFonts w:ascii="Arial"/>
                <w:sz w:val="21"/>
              </w:rPr>
            </w:pPr>
          </w:p>
          <w:p w14:paraId="528A50E6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E2E274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4F10F6D">
            <w:pPr>
              <w:pStyle w:val="8"/>
              <w:spacing w:before="72" w:line="213" w:lineRule="auto"/>
              <w:ind w:left="105" w:right="101" w:hanging="2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被告已将本金基本还清，部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分款项被原告截留，应当予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以扣减。</w:t>
            </w:r>
          </w:p>
        </w:tc>
      </w:tr>
      <w:tr w14:paraId="29C17B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EA2066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6BE47AD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0B5A1A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AF2F75">
            <w:pPr>
              <w:spacing w:before="84" w:line="263" w:lineRule="auto"/>
              <w:ind w:left="89" w:right="2" w:firstLine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签订协议时相关费率约定并未明确提示，合同约定的各项费率标准过高。被告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已将本金基本还清。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原告提交的 5 个合同中，其中有 2 个合同上的签字不是被告本人所签。原告是否已支付理赔款不能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确定。债权人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信托公司是否具备向社会不特定对象发放贷款的资质不能确认，被告与债权人之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间的借款合同无效。</w:t>
            </w:r>
          </w:p>
        </w:tc>
      </w:tr>
      <w:tr w14:paraId="39A5FC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CB6627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-2"/>
              </w:rPr>
              <w:t>1. 对保证保险合同的签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D0D4A4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42F70E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A179C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10B10D">
            <w:pPr>
              <w:pStyle w:val="8"/>
              <w:spacing w:before="97"/>
              <w:ind w:left="82" w:right="84" w:firstLine="3"/>
            </w:pPr>
            <w:r>
              <w:rPr>
                <w:color w:val="231F20"/>
                <w:spacing w:val="-1"/>
              </w:rPr>
              <w:t>2. 对保证保险合同的主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3CC83F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04CCB8D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合同约定的滞纳金标准过高。</w:t>
            </w:r>
          </w:p>
        </w:tc>
      </w:tr>
      <w:tr w14:paraId="4F2696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A63A71">
            <w:pPr>
              <w:pStyle w:val="8"/>
              <w:spacing w:before="91" w:line="248" w:lineRule="auto"/>
              <w:ind w:left="82" w:right="84" w:firstLine="6"/>
              <w:jc w:val="both"/>
            </w:pPr>
            <w:r>
              <w:rPr>
                <w:color w:val="231F20"/>
                <w:spacing w:val="-1"/>
              </w:rPr>
              <w:t>3. 对原告对被告就保证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保险合同主要条款进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行提示注意、说明的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87F997">
            <w:pPr>
              <w:spacing w:line="345" w:lineRule="auto"/>
              <w:rPr>
                <w:rFonts w:ascii="Arial"/>
                <w:sz w:val="21"/>
              </w:rPr>
            </w:pPr>
          </w:p>
          <w:p w14:paraId="04E1074D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08CFA14">
            <w:pPr>
              <w:pStyle w:val="8"/>
              <w:spacing w:before="72" w:line="184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签订协议时相关费率约定并未明确提示。</w:t>
            </w:r>
          </w:p>
        </w:tc>
      </w:tr>
    </w:tbl>
    <w:p w14:paraId="3A091C43">
      <w:pPr>
        <w:pStyle w:val="3"/>
      </w:pPr>
    </w:p>
    <w:p w14:paraId="2FA0F25D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41D27F9">
      <w:pPr>
        <w:spacing w:before="41"/>
      </w:pPr>
    </w:p>
    <w:p w14:paraId="06E441FD">
      <w:pPr>
        <w:spacing w:before="41"/>
      </w:pPr>
    </w:p>
    <w:p w14:paraId="3C316117">
      <w:pPr>
        <w:spacing w:before="41"/>
      </w:pPr>
    </w:p>
    <w:p w14:paraId="55BE9D9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E7CB5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9D26B3">
            <w:pPr>
              <w:spacing w:line="344" w:lineRule="auto"/>
              <w:rPr>
                <w:rFonts w:ascii="Arial"/>
                <w:sz w:val="21"/>
              </w:rPr>
            </w:pPr>
          </w:p>
          <w:p w14:paraId="7CB9E009">
            <w:pPr>
              <w:pStyle w:val="8"/>
              <w:spacing w:before="78" w:line="262" w:lineRule="auto"/>
              <w:ind w:left="82" w:right="84"/>
            </w:pPr>
            <w:r>
              <w:rPr>
                <w:color w:val="231F20"/>
                <w:spacing w:val="-1"/>
              </w:rPr>
              <w:t>4. 对被告借款合同的主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6AEA1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790B7C4">
            <w:pPr>
              <w:pStyle w:val="8"/>
              <w:spacing w:before="73" w:line="232" w:lineRule="auto"/>
              <w:ind w:left="86" w:right="8" w:hanging="2"/>
              <w:rPr>
                <w:rFonts w:ascii="方正楷体_GBK" w:hAnsi="方正楷体_GBK" w:eastAsia="方正楷体_GBK" w:cs="方正楷体_GBK"/>
              </w:rPr>
            </w:pPr>
            <w:bookmarkStart w:id="0" w:name="bookmark307"/>
            <w:bookmarkEnd w:id="0"/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合同约定的各项费率标准过高；被告除了和  ×× 信托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公司线下签了一个借款合同，其余全是线上签订，原告提交的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5 个合同中，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其中有 2 个合同上的签字不是被告本人所签，借款合同是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否有效不能确定。</w:t>
            </w:r>
          </w:p>
        </w:tc>
      </w:tr>
      <w:tr w14:paraId="5CA5E7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79928C">
            <w:pPr>
              <w:pStyle w:val="8"/>
              <w:spacing w:before="94" w:line="241" w:lineRule="auto"/>
              <w:ind w:left="84" w:right="84"/>
            </w:pPr>
            <w:r>
              <w:rPr>
                <w:color w:val="231F20"/>
                <w:spacing w:val="-1"/>
              </w:rPr>
              <w:t>5. 对被告逾期未还款情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032459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5B81B3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被告已将本金基本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还清。</w:t>
            </w:r>
          </w:p>
        </w:tc>
      </w:tr>
      <w:tr w14:paraId="5BD60B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83E2ED">
            <w:pPr>
              <w:pStyle w:val="8"/>
              <w:spacing w:before="95" w:line="241" w:lineRule="auto"/>
              <w:ind w:left="83" w:right="84" w:firstLine="3"/>
            </w:pPr>
            <w:r>
              <w:rPr>
                <w:color w:val="231F20"/>
                <w:spacing w:val="-1"/>
              </w:rPr>
              <w:t>6. 对保证保险合同的履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D68CC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6FC8785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原告是否已支付理赔款不能确定。</w:t>
            </w:r>
          </w:p>
        </w:tc>
      </w:tr>
      <w:tr w14:paraId="2B5EA1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9D6026">
            <w:pPr>
              <w:pStyle w:val="8"/>
              <w:spacing w:before="265" w:line="209" w:lineRule="auto"/>
              <w:ind w:left="84"/>
            </w:pPr>
            <w:r>
              <w:rPr>
                <w:color w:val="231F20"/>
                <w:spacing w:val="-1"/>
              </w:rPr>
              <w:t>7. 对追索情况有无异议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0C42BD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097456D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被告未收到原告追索相关信息。</w:t>
            </w:r>
          </w:p>
        </w:tc>
      </w:tr>
      <w:tr w14:paraId="161626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12444C">
            <w:pPr>
              <w:pStyle w:val="8"/>
              <w:spacing w:before="85" w:line="237" w:lineRule="auto"/>
              <w:ind w:left="84" w:right="85" w:firstLine="3"/>
            </w:pPr>
            <w:r>
              <w:rPr>
                <w:color w:val="231F20"/>
                <w:spacing w:val="2"/>
              </w:rPr>
              <w:t>8. 有无其他免责 / 减责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20991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369CEB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CE96C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516477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174BAC">
            <w:pPr>
              <w:pStyle w:val="8"/>
              <w:spacing w:before="81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《关于保证保险业务及债务清偿安排之协议书》</w:t>
            </w:r>
          </w:p>
          <w:p w14:paraId="7ABABF45">
            <w:pPr>
              <w:pStyle w:val="8"/>
              <w:spacing w:before="43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《中华人民共和国保险法》</w:t>
            </w:r>
          </w:p>
        </w:tc>
      </w:tr>
      <w:tr w14:paraId="77FBE7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7CD5E3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A72639">
            <w:pPr>
              <w:spacing w:before="82" w:line="252" w:lineRule="auto"/>
              <w:ind w:left="84" w:righ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债权人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×× 信托公司是否具备向社会不特定对象发放贷款的资质不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能确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认，被告与债权人之间的借款合同无效。</w:t>
            </w:r>
          </w:p>
        </w:tc>
      </w:tr>
      <w:tr w14:paraId="5D6BD3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5A6284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11.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E8E666">
            <w:pPr>
              <w:rPr>
                <w:rFonts w:ascii="Arial"/>
                <w:sz w:val="21"/>
              </w:rPr>
            </w:pPr>
          </w:p>
        </w:tc>
      </w:tr>
      <w:tr w14:paraId="7DDBE0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E039BC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3CC6C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5F3994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CBCCA0">
            <w:pPr>
              <w:spacing w:line="258" w:lineRule="auto"/>
              <w:rPr>
                <w:rFonts w:ascii="Arial"/>
                <w:sz w:val="21"/>
              </w:rPr>
            </w:pPr>
          </w:p>
          <w:p w14:paraId="16301F6C">
            <w:pPr>
              <w:spacing w:line="259" w:lineRule="auto"/>
              <w:rPr>
                <w:rFonts w:ascii="Arial"/>
                <w:sz w:val="21"/>
              </w:rPr>
            </w:pPr>
          </w:p>
          <w:p w14:paraId="56D4501E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1AD30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58122A">
            <w:pPr>
              <w:spacing w:line="263" w:lineRule="auto"/>
              <w:rPr>
                <w:rFonts w:ascii="Arial"/>
                <w:sz w:val="21"/>
              </w:rPr>
            </w:pPr>
          </w:p>
          <w:p w14:paraId="152F929C">
            <w:pPr>
              <w:spacing w:line="263" w:lineRule="auto"/>
              <w:rPr>
                <w:rFonts w:ascii="Arial"/>
                <w:sz w:val="21"/>
              </w:rPr>
            </w:pPr>
          </w:p>
          <w:p w14:paraId="7743566A">
            <w:pPr>
              <w:spacing w:line="264" w:lineRule="auto"/>
              <w:rPr>
                <w:rFonts w:ascii="Arial"/>
                <w:sz w:val="21"/>
              </w:rPr>
            </w:pPr>
          </w:p>
          <w:p w14:paraId="36850FD6">
            <w:pPr>
              <w:spacing w:line="264" w:lineRule="auto"/>
              <w:rPr>
                <w:rFonts w:ascii="Arial"/>
                <w:sz w:val="21"/>
              </w:rPr>
            </w:pPr>
          </w:p>
          <w:p w14:paraId="6B8B422A">
            <w:pPr>
              <w:spacing w:line="264" w:lineRule="auto"/>
              <w:rPr>
                <w:rFonts w:ascii="Arial"/>
                <w:sz w:val="21"/>
              </w:rPr>
            </w:pPr>
          </w:p>
          <w:p w14:paraId="0D5E240F">
            <w:pPr>
              <w:spacing w:line="264" w:lineRule="auto"/>
              <w:rPr>
                <w:rFonts w:ascii="Arial"/>
                <w:sz w:val="21"/>
              </w:rPr>
            </w:pPr>
          </w:p>
          <w:p w14:paraId="0C2B927C">
            <w:pPr>
              <w:spacing w:line="264" w:lineRule="auto"/>
              <w:rPr>
                <w:rFonts w:ascii="Arial"/>
                <w:sz w:val="21"/>
              </w:rPr>
            </w:pPr>
          </w:p>
          <w:p w14:paraId="3C257B00">
            <w:pPr>
              <w:spacing w:line="264" w:lineRule="auto"/>
              <w:rPr>
                <w:rFonts w:ascii="Arial"/>
                <w:sz w:val="21"/>
              </w:rPr>
            </w:pPr>
          </w:p>
          <w:p w14:paraId="4E488537">
            <w:pPr>
              <w:spacing w:line="264" w:lineRule="auto"/>
              <w:rPr>
                <w:rFonts w:ascii="Arial"/>
                <w:sz w:val="21"/>
              </w:rPr>
            </w:pPr>
          </w:p>
          <w:p w14:paraId="3672671A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FEB9AA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7A9160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128017A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A653F3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97EE278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B6E73C7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377384B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8F6335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40EAAEF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8610DF9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E7A54B1">
      <w:pPr>
        <w:pStyle w:val="3"/>
      </w:pPr>
    </w:p>
    <w:p w14:paraId="2ECEAEB2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887E3F0">
      <w:pPr>
        <w:spacing w:before="41"/>
      </w:pPr>
    </w:p>
    <w:p w14:paraId="1A27256B">
      <w:pPr>
        <w:spacing w:before="41"/>
      </w:pPr>
    </w:p>
    <w:p w14:paraId="46217C96">
      <w:pPr>
        <w:spacing w:before="41"/>
      </w:pPr>
    </w:p>
    <w:p w14:paraId="3F61A6D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6C64CFD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06B2E9C3">
            <w:pPr>
              <w:spacing w:line="346" w:lineRule="auto"/>
              <w:rPr>
                <w:rFonts w:ascii="Arial"/>
                <w:sz w:val="21"/>
              </w:rPr>
            </w:pPr>
          </w:p>
          <w:p w14:paraId="0D3A0DEA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062E277E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913ADC5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8E7FC1C">
      <w:pPr>
        <w:spacing w:before="174" w:line="223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杜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3F66960">
      <w:pPr>
        <w:spacing w:line="223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0890E7F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7A67E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314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41A2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315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97C9B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316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2E0D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317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C6E8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3A496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95"/>
    <w:bookmarkEnd w:id="2"/>
    <w:bookmarkStart w:id="3" w:name="bookmark265"/>
    <w:bookmarkEnd w:id="3"/>
    <w:bookmarkStart w:id="4" w:name="bookmark199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2673DA8"/>
    <w:rsid w:val="05922349"/>
    <w:rsid w:val="0B8C6CF8"/>
    <w:rsid w:val="0EEEE2EE"/>
    <w:rsid w:val="14B558F8"/>
    <w:rsid w:val="1BB82A97"/>
    <w:rsid w:val="1DAE4148"/>
    <w:rsid w:val="23791D8F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5935FD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A0B4D11B5731458691C8EE87C63748B7_13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