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A4AA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120.垄断纠纷民事答辩状实例</w:t>
      </w:r>
    </w:p>
    <w:p w14:paraId="3FC02676">
      <w:pPr>
        <w:pStyle w:val="3"/>
        <w:spacing w:line="242" w:lineRule="auto"/>
      </w:pPr>
    </w:p>
    <w:p w14:paraId="0069B3CE">
      <w:pPr>
        <w:pStyle w:val="3"/>
        <w:spacing w:line="243" w:lineRule="auto"/>
      </w:pPr>
    </w:p>
    <w:p w14:paraId="0B76C44C">
      <w:pPr>
        <w:pStyle w:val="3"/>
        <w:spacing w:line="243" w:lineRule="auto"/>
      </w:pPr>
    </w:p>
    <w:p w14:paraId="58D290E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27CE2D4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53B44DC"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（垄断纠纷）</w:t>
      </w:r>
    </w:p>
    <w:p w14:paraId="4E5F9E19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042"/>
        <w:gridCol w:w="1082"/>
        <w:gridCol w:w="3950"/>
      </w:tblGrid>
      <w:tr w14:paraId="466485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A4B1A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99D3552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01AEF48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3A49359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41A3501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F127A1C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750A025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0CEFF5E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758C8E7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3FC5B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3FB856AD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233" w:type="dxa"/>
            <w:gridSpan w:val="2"/>
            <w:noWrap w:val="0"/>
            <w:vAlign w:val="top"/>
          </w:tcPr>
          <w:p w14:paraId="483E824C">
            <w:pPr>
              <w:spacing w:before="81" w:line="229" w:lineRule="auto"/>
              <w:ind w:left="1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（2023）鲁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号</w:t>
            </w:r>
          </w:p>
        </w:tc>
        <w:tc>
          <w:tcPr>
            <w:tcW w:w="1082" w:type="dxa"/>
            <w:noWrap w:val="0"/>
            <w:vAlign w:val="top"/>
          </w:tcPr>
          <w:p w14:paraId="456B73EF">
            <w:pPr>
              <w:pStyle w:val="8"/>
              <w:spacing w:before="86" w:line="208" w:lineRule="auto"/>
              <w:ind w:left="334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950" w:type="dxa"/>
            <w:tcBorders>
              <w:right w:val="single" w:color="231F20" w:sz="4" w:space="0"/>
            </w:tcBorders>
            <w:noWrap w:val="0"/>
            <w:vAlign w:val="top"/>
          </w:tcPr>
          <w:p w14:paraId="0838ED31">
            <w:pPr>
              <w:spacing w:before="80" w:line="230" w:lineRule="auto"/>
              <w:ind w:left="93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滥用市场支配地位纠纷</w:t>
            </w:r>
          </w:p>
        </w:tc>
      </w:tr>
      <w:tr w14:paraId="0498C1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1F1CA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A0F7C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B83436C">
            <w:pPr>
              <w:rPr>
                <w:rFonts w:ascii="Arial"/>
                <w:sz w:val="21"/>
              </w:rPr>
            </w:pPr>
          </w:p>
          <w:p w14:paraId="7171F490">
            <w:pPr>
              <w:spacing w:line="241" w:lineRule="auto"/>
              <w:rPr>
                <w:rFonts w:ascii="Arial"/>
                <w:sz w:val="21"/>
              </w:rPr>
            </w:pPr>
          </w:p>
          <w:p w14:paraId="4946155D">
            <w:pPr>
              <w:spacing w:line="241" w:lineRule="auto"/>
              <w:rPr>
                <w:rFonts w:ascii="Arial"/>
                <w:sz w:val="21"/>
              </w:rPr>
            </w:pPr>
          </w:p>
          <w:p w14:paraId="04B094B3">
            <w:pPr>
              <w:spacing w:line="241" w:lineRule="auto"/>
              <w:rPr>
                <w:rFonts w:ascii="Arial"/>
                <w:sz w:val="21"/>
              </w:rPr>
            </w:pPr>
          </w:p>
          <w:p w14:paraId="7280433D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8776AFA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F2FF39D">
            <w:pPr>
              <w:pStyle w:val="8"/>
              <w:spacing w:before="1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67753F2">
            <w:pPr>
              <w:pStyle w:val="8"/>
              <w:spacing w:before="4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    日              </w:t>
            </w:r>
            <w:r>
              <w:rPr>
                <w:color w:val="231F20"/>
                <w:spacing w:val="-4"/>
              </w:rPr>
              <w:t xml:space="preserve">            民族：</w:t>
            </w:r>
          </w:p>
          <w:p w14:paraId="5364BF8D">
            <w:pPr>
              <w:pStyle w:val="8"/>
              <w:spacing w:before="6" w:line="239" w:lineRule="auto"/>
              <w:ind w:left="85"/>
            </w:pPr>
            <w:r>
              <w:rPr>
                <w:color w:val="231F20"/>
              </w:rPr>
              <w:t xml:space="preserve">工作单位：              职务：                          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453A5899">
            <w:pPr>
              <w:pStyle w:val="8"/>
              <w:spacing w:before="7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AAE15BA">
            <w:pPr>
              <w:pStyle w:val="8"/>
              <w:spacing w:before="38" w:line="229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0337C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D51540C">
            <w:pPr>
              <w:spacing w:line="251" w:lineRule="auto"/>
              <w:rPr>
                <w:rFonts w:ascii="Arial"/>
                <w:sz w:val="21"/>
              </w:rPr>
            </w:pPr>
          </w:p>
          <w:p w14:paraId="2D712908">
            <w:pPr>
              <w:spacing w:line="251" w:lineRule="auto"/>
              <w:rPr>
                <w:rFonts w:ascii="Arial"/>
                <w:sz w:val="21"/>
              </w:rPr>
            </w:pPr>
          </w:p>
          <w:p w14:paraId="703E551F">
            <w:pPr>
              <w:spacing w:line="251" w:lineRule="auto"/>
              <w:rPr>
                <w:rFonts w:ascii="Arial"/>
                <w:sz w:val="21"/>
              </w:rPr>
            </w:pPr>
          </w:p>
          <w:p w14:paraId="2371BD92">
            <w:pPr>
              <w:spacing w:line="251" w:lineRule="auto"/>
              <w:rPr>
                <w:rFonts w:ascii="Arial"/>
                <w:sz w:val="21"/>
              </w:rPr>
            </w:pPr>
          </w:p>
          <w:p w14:paraId="6D941055">
            <w:pPr>
              <w:spacing w:line="251" w:lineRule="auto"/>
              <w:rPr>
                <w:rFonts w:ascii="Arial"/>
                <w:sz w:val="21"/>
              </w:rPr>
            </w:pPr>
          </w:p>
          <w:p w14:paraId="2FBD9AC5">
            <w:pPr>
              <w:spacing w:line="251" w:lineRule="auto"/>
              <w:rPr>
                <w:rFonts w:ascii="Arial"/>
                <w:sz w:val="21"/>
              </w:rPr>
            </w:pPr>
          </w:p>
          <w:p w14:paraId="577F7FA2">
            <w:pPr>
              <w:spacing w:line="252" w:lineRule="auto"/>
              <w:rPr>
                <w:rFonts w:ascii="Arial"/>
                <w:sz w:val="21"/>
              </w:rPr>
            </w:pPr>
          </w:p>
          <w:p w14:paraId="2856320B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E17FFA7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12A81F8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名称：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山东省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网络股份有限公司</w:t>
            </w:r>
          </w:p>
          <w:p w14:paraId="6C41B13E">
            <w:pPr>
              <w:pStyle w:val="8"/>
              <w:spacing w:before="2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7680D799">
            <w:pPr>
              <w:pStyle w:val="8"/>
              <w:spacing w:before="11" w:line="238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山东省济南市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77DFF1C7">
            <w:pPr>
              <w:pStyle w:val="8"/>
              <w:spacing w:before="25" w:line="244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潘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A3E010C">
            <w:pPr>
              <w:pStyle w:val="8"/>
              <w:spacing w:before="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011A002C">
            <w:pPr>
              <w:pStyle w:val="8"/>
              <w:spacing w:before="37" w:line="222" w:lineRule="auto"/>
              <w:ind w:left="714" w:right="1316" w:hanging="632"/>
            </w:pP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0E213C85">
            <w:pPr>
              <w:pStyle w:val="8"/>
              <w:spacing w:before="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B51318A">
            <w:pPr>
              <w:pStyle w:val="8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57D5A926">
      <w:pPr>
        <w:pStyle w:val="3"/>
      </w:pPr>
    </w:p>
    <w:p w14:paraId="61BCF21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D4F385B">
      <w:pPr>
        <w:spacing w:before="41"/>
      </w:pPr>
    </w:p>
    <w:p w14:paraId="44DECF2E">
      <w:pPr>
        <w:spacing w:before="41"/>
      </w:pPr>
    </w:p>
    <w:p w14:paraId="286ACF6E">
      <w:pPr>
        <w:spacing w:before="41"/>
      </w:pPr>
    </w:p>
    <w:p w14:paraId="41DDE93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51FBB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554A41">
            <w:pPr>
              <w:spacing w:line="284" w:lineRule="auto"/>
              <w:rPr>
                <w:rFonts w:ascii="Arial"/>
                <w:sz w:val="21"/>
              </w:rPr>
            </w:pPr>
          </w:p>
          <w:p w14:paraId="1B83C9AC">
            <w:pPr>
              <w:spacing w:line="284" w:lineRule="auto"/>
              <w:rPr>
                <w:rFonts w:ascii="Arial"/>
                <w:sz w:val="21"/>
              </w:rPr>
            </w:pPr>
          </w:p>
          <w:p w14:paraId="19B39FD0">
            <w:pPr>
              <w:spacing w:line="285" w:lineRule="auto"/>
              <w:rPr>
                <w:rFonts w:ascii="Arial"/>
                <w:sz w:val="21"/>
              </w:rPr>
            </w:pPr>
          </w:p>
          <w:p w14:paraId="6E52FEAF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0634198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D3C6EA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78F835D5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02C3941A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7ED950D8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4399EA53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654C9C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FD48FE">
            <w:pPr>
              <w:spacing w:line="340" w:lineRule="auto"/>
              <w:rPr>
                <w:rFonts w:ascii="Arial"/>
                <w:sz w:val="21"/>
              </w:rPr>
            </w:pPr>
          </w:p>
          <w:p w14:paraId="6564704E">
            <w:pPr>
              <w:spacing w:line="341" w:lineRule="auto"/>
              <w:rPr>
                <w:rFonts w:ascii="Arial"/>
                <w:sz w:val="21"/>
              </w:rPr>
            </w:pPr>
          </w:p>
          <w:p w14:paraId="4E3B3CE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D31A799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9B4914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15CBDC4">
            <w:pPr>
              <w:pStyle w:val="8"/>
              <w:spacing w:before="42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3577C54E">
            <w:pPr>
              <w:pStyle w:val="8"/>
              <w:spacing w:before="38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单位：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山东省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律师</w:t>
            </w:r>
          </w:p>
          <w:p w14:paraId="0D857D59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AFFD81F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FA1F7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EA50FA">
            <w:pPr>
              <w:spacing w:line="256" w:lineRule="auto"/>
              <w:rPr>
                <w:rFonts w:ascii="Arial"/>
                <w:sz w:val="21"/>
              </w:rPr>
            </w:pPr>
          </w:p>
          <w:p w14:paraId="28757B20">
            <w:pPr>
              <w:spacing w:line="256" w:lineRule="auto"/>
              <w:rPr>
                <w:rFonts w:ascii="Arial"/>
                <w:sz w:val="21"/>
              </w:rPr>
            </w:pPr>
          </w:p>
          <w:p w14:paraId="10A97E4F">
            <w:pPr>
              <w:spacing w:line="256" w:lineRule="auto"/>
              <w:rPr>
                <w:rFonts w:ascii="Arial"/>
                <w:sz w:val="21"/>
              </w:rPr>
            </w:pPr>
          </w:p>
          <w:p w14:paraId="10409786">
            <w:pPr>
              <w:spacing w:line="256" w:lineRule="auto"/>
              <w:rPr>
                <w:rFonts w:ascii="Arial"/>
                <w:sz w:val="21"/>
              </w:rPr>
            </w:pPr>
          </w:p>
          <w:p w14:paraId="2161E815">
            <w:pPr>
              <w:spacing w:line="256" w:lineRule="auto"/>
              <w:rPr>
                <w:rFonts w:ascii="Arial"/>
                <w:sz w:val="21"/>
              </w:rPr>
            </w:pPr>
          </w:p>
          <w:p w14:paraId="3C82A211">
            <w:pPr>
              <w:spacing w:line="257" w:lineRule="auto"/>
              <w:rPr>
                <w:rFonts w:ascii="Arial"/>
                <w:sz w:val="21"/>
              </w:rPr>
            </w:pPr>
          </w:p>
          <w:p w14:paraId="70A8876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7CC2EEE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DA70A6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EE74E2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714B6CB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79012210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6315E338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12BCB307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2543A377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6421DD8E">
            <w:pPr>
              <w:pStyle w:val="8"/>
              <w:spacing w:before="30" w:line="265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2E17BAF1">
            <w:pPr>
              <w:pStyle w:val="8"/>
              <w:spacing w:before="1" w:line="173" w:lineRule="auto"/>
              <w:ind w:left="503"/>
            </w:pPr>
            <w:r>
              <w:rPr>
                <w:color w:val="231F20"/>
                <w:spacing w:val="-2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3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 xml:space="preserve">特别授权□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      </w:t>
            </w:r>
          </w:p>
          <w:p w14:paraId="6AC389B6">
            <w:pPr>
              <w:pStyle w:val="8"/>
              <w:spacing w:before="6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583639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99D35C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C21A8D4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FFF65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167146">
            <w:pPr>
              <w:spacing w:before="83" w:line="221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请求驳回原告的全部诉讼请求。</w:t>
            </w:r>
          </w:p>
        </w:tc>
      </w:tr>
      <w:tr w14:paraId="5002EA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BA4678">
            <w:pPr>
              <w:pStyle w:val="8"/>
              <w:spacing w:before="256" w:line="263" w:lineRule="auto"/>
              <w:ind w:left="85" w:right="84" w:firstLine="17"/>
            </w:pPr>
            <w:r>
              <w:rPr>
                <w:color w:val="231F20"/>
                <w:spacing w:val="-2"/>
              </w:rPr>
              <w:t>1. 对停止垄断行为有无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D11A2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F0EA722">
            <w:pPr>
              <w:pStyle w:val="8"/>
              <w:spacing w:before="74" w:line="212" w:lineRule="auto"/>
              <w:ind w:left="100" w:right="91" w:hanging="1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关于原告主张被告应当立即停止垄断行为的问题。被告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未实施垄断行为，无需停止侵害。</w:t>
            </w:r>
          </w:p>
        </w:tc>
      </w:tr>
      <w:tr w14:paraId="7EBE79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6DBACB">
            <w:pPr>
              <w:spacing w:line="347" w:lineRule="auto"/>
              <w:rPr>
                <w:rFonts w:ascii="Arial"/>
                <w:sz w:val="21"/>
              </w:rPr>
            </w:pPr>
          </w:p>
          <w:p w14:paraId="7FC3603F">
            <w:pPr>
              <w:pStyle w:val="8"/>
              <w:spacing w:before="78" w:line="262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D7083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BABE5C">
            <w:pPr>
              <w:pStyle w:val="8"/>
              <w:spacing w:before="73" w:line="231" w:lineRule="auto"/>
              <w:ind w:left="82" w:firstLine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关于原告主张被告应当赔偿经济损失 80000 元的问题。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被告未实施垄断行为，无需赔偿经济损失 / 原告主张的赔偿数额过高，其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经济损失仅为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元。</w:t>
            </w:r>
          </w:p>
        </w:tc>
      </w:tr>
      <w:tr w14:paraId="5B56A9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129C6B">
            <w:pPr>
              <w:pStyle w:val="8"/>
              <w:spacing w:before="258" w:line="262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CFCDCF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2559315">
            <w:pPr>
              <w:pStyle w:val="8"/>
              <w:spacing w:before="73" w:line="212" w:lineRule="auto"/>
              <w:ind w:left="81" w:right="80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异议内容：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关于原告主张被告应当赔偿维权合理开支 6000 元的问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题。被告未实施垄断行为，无需赔偿维权合理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开支。</w:t>
            </w:r>
          </w:p>
        </w:tc>
      </w:tr>
      <w:tr w14:paraId="7CF50A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D23E90">
            <w:pPr>
              <w:pStyle w:val="8"/>
              <w:spacing w:before="87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9FE148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500B2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519BDB38">
      <w:pPr>
        <w:pStyle w:val="3"/>
      </w:pPr>
    </w:p>
    <w:p w14:paraId="136DE09D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6B43BA8">
      <w:pPr>
        <w:spacing w:before="41"/>
      </w:pPr>
    </w:p>
    <w:p w14:paraId="10CFB7B5">
      <w:pPr>
        <w:spacing w:before="41"/>
      </w:pPr>
    </w:p>
    <w:p w14:paraId="664CF1C4">
      <w:pPr>
        <w:spacing w:before="41"/>
      </w:pPr>
    </w:p>
    <w:p w14:paraId="5B21F67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CDCCD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A5B814">
            <w:pPr>
              <w:pStyle w:val="8"/>
              <w:spacing w:before="85" w:line="238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38417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349B67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0ADA3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C8ACDC">
            <w:pPr>
              <w:pStyle w:val="8"/>
              <w:spacing w:before="265" w:line="208" w:lineRule="auto"/>
              <w:ind w:left="86"/>
            </w:pPr>
            <w:r>
              <w:rPr>
                <w:color w:val="231F20"/>
                <w:spacing w:val="-1"/>
              </w:rPr>
              <w:t>6.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24E178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60FF5F">
            <w:pPr>
              <w:pStyle w:val="8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被告未实施垄断行为，无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需承担本案诉讼费用。</w:t>
            </w:r>
          </w:p>
        </w:tc>
      </w:tr>
      <w:tr w14:paraId="380998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D60F7C">
            <w:pPr>
              <w:pStyle w:val="8"/>
              <w:spacing w:before="252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365D9A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1792EC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D6C43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BC5BA5">
            <w:pPr>
              <w:spacing w:before="68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6878915A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352440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5BD162">
            <w:pPr>
              <w:spacing w:before="80" w:line="222" w:lineRule="auto"/>
              <w:ind w:left="1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山东省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网络股份有限公司未实施垄断行为，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不应承担有关法律责任。</w:t>
            </w:r>
          </w:p>
        </w:tc>
      </w:tr>
      <w:tr w14:paraId="3C2D67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0307BD">
            <w:pPr>
              <w:pStyle w:val="8"/>
              <w:spacing w:before="253" w:line="263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16447A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6996C3F">
            <w:pPr>
              <w:pStyle w:val="8"/>
              <w:spacing w:before="71" w:line="214" w:lineRule="auto"/>
              <w:ind w:left="98" w:righ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不认可原告有权提起本案诉讼。原告对本案不具有诉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的利益，原告的诉讼请求应予裁定驳回，主要理由为：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…。</w:t>
            </w:r>
          </w:p>
        </w:tc>
      </w:tr>
      <w:tr w14:paraId="294FCC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40E007">
            <w:pPr>
              <w:spacing w:line="257" w:lineRule="auto"/>
              <w:rPr>
                <w:rFonts w:ascii="Arial"/>
                <w:sz w:val="21"/>
              </w:rPr>
            </w:pPr>
          </w:p>
          <w:p w14:paraId="6E5524DF">
            <w:pPr>
              <w:spacing w:line="257" w:lineRule="auto"/>
              <w:rPr>
                <w:rFonts w:ascii="Arial"/>
                <w:sz w:val="21"/>
              </w:rPr>
            </w:pPr>
          </w:p>
          <w:p w14:paraId="2E822A10">
            <w:pPr>
              <w:pStyle w:val="8"/>
              <w:spacing w:before="78" w:line="263" w:lineRule="auto"/>
              <w:ind w:left="84" w:right="84" w:firstLine="1"/>
            </w:pPr>
            <w:r>
              <w:rPr>
                <w:color w:val="231F20"/>
                <w:spacing w:val="-1"/>
              </w:rPr>
              <w:t>2. 对相关市场界定是否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6797C3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E7B75B">
            <w:pPr>
              <w:pStyle w:val="8"/>
              <w:spacing w:before="66" w:line="241" w:lineRule="auto"/>
              <w:ind w:right="79" w:firstLine="1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本案相关市场为山东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省有线电视  ×× 服务市场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（包括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具体时间范围内的商品市场、地域市场）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。具体说明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2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…（见答辩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…）。（二）……（见答辩人证据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…）。（三）…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（见答辩人证据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…）。</w:t>
            </w:r>
          </w:p>
        </w:tc>
      </w:tr>
      <w:tr w14:paraId="58F1FA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0CA4C90">
            <w:pPr>
              <w:spacing w:line="241" w:lineRule="auto"/>
              <w:rPr>
                <w:rFonts w:ascii="Arial"/>
                <w:sz w:val="21"/>
              </w:rPr>
            </w:pPr>
          </w:p>
          <w:p w14:paraId="6831DDAD">
            <w:pPr>
              <w:spacing w:line="241" w:lineRule="auto"/>
              <w:rPr>
                <w:rFonts w:ascii="Arial"/>
                <w:sz w:val="21"/>
              </w:rPr>
            </w:pPr>
          </w:p>
          <w:p w14:paraId="1012C4C1">
            <w:pPr>
              <w:spacing w:line="241" w:lineRule="auto"/>
              <w:rPr>
                <w:rFonts w:ascii="Arial"/>
                <w:sz w:val="21"/>
              </w:rPr>
            </w:pPr>
          </w:p>
          <w:p w14:paraId="16FA7CF5">
            <w:pPr>
              <w:spacing w:line="241" w:lineRule="auto"/>
              <w:rPr>
                <w:rFonts w:ascii="Arial"/>
                <w:sz w:val="21"/>
              </w:rPr>
            </w:pPr>
          </w:p>
          <w:p w14:paraId="424CD8B7">
            <w:pPr>
              <w:spacing w:line="241" w:lineRule="auto"/>
              <w:rPr>
                <w:rFonts w:ascii="Arial"/>
                <w:sz w:val="21"/>
              </w:rPr>
            </w:pPr>
          </w:p>
          <w:p w14:paraId="23C919BC">
            <w:pPr>
              <w:spacing w:line="241" w:lineRule="auto"/>
              <w:rPr>
                <w:rFonts w:ascii="Arial"/>
                <w:sz w:val="21"/>
              </w:rPr>
            </w:pPr>
          </w:p>
          <w:p w14:paraId="69BE30C6">
            <w:pPr>
              <w:spacing w:line="241" w:lineRule="auto"/>
              <w:rPr>
                <w:rFonts w:ascii="Arial"/>
                <w:sz w:val="21"/>
              </w:rPr>
            </w:pPr>
          </w:p>
          <w:p w14:paraId="447A0215">
            <w:pPr>
              <w:spacing w:line="242" w:lineRule="auto"/>
              <w:rPr>
                <w:rFonts w:ascii="Arial"/>
                <w:sz w:val="21"/>
              </w:rPr>
            </w:pPr>
          </w:p>
          <w:p w14:paraId="01EB883D">
            <w:pPr>
              <w:spacing w:line="242" w:lineRule="auto"/>
              <w:rPr>
                <w:rFonts w:ascii="Arial"/>
                <w:sz w:val="21"/>
              </w:rPr>
            </w:pPr>
          </w:p>
          <w:p w14:paraId="6A232175">
            <w:pPr>
              <w:spacing w:line="242" w:lineRule="auto"/>
              <w:rPr>
                <w:rFonts w:ascii="Arial"/>
                <w:sz w:val="21"/>
              </w:rPr>
            </w:pPr>
          </w:p>
          <w:p w14:paraId="0677FD56">
            <w:pPr>
              <w:spacing w:line="242" w:lineRule="auto"/>
              <w:rPr>
                <w:rFonts w:ascii="Arial"/>
                <w:sz w:val="21"/>
              </w:rPr>
            </w:pPr>
          </w:p>
          <w:p w14:paraId="23F86FA2">
            <w:pPr>
              <w:spacing w:line="242" w:lineRule="auto"/>
              <w:rPr>
                <w:rFonts w:ascii="Arial"/>
                <w:sz w:val="21"/>
              </w:rPr>
            </w:pPr>
          </w:p>
          <w:p w14:paraId="3841E404">
            <w:pPr>
              <w:pStyle w:val="8"/>
              <w:spacing w:before="79" w:line="263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对被诉垄断行为具体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99C22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0143E8D">
            <w:pPr>
              <w:pStyle w:val="8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被诉垄断行为不能成立，主要理由为：</w:t>
            </w:r>
          </w:p>
          <w:p w14:paraId="35C6A981">
            <w:pPr>
              <w:spacing w:before="23" w:line="268" w:lineRule="auto"/>
              <w:ind w:left="135" w:right="85" w:firstLine="25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>（一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>）被告未达成 / 实施垄断协议。具体分析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2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>见答辩人证据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>…）。</w:t>
            </w:r>
          </w:p>
          <w:p w14:paraId="1038C5C9">
            <w:pPr>
              <w:spacing w:before="19" w:line="253" w:lineRule="auto"/>
              <w:ind w:left="135" w:right="87" w:firstLine="23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（二）涉案协议不具有排除、限制竞争效果。具体分析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6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见答辩人证据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>×-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>×：……）。</w:t>
            </w:r>
          </w:p>
          <w:p w14:paraId="226A8F66">
            <w:pPr>
              <w:spacing w:before="53" w:line="248" w:lineRule="auto"/>
              <w:ind w:left="385" w:right="261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（三）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…（见答辩人证据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…）。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（适用于垄断协议纠纷）</w:t>
            </w:r>
          </w:p>
        </w:tc>
      </w:tr>
      <w:tr w14:paraId="6A6CA0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B3BA396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91922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B4126A2">
            <w:pPr>
              <w:pStyle w:val="8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被诉垄断行为不能成立，主要理由为：</w:t>
            </w:r>
          </w:p>
          <w:p w14:paraId="6BDA2785">
            <w:pPr>
              <w:spacing w:before="24" w:line="252" w:lineRule="auto"/>
              <w:ind w:left="135" w:right="84" w:firstLine="25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（一 ）被告不具有市场支配地位。具体分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析：被告在山东省有线电视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×× 服务市场内不具有市场支配地位。（见答辩人证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…）。</w:t>
            </w:r>
          </w:p>
          <w:p w14:paraId="19F99B7A">
            <w:pPr>
              <w:spacing w:before="56" w:line="259" w:lineRule="auto"/>
              <w:ind w:left="81" w:right="85" w:firstLine="30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（二）被告未实施拒绝交易和捆绑交易的行为。具体分析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9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一）被告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未实施拒绝交易的行为。（见答辩人证据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-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…）。（二）被告未实施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捆绑交易的行为。（见答辩人证据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…）。</w:t>
            </w:r>
          </w:p>
          <w:p w14:paraId="0FF836F5">
            <w:pPr>
              <w:spacing w:before="62" w:line="253" w:lineRule="auto"/>
              <w:ind w:left="81" w:right="85" w:firstLine="30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（三）涉案行为不具有排除、限制竞争效果。具体分析：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……。（见答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辩人证据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…）</w:t>
            </w:r>
          </w:p>
          <w:p w14:paraId="0958B694">
            <w:pPr>
              <w:spacing w:before="53" w:line="247" w:lineRule="auto"/>
              <w:ind w:left="385" w:right="261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（四）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…（见答辩人证据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…）。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（适用于滥用市场支配地位纠纷）</w:t>
            </w:r>
          </w:p>
        </w:tc>
      </w:tr>
      <w:tr w14:paraId="7BE765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21BCF1">
            <w:pPr>
              <w:pStyle w:val="8"/>
              <w:spacing w:before="90" w:line="236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1FC4A4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9547DE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0AC030D0">
      <w:pPr>
        <w:pStyle w:val="3"/>
      </w:pPr>
    </w:p>
    <w:p w14:paraId="37CBB049">
      <w:pPr>
        <w:sectPr>
          <w:footerReference r:id="rId8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4D0EEFBD">
      <w:pPr>
        <w:spacing w:before="41"/>
      </w:pPr>
    </w:p>
    <w:p w14:paraId="2264B4DC">
      <w:pPr>
        <w:spacing w:before="41"/>
      </w:pPr>
    </w:p>
    <w:p w14:paraId="0A288D4D">
      <w:pPr>
        <w:spacing w:before="41"/>
      </w:pPr>
    </w:p>
    <w:p w14:paraId="4C8B1D2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CC806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A1FE9E">
            <w:pPr>
              <w:spacing w:line="342" w:lineRule="auto"/>
              <w:rPr>
                <w:rFonts w:ascii="Arial"/>
                <w:sz w:val="21"/>
              </w:rPr>
            </w:pPr>
          </w:p>
          <w:p w14:paraId="37C4DF80">
            <w:pPr>
              <w:pStyle w:val="8"/>
              <w:spacing w:before="78" w:line="263" w:lineRule="auto"/>
              <w:ind w:left="81" w:right="84" w:firstLine="3"/>
            </w:pPr>
            <w:r>
              <w:rPr>
                <w:color w:val="231F20"/>
                <w:spacing w:val="-1"/>
              </w:rPr>
              <w:t>5. 对赔偿数额和具体赔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84D01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530D89E">
            <w:pPr>
              <w:pStyle w:val="8"/>
              <w:spacing w:before="73" w:line="232" w:lineRule="auto"/>
              <w:ind w:left="95" w:right="91" w:hanging="1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被告未实施垄断行为，无需赔偿经济损失、维权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合理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开支。/ 原告主张的赔偿数额过高，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…（见答辩人证据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……，第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</w:rPr>
              <w:t>页）。</w:t>
            </w:r>
          </w:p>
        </w:tc>
      </w:tr>
      <w:tr w14:paraId="7CF6D4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189EE1">
            <w:pPr>
              <w:pStyle w:val="8"/>
              <w:spacing w:before="253" w:line="209" w:lineRule="auto"/>
              <w:ind w:left="86"/>
            </w:pPr>
            <w:r>
              <w:rPr>
                <w:color w:val="231F20"/>
                <w:spacing w:val="-1"/>
              </w:rPr>
              <w:t>6.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47FDBE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331B27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CEDBD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24E33B">
            <w:pPr>
              <w:pStyle w:val="8"/>
              <w:spacing w:before="83" w:line="209" w:lineRule="auto"/>
              <w:ind w:left="84"/>
            </w:pPr>
            <w:r>
              <w:rPr>
                <w:color w:val="231F20"/>
                <w:spacing w:val="-1"/>
              </w:rPr>
              <w:t>7.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F9B53A">
            <w:pPr>
              <w:spacing w:before="175" w:line="167" w:lineRule="exact"/>
              <w:ind w:left="10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position w:val="-2"/>
                <w:sz w:val="21"/>
                <w:szCs w:val="21"/>
              </w:rPr>
              <w:t>……</w:t>
            </w:r>
          </w:p>
        </w:tc>
      </w:tr>
      <w:tr w14:paraId="67226E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E4337D">
            <w:pPr>
              <w:spacing w:before="81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474EEF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24D958">
            <w:pPr>
              <w:pStyle w:val="8"/>
              <w:spacing w:before="92" w:line="176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（详见附件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3 关联案件信息表）</w:t>
            </w:r>
          </w:p>
          <w:p w14:paraId="529D1CB0">
            <w:pPr>
              <w:spacing w:before="38" w:line="267" w:lineRule="auto"/>
              <w:ind w:left="85" w:right="92" w:firstLine="42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截至目前，被告未被反垄断执法机构作出处罚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被告相关垄断行为 ……，反垄断执法机构正在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调查 / 作出处罚。具体情况：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…。</w:t>
            </w:r>
          </w:p>
          <w:p w14:paraId="57E69096">
            <w:pPr>
              <w:pStyle w:val="8"/>
              <w:spacing w:before="22" w:line="210" w:lineRule="auto"/>
              <w:ind w:left="555"/>
            </w:pPr>
            <w:r>
              <w:rPr>
                <w:color w:val="231F20"/>
                <w:spacing w:val="-7"/>
              </w:rPr>
              <w:t>× 件垄断民事案件。具体情况：</w:t>
            </w:r>
          </w:p>
          <w:p w14:paraId="1E80EADC">
            <w:pPr>
              <w:pStyle w:val="8"/>
              <w:spacing w:before="65" w:line="238" w:lineRule="auto"/>
              <w:ind w:left="82" w:right="5880" w:firstLine="473"/>
            </w:pPr>
            <w:r>
              <w:rPr>
                <w:color w:val="231F20"/>
                <w:spacing w:val="-7"/>
              </w:rPr>
              <w:t>× 件其他关联案件。具体情况：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33E78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F1405A">
            <w:pPr>
              <w:spacing w:before="83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1E70CD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72F8FC">
            <w:pPr>
              <w:pStyle w:val="8"/>
              <w:spacing w:before="83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550D0F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C6112B">
            <w:pPr>
              <w:spacing w:before="91" w:line="188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0C11CB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3AAC40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 w14:paraId="2C61C344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34B5DAF1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</w:rPr>
              <w:t>3. 关联案件信息表（参照发明专利侵权民事起诉状后附</w:t>
            </w:r>
            <w:r>
              <w:rPr>
                <w:color w:val="231F20"/>
                <w:spacing w:val="-1"/>
              </w:rPr>
              <w:t>表）</w:t>
            </w:r>
          </w:p>
          <w:p w14:paraId="22E70922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491287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0257F2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E0321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57372A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53A15F">
            <w:pPr>
              <w:spacing w:line="259" w:lineRule="auto"/>
              <w:rPr>
                <w:rFonts w:ascii="Arial"/>
                <w:sz w:val="21"/>
              </w:rPr>
            </w:pPr>
          </w:p>
          <w:p w14:paraId="4940974F">
            <w:pPr>
              <w:spacing w:line="259" w:lineRule="auto"/>
              <w:rPr>
                <w:rFonts w:ascii="Arial"/>
                <w:sz w:val="21"/>
              </w:rPr>
            </w:pPr>
          </w:p>
          <w:p w14:paraId="22696BE2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B7B35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BE5E70">
            <w:pPr>
              <w:spacing w:line="272" w:lineRule="auto"/>
              <w:rPr>
                <w:rFonts w:ascii="Arial"/>
                <w:sz w:val="21"/>
              </w:rPr>
            </w:pPr>
          </w:p>
          <w:p w14:paraId="5CFAE9F4">
            <w:pPr>
              <w:spacing w:line="272" w:lineRule="auto"/>
              <w:rPr>
                <w:rFonts w:ascii="Arial"/>
                <w:sz w:val="21"/>
              </w:rPr>
            </w:pPr>
          </w:p>
          <w:p w14:paraId="0DDAEFB6">
            <w:pPr>
              <w:spacing w:line="272" w:lineRule="auto"/>
              <w:rPr>
                <w:rFonts w:ascii="Arial"/>
                <w:sz w:val="21"/>
              </w:rPr>
            </w:pPr>
          </w:p>
          <w:p w14:paraId="54A54861">
            <w:pPr>
              <w:spacing w:line="272" w:lineRule="auto"/>
              <w:rPr>
                <w:rFonts w:ascii="Arial"/>
                <w:sz w:val="21"/>
              </w:rPr>
            </w:pPr>
          </w:p>
          <w:p w14:paraId="44B3D588">
            <w:pPr>
              <w:spacing w:line="273" w:lineRule="auto"/>
              <w:rPr>
                <w:rFonts w:ascii="Arial"/>
                <w:sz w:val="21"/>
              </w:rPr>
            </w:pPr>
          </w:p>
          <w:p w14:paraId="07770E29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317A8F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756F3AE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4242A4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C3E54A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C418EA2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D713DEA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F54E2BE">
      <w:pPr>
        <w:pStyle w:val="3"/>
      </w:pPr>
    </w:p>
    <w:p w14:paraId="7C6A51C9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0B0BFFE">
      <w:pPr>
        <w:spacing w:before="41"/>
      </w:pPr>
    </w:p>
    <w:p w14:paraId="6F418615">
      <w:pPr>
        <w:spacing w:before="41"/>
      </w:pPr>
    </w:p>
    <w:p w14:paraId="303476CD">
      <w:pPr>
        <w:spacing w:before="41"/>
      </w:pPr>
    </w:p>
    <w:p w14:paraId="0F565AA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ADCB2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37AD8E">
            <w:pPr>
              <w:spacing w:line="342" w:lineRule="auto"/>
              <w:rPr>
                <w:rFonts w:ascii="Arial"/>
                <w:sz w:val="21"/>
              </w:rPr>
            </w:pPr>
          </w:p>
          <w:p w14:paraId="2CB3433E">
            <w:pPr>
              <w:spacing w:line="342" w:lineRule="auto"/>
              <w:rPr>
                <w:rFonts w:ascii="Arial"/>
                <w:sz w:val="21"/>
              </w:rPr>
            </w:pPr>
          </w:p>
          <w:p w14:paraId="2898D9D5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FA64B2">
            <w:pPr>
              <w:pStyle w:val="8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EB0EA7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64E2DBA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48B4A0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F2665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0B40F87">
            <w:pPr>
              <w:spacing w:line="350" w:lineRule="auto"/>
              <w:rPr>
                <w:rFonts w:ascii="Arial"/>
                <w:sz w:val="21"/>
              </w:rPr>
            </w:pPr>
          </w:p>
          <w:p w14:paraId="01EF0673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CD7B6F">
            <w:pPr>
              <w:pStyle w:val="8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AEF5FB0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2BBAFAB">
      <w:pPr>
        <w:spacing w:before="168" w:line="217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潘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山东省  ××</w:t>
      </w:r>
      <w:r>
        <w:rPr>
          <w:rFonts w:ascii="方正楷体_GBK" w:hAnsi="方正楷体_GBK" w:eastAsia="方正楷体_GBK" w:cs="方正楷体_GBK"/>
          <w:color w:val="231F20"/>
          <w:spacing w:val="3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网络股份有限公司</w:t>
      </w:r>
    </w:p>
    <w:p w14:paraId="02732B46">
      <w:pPr>
        <w:spacing w:line="221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A3FA843">
      <w:pPr>
        <w:spacing w:line="221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0AA7562F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8B1C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553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C6323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554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690D8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555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196CD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556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19CEF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557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D7A2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E230D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24640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CE90AA1"/>
    <w:rsid w:val="3F47EB2B"/>
    <w:rsid w:val="3F9FDA55"/>
    <w:rsid w:val="3FDF4AB0"/>
    <w:rsid w:val="3FEFD56B"/>
    <w:rsid w:val="3FFCB97D"/>
    <w:rsid w:val="47B8709B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1BBE872339F1495199F62BE13CB7FD29_13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