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15C44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140.垄断纠纷行政起诉状实例</w:t>
      </w:r>
    </w:p>
    <w:p w14:paraId="4A2FE28B">
      <w:pPr>
        <w:pStyle w:val="3"/>
        <w:spacing w:line="242" w:lineRule="auto"/>
      </w:pPr>
    </w:p>
    <w:p w14:paraId="2C4F8528">
      <w:pPr>
        <w:pStyle w:val="3"/>
        <w:spacing w:line="243" w:lineRule="auto"/>
      </w:pPr>
    </w:p>
    <w:p w14:paraId="78C21C67">
      <w:pPr>
        <w:pStyle w:val="3"/>
        <w:spacing w:line="243" w:lineRule="auto"/>
      </w:pPr>
    </w:p>
    <w:p w14:paraId="6D48BFB9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EA400AD">
      <w:pPr>
        <w:spacing w:before="148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 w14:paraId="5F3517BB">
      <w:pPr>
        <w:spacing w:line="18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AAA1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DB55E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FC760F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AAAB98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6EF184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B79063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150097A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E93DEB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050B65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A12602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0066C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34DA6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0A648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5D0E03">
            <w:pPr>
              <w:spacing w:line="256" w:lineRule="auto"/>
              <w:rPr>
                <w:rFonts w:ascii="Arial"/>
                <w:sz w:val="21"/>
              </w:rPr>
            </w:pPr>
          </w:p>
          <w:p w14:paraId="2927079B">
            <w:pPr>
              <w:spacing w:line="256" w:lineRule="auto"/>
              <w:rPr>
                <w:rFonts w:ascii="Arial"/>
                <w:sz w:val="21"/>
              </w:rPr>
            </w:pPr>
          </w:p>
          <w:p w14:paraId="6BF2FC7B">
            <w:pPr>
              <w:spacing w:line="256" w:lineRule="auto"/>
              <w:rPr>
                <w:rFonts w:ascii="Arial"/>
                <w:sz w:val="21"/>
              </w:rPr>
            </w:pPr>
          </w:p>
          <w:p w14:paraId="2B8ED511">
            <w:pPr>
              <w:spacing w:line="256" w:lineRule="auto"/>
              <w:rPr>
                <w:rFonts w:ascii="Arial"/>
                <w:sz w:val="21"/>
              </w:rPr>
            </w:pPr>
          </w:p>
          <w:p w14:paraId="0B6C7D5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332827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CC0E3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F198A2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ED98C1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 w14:paraId="32C3F98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28F40D9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ECC7F35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0FFEF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E0A2AA">
            <w:pPr>
              <w:spacing w:line="298" w:lineRule="auto"/>
              <w:rPr>
                <w:rFonts w:ascii="Arial"/>
                <w:sz w:val="21"/>
              </w:rPr>
            </w:pPr>
          </w:p>
          <w:p w14:paraId="2DF47278">
            <w:pPr>
              <w:spacing w:line="299" w:lineRule="auto"/>
              <w:rPr>
                <w:rFonts w:ascii="Arial"/>
                <w:sz w:val="21"/>
              </w:rPr>
            </w:pPr>
          </w:p>
          <w:p w14:paraId="1AB7B6CD">
            <w:pPr>
              <w:spacing w:line="299" w:lineRule="auto"/>
              <w:rPr>
                <w:rFonts w:ascii="Arial"/>
                <w:sz w:val="21"/>
              </w:rPr>
            </w:pPr>
          </w:p>
          <w:p w14:paraId="30DE00BF">
            <w:pPr>
              <w:spacing w:line="299" w:lineRule="auto"/>
              <w:rPr>
                <w:rFonts w:ascii="Arial"/>
                <w:sz w:val="21"/>
              </w:rPr>
            </w:pPr>
          </w:p>
          <w:p w14:paraId="4031781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9C4057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50FE88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4C432DCC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江西省南昌市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1055C61B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江西省南昌市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37A06D03">
            <w:pPr>
              <w:pStyle w:val="8"/>
              <w:spacing w:before="26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马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59FB40E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3033E037">
            <w:pPr>
              <w:pStyle w:val="8"/>
              <w:spacing w:line="210" w:lineRule="auto"/>
              <w:ind w:left="715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</w:p>
        </w:tc>
      </w:tr>
    </w:tbl>
    <w:p w14:paraId="7B7B70BA">
      <w:pPr>
        <w:pStyle w:val="3"/>
      </w:pPr>
    </w:p>
    <w:p w14:paraId="7BD7F0C3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83FD22C">
      <w:pPr>
        <w:spacing w:before="41"/>
      </w:pPr>
    </w:p>
    <w:p w14:paraId="0D5A24BE">
      <w:pPr>
        <w:spacing w:before="41"/>
      </w:pPr>
    </w:p>
    <w:p w14:paraId="52C3EF01">
      <w:pPr>
        <w:spacing w:before="41"/>
      </w:pPr>
    </w:p>
    <w:p w14:paraId="6CCFAFF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5098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A88FE5">
            <w:pPr>
              <w:spacing w:line="255" w:lineRule="auto"/>
              <w:rPr>
                <w:rFonts w:ascii="Arial"/>
                <w:sz w:val="21"/>
              </w:rPr>
            </w:pPr>
          </w:p>
          <w:p w14:paraId="6681EE25">
            <w:pPr>
              <w:spacing w:line="255" w:lineRule="auto"/>
              <w:rPr>
                <w:rFonts w:ascii="Arial"/>
                <w:sz w:val="21"/>
              </w:rPr>
            </w:pPr>
          </w:p>
          <w:p w14:paraId="2E40BB59">
            <w:pPr>
              <w:spacing w:line="255" w:lineRule="auto"/>
              <w:rPr>
                <w:rFonts w:ascii="Arial"/>
                <w:sz w:val="21"/>
              </w:rPr>
            </w:pPr>
          </w:p>
          <w:p w14:paraId="773A8E0B">
            <w:pPr>
              <w:spacing w:line="255" w:lineRule="auto"/>
              <w:rPr>
                <w:rFonts w:ascii="Arial"/>
                <w:sz w:val="21"/>
              </w:rPr>
            </w:pPr>
          </w:p>
          <w:p w14:paraId="0CDBF544">
            <w:pPr>
              <w:spacing w:line="255" w:lineRule="auto"/>
              <w:rPr>
                <w:rFonts w:ascii="Arial"/>
                <w:sz w:val="21"/>
              </w:rPr>
            </w:pPr>
          </w:p>
          <w:p w14:paraId="1AA88F93">
            <w:pPr>
              <w:spacing w:line="256" w:lineRule="auto"/>
              <w:rPr>
                <w:rFonts w:ascii="Arial"/>
                <w:sz w:val="21"/>
              </w:rPr>
            </w:pPr>
          </w:p>
          <w:p w14:paraId="44BEB76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CF4095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C751CE">
            <w:pPr>
              <w:pStyle w:val="8"/>
              <w:spacing w:before="84" w:line="210" w:lineRule="auto"/>
              <w:ind w:left="715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1818F3A">
            <w:pPr>
              <w:pStyle w:val="8"/>
              <w:spacing w:before="66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5D1A8EE">
            <w:pPr>
              <w:pStyle w:val="8"/>
              <w:spacing w:before="66" w:line="25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546C4C25">
            <w:pPr>
              <w:spacing w:before="1" w:line="227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2EED6C15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216C8DAA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0D9DE51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E430106">
            <w:pPr>
              <w:pStyle w:val="8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168E77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33B9AD">
            <w:pPr>
              <w:spacing w:line="341" w:lineRule="auto"/>
              <w:rPr>
                <w:rFonts w:ascii="Arial"/>
                <w:sz w:val="21"/>
              </w:rPr>
            </w:pPr>
          </w:p>
          <w:p w14:paraId="030A2AD7">
            <w:pPr>
              <w:spacing w:line="341" w:lineRule="auto"/>
              <w:rPr>
                <w:rFonts w:ascii="Arial"/>
                <w:sz w:val="21"/>
              </w:rPr>
            </w:pPr>
          </w:p>
          <w:p w14:paraId="1114F2D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CE2A499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59EB59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346FF5E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1AD0416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92C97DE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9562888">
            <w:pPr>
              <w:pStyle w:val="8"/>
              <w:spacing w:before="51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0F5B0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CE401C">
            <w:pPr>
              <w:spacing w:line="256" w:lineRule="auto"/>
              <w:rPr>
                <w:rFonts w:ascii="Arial"/>
                <w:sz w:val="21"/>
              </w:rPr>
            </w:pPr>
          </w:p>
          <w:p w14:paraId="748C903A">
            <w:pPr>
              <w:spacing w:line="256" w:lineRule="auto"/>
              <w:rPr>
                <w:rFonts w:ascii="Arial"/>
                <w:sz w:val="21"/>
              </w:rPr>
            </w:pPr>
          </w:p>
          <w:p w14:paraId="3A3EE9E1">
            <w:pPr>
              <w:spacing w:line="256" w:lineRule="auto"/>
              <w:rPr>
                <w:rFonts w:ascii="Arial"/>
                <w:sz w:val="21"/>
              </w:rPr>
            </w:pPr>
          </w:p>
          <w:p w14:paraId="08A6CF7C">
            <w:pPr>
              <w:spacing w:line="256" w:lineRule="auto"/>
              <w:rPr>
                <w:rFonts w:ascii="Arial"/>
                <w:sz w:val="21"/>
              </w:rPr>
            </w:pPr>
          </w:p>
          <w:p w14:paraId="17ED8C65">
            <w:pPr>
              <w:spacing w:line="257" w:lineRule="auto"/>
              <w:rPr>
                <w:rFonts w:ascii="Arial"/>
                <w:sz w:val="21"/>
              </w:rPr>
            </w:pPr>
          </w:p>
          <w:p w14:paraId="709789DE">
            <w:pPr>
              <w:spacing w:line="257" w:lineRule="auto"/>
              <w:rPr>
                <w:rFonts w:ascii="Arial"/>
                <w:sz w:val="21"/>
              </w:rPr>
            </w:pPr>
          </w:p>
          <w:p w14:paraId="0059572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0846502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9C0C32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614A52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8569F10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43FEF456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16AC4906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041166FB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348199E5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1849F737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7B20BA18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9A4D18C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069083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621A97">
            <w:pPr>
              <w:spacing w:line="351" w:lineRule="auto"/>
              <w:rPr>
                <w:rFonts w:ascii="Arial"/>
                <w:sz w:val="21"/>
              </w:rPr>
            </w:pPr>
          </w:p>
          <w:p w14:paraId="4F15E30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5328E3">
            <w:pPr>
              <w:pStyle w:val="8"/>
              <w:spacing w:before="8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省  ×× 市市场监督管理局</w:t>
            </w:r>
          </w:p>
          <w:p w14:paraId="475D3A13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  ×× 号</w:t>
            </w:r>
          </w:p>
          <w:p w14:paraId="35E617BE">
            <w:pPr>
              <w:pStyle w:val="8"/>
              <w:spacing w:before="39" w:line="21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  <w:tr w14:paraId="59EE2A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ADC056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A0119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819A32">
            <w:pPr>
              <w:spacing w:before="84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1. 判决撤销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市场监督管理局  ×× 号行政处罚决定书（以下简称“被诉决定”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5"/>
                <w:w w:val="89"/>
                <w:sz w:val="21"/>
                <w:szCs w:val="21"/>
              </w:rPr>
              <w:t>）；</w:t>
            </w:r>
          </w:p>
          <w:p w14:paraId="305AE4F4"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判令被告承担本案诉讼费用。</w:t>
            </w:r>
          </w:p>
        </w:tc>
      </w:tr>
      <w:tr w14:paraId="47E73E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5D4E03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096F99"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判决撤销被诉决定。</w:t>
            </w:r>
          </w:p>
        </w:tc>
      </w:tr>
      <w:tr w14:paraId="706C31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4B1416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18C5BC">
            <w:pPr>
              <w:pStyle w:val="8"/>
              <w:spacing w:before="105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3167DC33">
      <w:pPr>
        <w:pStyle w:val="3"/>
      </w:pPr>
    </w:p>
    <w:p w14:paraId="09133D65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0008328">
      <w:pPr>
        <w:spacing w:before="41"/>
      </w:pPr>
    </w:p>
    <w:p w14:paraId="7D95D8D8">
      <w:pPr>
        <w:spacing w:before="41"/>
      </w:pPr>
    </w:p>
    <w:p w14:paraId="491D940C">
      <w:pPr>
        <w:spacing w:before="41"/>
      </w:pPr>
    </w:p>
    <w:p w14:paraId="41AB920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446"/>
        <w:gridCol w:w="5628"/>
      </w:tblGrid>
      <w:tr w14:paraId="2C3581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39623A">
            <w:pPr>
              <w:spacing w:before="69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346625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2E9365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3B76104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65C7F612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3C881E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7F2AEE">
            <w:pPr>
              <w:pStyle w:val="8"/>
              <w:spacing w:before="263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A120B2">
            <w:pPr>
              <w:pStyle w:val="8"/>
              <w:spacing w:before="83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66D128B5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6F05A4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D0C1B2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1C282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D2E550">
            <w:pPr>
              <w:spacing w:before="80" w:line="222" w:lineRule="auto"/>
              <w:ind w:left="4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被诉决定认定事实不清、适用法律错误、违反法定程序，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应予撤销。（案由为：反垄断行政处罚）</w:t>
            </w:r>
          </w:p>
        </w:tc>
      </w:tr>
      <w:tr w14:paraId="322621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EE785F">
            <w:pPr>
              <w:spacing w:line="341" w:lineRule="auto"/>
              <w:rPr>
                <w:rFonts w:ascii="Arial"/>
                <w:sz w:val="21"/>
              </w:rPr>
            </w:pPr>
          </w:p>
          <w:p w14:paraId="7D1FB010">
            <w:pPr>
              <w:spacing w:line="341" w:lineRule="auto"/>
              <w:rPr>
                <w:rFonts w:ascii="Arial"/>
                <w:sz w:val="21"/>
              </w:rPr>
            </w:pPr>
          </w:p>
          <w:p w14:paraId="1F195701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被诉行政行为情况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8292717">
            <w:pPr>
              <w:spacing w:before="80" w:line="266" w:lineRule="auto"/>
              <w:ind w:left="97" w:right="83" w:firstLine="4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2023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9  日， ×× 省  ×× 市市场监管局作出被诉决定，主要内容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0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一）江西  ×× 有限公司存在以下违法行为：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……。（二）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…。</w:t>
            </w:r>
          </w:p>
          <w:p w14:paraId="389208D5">
            <w:pPr>
              <w:spacing w:before="22" w:line="260" w:lineRule="auto"/>
              <w:ind w:left="81" w:right="79" w:firstLine="4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此， 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市 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监 管局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反 垄 断 法 第  × 条 第  × 款 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规定决定：对江西  ×× 有限公司处以 50 万元罚款，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…）。</w:t>
            </w:r>
          </w:p>
        </w:tc>
      </w:tr>
      <w:tr w14:paraId="49B56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DA12335">
            <w:pPr>
              <w:spacing w:line="246" w:lineRule="auto"/>
              <w:rPr>
                <w:rFonts w:ascii="Arial"/>
                <w:sz w:val="21"/>
              </w:rPr>
            </w:pPr>
          </w:p>
          <w:p w14:paraId="16992A35">
            <w:pPr>
              <w:spacing w:line="246" w:lineRule="auto"/>
              <w:rPr>
                <w:rFonts w:ascii="Arial"/>
                <w:sz w:val="21"/>
              </w:rPr>
            </w:pPr>
          </w:p>
          <w:p w14:paraId="51B4E7BA">
            <w:pPr>
              <w:spacing w:line="246" w:lineRule="auto"/>
              <w:rPr>
                <w:rFonts w:ascii="Arial"/>
                <w:sz w:val="21"/>
              </w:rPr>
            </w:pPr>
          </w:p>
          <w:p w14:paraId="0660C0F1">
            <w:pPr>
              <w:spacing w:line="246" w:lineRule="auto"/>
              <w:rPr>
                <w:rFonts w:ascii="Arial"/>
                <w:sz w:val="21"/>
              </w:rPr>
            </w:pPr>
          </w:p>
          <w:p w14:paraId="24C089CA">
            <w:pPr>
              <w:spacing w:line="246" w:lineRule="auto"/>
              <w:rPr>
                <w:rFonts w:ascii="Arial"/>
                <w:sz w:val="21"/>
              </w:rPr>
            </w:pPr>
          </w:p>
          <w:p w14:paraId="12AECE0C">
            <w:pPr>
              <w:spacing w:line="246" w:lineRule="auto"/>
              <w:rPr>
                <w:rFonts w:ascii="Arial"/>
                <w:sz w:val="21"/>
              </w:rPr>
            </w:pPr>
          </w:p>
          <w:p w14:paraId="38AC7ADD">
            <w:pPr>
              <w:spacing w:line="247" w:lineRule="auto"/>
              <w:rPr>
                <w:rFonts w:ascii="Arial"/>
                <w:sz w:val="21"/>
              </w:rPr>
            </w:pPr>
          </w:p>
          <w:p w14:paraId="5E408570">
            <w:pPr>
              <w:spacing w:line="247" w:lineRule="auto"/>
              <w:rPr>
                <w:rFonts w:ascii="Arial"/>
                <w:sz w:val="21"/>
              </w:rPr>
            </w:pPr>
          </w:p>
          <w:p w14:paraId="0335579C">
            <w:pPr>
              <w:spacing w:line="247" w:lineRule="auto"/>
              <w:rPr>
                <w:rFonts w:ascii="Arial"/>
                <w:sz w:val="21"/>
              </w:rPr>
            </w:pPr>
          </w:p>
          <w:p w14:paraId="136022AB">
            <w:pPr>
              <w:spacing w:line="247" w:lineRule="auto"/>
              <w:rPr>
                <w:rFonts w:ascii="Arial"/>
                <w:sz w:val="21"/>
              </w:rPr>
            </w:pPr>
          </w:p>
          <w:p w14:paraId="7119CA4D">
            <w:pPr>
              <w:spacing w:line="247" w:lineRule="auto"/>
              <w:rPr>
                <w:rFonts w:ascii="Arial"/>
                <w:sz w:val="21"/>
              </w:rPr>
            </w:pPr>
          </w:p>
          <w:p w14:paraId="4B436A48">
            <w:pPr>
              <w:spacing w:line="247" w:lineRule="auto"/>
              <w:rPr>
                <w:rFonts w:ascii="Arial"/>
                <w:sz w:val="21"/>
              </w:rPr>
            </w:pPr>
          </w:p>
          <w:p w14:paraId="7D3F1A12">
            <w:pPr>
              <w:spacing w:line="247" w:lineRule="auto"/>
              <w:rPr>
                <w:rFonts w:ascii="Arial"/>
                <w:sz w:val="21"/>
              </w:rPr>
            </w:pPr>
          </w:p>
          <w:p w14:paraId="1AB35A41">
            <w:pPr>
              <w:spacing w:line="247" w:lineRule="auto"/>
              <w:rPr>
                <w:rFonts w:ascii="Arial"/>
                <w:sz w:val="21"/>
              </w:rPr>
            </w:pPr>
          </w:p>
          <w:p w14:paraId="5B101CF6">
            <w:pPr>
              <w:spacing w:line="247" w:lineRule="auto"/>
              <w:rPr>
                <w:rFonts w:ascii="Arial"/>
                <w:sz w:val="21"/>
              </w:rPr>
            </w:pPr>
          </w:p>
          <w:p w14:paraId="2B2A33A5">
            <w:pPr>
              <w:spacing w:line="247" w:lineRule="auto"/>
              <w:rPr>
                <w:rFonts w:ascii="Arial"/>
                <w:sz w:val="21"/>
              </w:rPr>
            </w:pPr>
          </w:p>
          <w:p w14:paraId="0BF57CC8">
            <w:pPr>
              <w:spacing w:line="247" w:lineRule="auto"/>
              <w:rPr>
                <w:rFonts w:ascii="Arial"/>
                <w:sz w:val="21"/>
              </w:rPr>
            </w:pPr>
          </w:p>
          <w:p w14:paraId="5178F7B9">
            <w:pPr>
              <w:spacing w:line="247" w:lineRule="auto"/>
              <w:rPr>
                <w:rFonts w:ascii="Arial"/>
                <w:sz w:val="21"/>
              </w:rPr>
            </w:pPr>
          </w:p>
          <w:p w14:paraId="25EBD135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被诉决定相关认定</w:t>
            </w:r>
          </w:p>
        </w:tc>
        <w:tc>
          <w:tcPr>
            <w:tcW w:w="1446" w:type="dxa"/>
            <w:noWrap w:val="0"/>
            <w:vAlign w:val="top"/>
          </w:tcPr>
          <w:p w14:paraId="24CBC0A9">
            <w:pPr>
              <w:spacing w:line="255" w:lineRule="auto"/>
              <w:rPr>
                <w:rFonts w:ascii="Arial"/>
                <w:sz w:val="21"/>
              </w:rPr>
            </w:pPr>
          </w:p>
          <w:p w14:paraId="3091D84E">
            <w:pPr>
              <w:spacing w:line="255" w:lineRule="auto"/>
              <w:rPr>
                <w:rFonts w:ascii="Arial"/>
                <w:sz w:val="21"/>
              </w:rPr>
            </w:pPr>
          </w:p>
          <w:p w14:paraId="47F5E824">
            <w:pPr>
              <w:spacing w:line="256" w:lineRule="auto"/>
              <w:rPr>
                <w:rFonts w:ascii="Arial"/>
                <w:sz w:val="21"/>
              </w:rPr>
            </w:pPr>
          </w:p>
          <w:p w14:paraId="487A146A">
            <w:pPr>
              <w:spacing w:line="256" w:lineRule="auto"/>
              <w:rPr>
                <w:rFonts w:ascii="Arial"/>
                <w:sz w:val="21"/>
              </w:rPr>
            </w:pPr>
          </w:p>
          <w:p w14:paraId="34CE97B0">
            <w:pPr>
              <w:pStyle w:val="8"/>
              <w:spacing w:before="79" w:line="263" w:lineRule="auto"/>
              <w:ind w:left="84" w:right="83"/>
            </w:pPr>
            <w:r>
              <w:rPr>
                <w:color w:val="231F20"/>
                <w:spacing w:val="1"/>
              </w:rPr>
              <w:t>相关市场界定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有无错误</w:t>
            </w:r>
          </w:p>
        </w:tc>
        <w:tc>
          <w:tcPr>
            <w:tcW w:w="5628" w:type="dxa"/>
            <w:tcBorders>
              <w:right w:val="single" w:color="231F20" w:sz="4" w:space="0"/>
            </w:tcBorders>
            <w:noWrap w:val="0"/>
            <w:vAlign w:val="top"/>
          </w:tcPr>
          <w:p w14:paraId="146EC3C7">
            <w:pPr>
              <w:pStyle w:val="8"/>
              <w:spacing w:before="93" w:line="203" w:lineRule="auto"/>
              <w:ind w:left="515"/>
            </w:pPr>
            <w:r>
              <w:rPr>
                <w:color w:val="231F20"/>
                <w:spacing w:val="-6"/>
              </w:rPr>
              <w:t>□无</w:t>
            </w:r>
          </w:p>
          <w:p w14:paraId="1134ABDD">
            <w:pPr>
              <w:pStyle w:val="8"/>
              <w:spacing w:before="64" w:line="247" w:lineRule="auto"/>
              <w:ind w:firstLine="543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 xml:space="preserve">有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本案相关市场为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（包括具体时间范围内的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商品市场、地域市场）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。具体说明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6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…（见原告证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……）。（二）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…（见原告证据  ×-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……）。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（三）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…）。</w:t>
            </w:r>
          </w:p>
          <w:p w14:paraId="327C8538">
            <w:pPr>
              <w:spacing w:before="17" w:line="253" w:lineRule="auto"/>
              <w:ind w:left="90" w:right="78" w:firstLine="2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（原告主张被诉垄断行为属于反垄断法第十七条第一项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至第五项和第十八条第一款第一项、第二项规定情形的，可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以不对相关市场界定提供证据）</w:t>
            </w:r>
          </w:p>
        </w:tc>
      </w:tr>
      <w:tr w14:paraId="42B5A0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791AB49">
            <w:pPr>
              <w:rPr>
                <w:rFonts w:ascii="Arial"/>
                <w:sz w:val="21"/>
              </w:rPr>
            </w:pPr>
          </w:p>
        </w:tc>
        <w:tc>
          <w:tcPr>
            <w:tcW w:w="1446" w:type="dxa"/>
            <w:vMerge w:val="restart"/>
            <w:tcBorders>
              <w:bottom w:val="nil"/>
            </w:tcBorders>
            <w:noWrap w:val="0"/>
            <w:vAlign w:val="top"/>
          </w:tcPr>
          <w:p w14:paraId="43853178">
            <w:pPr>
              <w:spacing w:line="241" w:lineRule="auto"/>
              <w:rPr>
                <w:rFonts w:ascii="Arial"/>
                <w:sz w:val="21"/>
              </w:rPr>
            </w:pPr>
          </w:p>
          <w:p w14:paraId="3F0A3E10">
            <w:pPr>
              <w:spacing w:line="241" w:lineRule="auto"/>
              <w:rPr>
                <w:rFonts w:ascii="Arial"/>
                <w:sz w:val="21"/>
              </w:rPr>
            </w:pPr>
          </w:p>
          <w:p w14:paraId="7A330EAF">
            <w:pPr>
              <w:spacing w:line="241" w:lineRule="auto"/>
              <w:rPr>
                <w:rFonts w:ascii="Arial"/>
                <w:sz w:val="21"/>
              </w:rPr>
            </w:pPr>
          </w:p>
          <w:p w14:paraId="702AFB65">
            <w:pPr>
              <w:spacing w:line="242" w:lineRule="auto"/>
              <w:rPr>
                <w:rFonts w:ascii="Arial"/>
                <w:sz w:val="21"/>
              </w:rPr>
            </w:pPr>
          </w:p>
          <w:p w14:paraId="5F45D254">
            <w:pPr>
              <w:spacing w:line="242" w:lineRule="auto"/>
              <w:rPr>
                <w:rFonts w:ascii="Arial"/>
                <w:sz w:val="21"/>
              </w:rPr>
            </w:pPr>
          </w:p>
          <w:p w14:paraId="73E5A8EE">
            <w:pPr>
              <w:spacing w:line="242" w:lineRule="auto"/>
              <w:rPr>
                <w:rFonts w:ascii="Arial"/>
                <w:sz w:val="21"/>
              </w:rPr>
            </w:pPr>
          </w:p>
          <w:p w14:paraId="7D1914EA">
            <w:pPr>
              <w:spacing w:line="242" w:lineRule="auto"/>
              <w:rPr>
                <w:rFonts w:ascii="Arial"/>
                <w:sz w:val="21"/>
              </w:rPr>
            </w:pPr>
          </w:p>
          <w:p w14:paraId="4AFCFD20">
            <w:pPr>
              <w:spacing w:line="242" w:lineRule="auto"/>
              <w:rPr>
                <w:rFonts w:ascii="Arial"/>
                <w:sz w:val="21"/>
              </w:rPr>
            </w:pPr>
          </w:p>
          <w:p w14:paraId="77E9A44E">
            <w:pPr>
              <w:spacing w:line="242" w:lineRule="auto"/>
              <w:rPr>
                <w:rFonts w:ascii="Arial"/>
                <w:sz w:val="21"/>
              </w:rPr>
            </w:pPr>
          </w:p>
          <w:p w14:paraId="360D6B70">
            <w:pPr>
              <w:spacing w:line="242" w:lineRule="auto"/>
              <w:rPr>
                <w:rFonts w:ascii="Arial"/>
                <w:sz w:val="21"/>
              </w:rPr>
            </w:pPr>
          </w:p>
          <w:p w14:paraId="7FDE3052">
            <w:pPr>
              <w:spacing w:line="242" w:lineRule="auto"/>
              <w:rPr>
                <w:rFonts w:ascii="Arial"/>
                <w:sz w:val="21"/>
              </w:rPr>
            </w:pPr>
          </w:p>
          <w:p w14:paraId="17E33E02">
            <w:pPr>
              <w:spacing w:line="242" w:lineRule="auto"/>
              <w:rPr>
                <w:rFonts w:ascii="Arial"/>
                <w:sz w:val="21"/>
              </w:rPr>
            </w:pPr>
          </w:p>
          <w:p w14:paraId="2A029F89">
            <w:pPr>
              <w:pStyle w:val="8"/>
              <w:spacing w:before="79" w:line="263" w:lineRule="auto"/>
              <w:ind w:left="83" w:right="83"/>
            </w:pPr>
            <w:r>
              <w:rPr>
                <w:color w:val="231F20"/>
                <w:spacing w:val="2"/>
              </w:rPr>
              <w:t>垄断行为认定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有无错误</w:t>
            </w:r>
          </w:p>
        </w:tc>
        <w:tc>
          <w:tcPr>
            <w:tcW w:w="5628" w:type="dxa"/>
            <w:tcBorders>
              <w:right w:val="single" w:color="231F20" w:sz="4" w:space="0"/>
            </w:tcBorders>
            <w:noWrap w:val="0"/>
            <w:vAlign w:val="top"/>
          </w:tcPr>
          <w:p w14:paraId="2DF74C4A">
            <w:pPr>
              <w:pStyle w:val="8"/>
              <w:spacing w:before="94" w:line="203" w:lineRule="auto"/>
              <w:ind w:left="515"/>
            </w:pPr>
            <w:r>
              <w:rPr>
                <w:color w:val="231F20"/>
                <w:spacing w:val="-6"/>
              </w:rPr>
              <w:t>□无</w:t>
            </w:r>
          </w:p>
          <w:p w14:paraId="06FB6C5B">
            <w:pPr>
              <w:pStyle w:val="8"/>
              <w:spacing w:before="72" w:line="186" w:lineRule="auto"/>
              <w:ind w:right="13"/>
              <w:jc w:val="right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有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原告未达成横向 / 纵向垄断协议，具体为：……。</w:t>
            </w:r>
          </w:p>
          <w:p w14:paraId="09E70541">
            <w:pPr>
              <w:spacing w:before="25" w:line="270" w:lineRule="auto"/>
              <w:ind w:right="14" w:firstLine="53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>上述协议未产生排除、限制竞争效果，具体分析：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（一）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…）。（二）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…（见原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…）。</w:t>
            </w:r>
          </w:p>
          <w:p w14:paraId="0D82A2AA">
            <w:pPr>
              <w:spacing w:before="10" w:line="226" w:lineRule="auto"/>
              <w:ind w:left="38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（适用于涉案垄断行为涉及垄断协议）</w:t>
            </w:r>
          </w:p>
        </w:tc>
      </w:tr>
      <w:tr w14:paraId="171CD5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DC2A030">
            <w:pPr>
              <w:rPr>
                <w:rFonts w:ascii="Arial"/>
                <w:sz w:val="21"/>
              </w:rPr>
            </w:pPr>
          </w:p>
        </w:tc>
        <w:tc>
          <w:tcPr>
            <w:tcW w:w="1446" w:type="dxa"/>
            <w:vMerge w:val="continue"/>
            <w:tcBorders>
              <w:top w:val="nil"/>
            </w:tcBorders>
            <w:noWrap w:val="0"/>
            <w:vAlign w:val="top"/>
          </w:tcPr>
          <w:p w14:paraId="349B73AD">
            <w:pPr>
              <w:rPr>
                <w:rFonts w:ascii="Arial"/>
                <w:sz w:val="21"/>
              </w:rPr>
            </w:pPr>
          </w:p>
        </w:tc>
        <w:tc>
          <w:tcPr>
            <w:tcW w:w="5628" w:type="dxa"/>
            <w:tcBorders>
              <w:right w:val="single" w:color="231F20" w:sz="4" w:space="0"/>
            </w:tcBorders>
            <w:noWrap w:val="0"/>
            <w:vAlign w:val="top"/>
          </w:tcPr>
          <w:p w14:paraId="62241FD0">
            <w:pPr>
              <w:pStyle w:val="8"/>
              <w:spacing w:before="95" w:line="203" w:lineRule="auto"/>
              <w:ind w:left="515"/>
            </w:pPr>
            <w:r>
              <w:rPr>
                <w:color w:val="231F20"/>
                <w:spacing w:val="-6"/>
              </w:rPr>
              <w:t>□无</w:t>
            </w:r>
          </w:p>
          <w:p w14:paraId="6D098777">
            <w:pPr>
              <w:pStyle w:val="8"/>
              <w:spacing w:before="72" w:line="221" w:lineRule="auto"/>
              <w:ind w:firstLine="543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7"/>
              </w:rPr>
              <w:t xml:space="preserve">有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原告在  ×× 相关市场不具有市场支配地位。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页）。</w:t>
            </w:r>
          </w:p>
          <w:p w14:paraId="273EE1D8">
            <w:pPr>
              <w:spacing w:before="35" w:line="270" w:lineRule="auto"/>
              <w:ind w:firstLine="5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原告未实施滥用市场支配地位的行为，具体分析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：关于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垄断定价 / 掠夺定价 / 拒绝交易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限定交易 / 捆绑交易 / 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别待遇：原告未实施捆绑交易的滥用市场交易地位的行为。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页）。</w:t>
            </w:r>
          </w:p>
          <w:p w14:paraId="74B791CB">
            <w:pPr>
              <w:spacing w:before="25" w:line="272" w:lineRule="auto"/>
              <w:ind w:right="13" w:firstLine="5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原告的行为未产生排除、限制竞争效果，具体分析：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）原告的行为未排除其他经营者进入相关市场。（见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…）。（二）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原告的行为未限制其他经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营者参与竞争。（见原告证据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…）。（三）……（见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…）。</w:t>
            </w:r>
          </w:p>
          <w:p w14:paraId="5B4FF275">
            <w:pPr>
              <w:spacing w:before="10" w:line="227" w:lineRule="auto"/>
              <w:ind w:left="38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（适用于涉案垄断行为涉及滥用市场支配地位）</w:t>
            </w:r>
          </w:p>
        </w:tc>
      </w:tr>
    </w:tbl>
    <w:p w14:paraId="3AEC34AD">
      <w:pPr>
        <w:pStyle w:val="3"/>
      </w:pPr>
    </w:p>
    <w:p w14:paraId="33DA0C2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12803F3">
      <w:pPr>
        <w:spacing w:before="41"/>
      </w:pPr>
    </w:p>
    <w:p w14:paraId="248DA466">
      <w:pPr>
        <w:spacing w:before="41"/>
      </w:pPr>
    </w:p>
    <w:p w14:paraId="7F09BB42">
      <w:pPr>
        <w:spacing w:before="41"/>
      </w:pPr>
    </w:p>
    <w:p w14:paraId="33D5400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5BA2A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0A55E0">
            <w:pPr>
              <w:spacing w:line="257" w:lineRule="auto"/>
              <w:rPr>
                <w:rFonts w:ascii="Arial"/>
                <w:sz w:val="21"/>
              </w:rPr>
            </w:pPr>
          </w:p>
          <w:p w14:paraId="31AAFEB2">
            <w:pPr>
              <w:spacing w:line="257" w:lineRule="auto"/>
              <w:rPr>
                <w:rFonts w:ascii="Arial"/>
                <w:sz w:val="21"/>
              </w:rPr>
            </w:pPr>
          </w:p>
          <w:p w14:paraId="70901896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被诉决定程序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F7B97A">
            <w:pPr>
              <w:pStyle w:val="8"/>
              <w:spacing w:before="93" w:line="215" w:lineRule="auto"/>
              <w:ind w:left="84" w:right="1022"/>
            </w:pPr>
            <w:r>
              <w:rPr>
                <w:color w:val="231F20"/>
                <w:spacing w:val="-12"/>
              </w:rPr>
              <w:t>违反法定程序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具体分析：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…）。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超越职权□    具体分析：</w:t>
            </w:r>
          </w:p>
          <w:p w14:paraId="506C94A6">
            <w:pPr>
              <w:pStyle w:val="8"/>
              <w:spacing w:before="36" w:line="238" w:lineRule="auto"/>
              <w:ind w:left="83" w:right="4714" w:firstLine="2"/>
            </w:pPr>
            <w:r>
              <w:rPr>
                <w:color w:val="231F20"/>
                <w:spacing w:val="-3"/>
              </w:rPr>
              <w:t>滥用职权□    具体分析：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  <w:tr w14:paraId="357B04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13A12D">
            <w:pPr>
              <w:spacing w:line="297" w:lineRule="auto"/>
              <w:rPr>
                <w:rFonts w:ascii="Arial"/>
                <w:sz w:val="21"/>
              </w:rPr>
            </w:pPr>
          </w:p>
          <w:p w14:paraId="0D6A78CA">
            <w:pPr>
              <w:spacing w:line="297" w:lineRule="auto"/>
              <w:rPr>
                <w:rFonts w:ascii="Arial"/>
                <w:sz w:val="21"/>
              </w:rPr>
            </w:pPr>
          </w:p>
          <w:p w14:paraId="1214ED1C">
            <w:pPr>
              <w:spacing w:line="298" w:lineRule="auto"/>
              <w:rPr>
                <w:rFonts w:ascii="Arial"/>
                <w:sz w:val="21"/>
              </w:rPr>
            </w:pPr>
          </w:p>
          <w:p w14:paraId="4BE26C86">
            <w:pPr>
              <w:spacing w:line="298" w:lineRule="auto"/>
              <w:rPr>
                <w:rFonts w:ascii="Arial"/>
                <w:sz w:val="21"/>
              </w:rPr>
            </w:pPr>
          </w:p>
          <w:p w14:paraId="441878BD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被诉决定处罚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ECB501">
            <w:pPr>
              <w:spacing w:before="80" w:line="266" w:lineRule="auto"/>
              <w:ind w:left="97" w:right="82" w:firstLine="4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鉴于涉案垄断行为不成立，原告不应受到行政处罚。即便涉案垄断行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为成立，涉案处罚的内容、履行方式 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存在明显不当。</w:t>
            </w:r>
          </w:p>
          <w:p w14:paraId="21A01826">
            <w:pPr>
              <w:pStyle w:val="8"/>
              <w:spacing w:before="32"/>
              <w:ind w:left="85" w:right="80" w:firstLine="4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罚款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具体分析：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省  ×× 市市场监管局对江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西  ×× 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处以 50 万元罚款明显不当，处罚的数额与原告实施的行为不相当（见原告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…）。</w:t>
            </w:r>
          </w:p>
          <w:p w14:paraId="3F4035E8">
            <w:pPr>
              <w:pStyle w:val="8"/>
              <w:spacing w:before="24" w:line="245" w:lineRule="auto"/>
              <w:ind w:left="497" w:right="3881" w:firstLine="3"/>
              <w:jc w:val="both"/>
            </w:pPr>
            <w:r>
              <w:rPr>
                <w:color w:val="231F20"/>
                <w:spacing w:val="-3"/>
              </w:rPr>
              <w:t>没收违法所得□    具体分析：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责令停产停业□    具体分析：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  <w:tr w14:paraId="767C31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3BEFCC">
            <w:pPr>
              <w:pStyle w:val="8"/>
              <w:spacing w:before="267" w:line="209" w:lineRule="auto"/>
              <w:ind w:left="85"/>
            </w:pPr>
            <w:r>
              <w:rPr>
                <w:color w:val="231F20"/>
                <w:spacing w:val="-1"/>
              </w:rPr>
              <w:t>5.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7A313E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3451277F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537F9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5E458B">
            <w:pPr>
              <w:spacing w:before="86" w:line="190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684E64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A5E36E">
            <w:pPr>
              <w:pStyle w:val="8"/>
              <w:spacing w:before="98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2 关联案件信息表）</w:t>
            </w:r>
          </w:p>
          <w:p w14:paraId="6206F671">
            <w:pPr>
              <w:pStyle w:val="8"/>
              <w:spacing w:before="42" w:line="258" w:lineRule="auto"/>
              <w:ind w:left="549" w:right="233" w:hanging="48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截至目前，原告相关垄断行为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…，反垄断执法机构正在调查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/ 作出处罚。具体情况：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件垄断民事案件。具体情况：</w:t>
            </w:r>
          </w:p>
          <w:p w14:paraId="2A6A52E3">
            <w:pPr>
              <w:pStyle w:val="8"/>
              <w:spacing w:before="28" w:line="235" w:lineRule="auto"/>
              <w:ind w:left="82" w:right="6306" w:firstLine="467"/>
            </w:pPr>
            <w:r>
              <w:rPr>
                <w:color w:val="231F20"/>
                <w:spacing w:val="-8"/>
              </w:rPr>
              <w:t>× 件仲裁案件。具体情况：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32E5D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5D9F6E">
            <w:pPr>
              <w:spacing w:before="91" w:line="188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637DA8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71EB67">
            <w:pPr>
              <w:pStyle w:val="8"/>
              <w:spacing w:before="90" w:line="21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无</w:t>
            </w:r>
          </w:p>
        </w:tc>
      </w:tr>
      <w:tr w14:paraId="302D88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9D15B5">
            <w:pPr>
              <w:spacing w:before="96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336859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4F456C">
            <w:pPr>
              <w:pStyle w:val="8"/>
              <w:spacing w:before="93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08E9559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2. 关联案件信息表（参照发明专利侵权民事起诉状后附表）</w:t>
            </w:r>
          </w:p>
          <w:p w14:paraId="47FF4991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1792AAEF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马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 xml:space="preserve">××    江西 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D48B68C"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br w:type="page"/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CABB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47E0C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2763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38DA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91784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590B37"/>
    <w:rsid w:val="6DDF034E"/>
    <w:rsid w:val="6E97D185"/>
    <w:rsid w:val="6FB32028"/>
    <w:rsid w:val="72FFF92E"/>
    <w:rsid w:val="739F053E"/>
    <w:rsid w:val="775FFE76"/>
    <w:rsid w:val="78362C67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E8A99F9D9EA540BC8E54F58B3027B49B_13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