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58C2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148.海上、通海水域人身损害责任纠纷民事答辩状实例</w:t>
      </w:r>
    </w:p>
    <w:p w14:paraId="402E3267">
      <w:pPr>
        <w:pStyle w:val="3"/>
        <w:spacing w:line="243" w:lineRule="auto"/>
      </w:pPr>
    </w:p>
    <w:p w14:paraId="4611D045">
      <w:pPr>
        <w:pStyle w:val="3"/>
        <w:spacing w:line="243" w:lineRule="auto"/>
      </w:pPr>
    </w:p>
    <w:p w14:paraId="55FFC5A1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528CA94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26F3DE6">
      <w:pPr>
        <w:spacing w:before="62" w:line="206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（海上、通海水域人身损害责任纠纷）</w:t>
      </w:r>
    </w:p>
    <w:p w14:paraId="224042C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9"/>
        <w:gridCol w:w="1231"/>
        <w:gridCol w:w="1719"/>
        <w:gridCol w:w="571"/>
        <w:gridCol w:w="508"/>
        <w:gridCol w:w="4276"/>
      </w:tblGrid>
      <w:tr w14:paraId="4B6B45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0F712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65C92ED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CFC8A8F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79001E4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871EAC5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3A94575">
            <w:pPr>
              <w:pStyle w:val="8"/>
              <w:spacing w:before="15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FB86EB8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A9F9C6F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7ECEFD1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CD94E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39" w:type="dxa"/>
            <w:tcBorders>
              <w:left w:val="single" w:color="231F20" w:sz="4" w:space="0"/>
            </w:tcBorders>
            <w:noWrap w:val="0"/>
            <w:vAlign w:val="top"/>
          </w:tcPr>
          <w:p w14:paraId="25D1C56F">
            <w:pPr>
              <w:pStyle w:val="8"/>
              <w:spacing w:before="86" w:line="208" w:lineRule="auto"/>
              <w:ind w:left="30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50" w:type="dxa"/>
            <w:gridSpan w:val="2"/>
            <w:noWrap w:val="0"/>
            <w:vAlign w:val="top"/>
          </w:tcPr>
          <w:p w14:paraId="36A03056">
            <w:pPr>
              <w:spacing w:before="81" w:line="223" w:lineRule="auto"/>
              <w:ind w:left="10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（2024）浙 7×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民初  ×× 号</w:t>
            </w:r>
          </w:p>
        </w:tc>
        <w:tc>
          <w:tcPr>
            <w:tcW w:w="1079" w:type="dxa"/>
            <w:gridSpan w:val="2"/>
            <w:noWrap w:val="0"/>
            <w:vAlign w:val="top"/>
          </w:tcPr>
          <w:p w14:paraId="7E8E1A19">
            <w:pPr>
              <w:pStyle w:val="8"/>
              <w:spacing w:before="86" w:line="208" w:lineRule="auto"/>
              <w:ind w:left="33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76" w:type="dxa"/>
            <w:tcBorders>
              <w:right w:val="single" w:color="231F20" w:sz="4" w:space="0"/>
            </w:tcBorders>
            <w:noWrap w:val="0"/>
            <w:vAlign w:val="top"/>
          </w:tcPr>
          <w:p w14:paraId="044D41E6">
            <w:pPr>
              <w:spacing w:before="80" w:line="228" w:lineRule="auto"/>
              <w:ind w:left="110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海上人身损害责任纠纷</w:t>
            </w:r>
          </w:p>
        </w:tc>
      </w:tr>
      <w:tr w14:paraId="76B894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C8CDE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2B543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24E87CE">
            <w:pPr>
              <w:rPr>
                <w:rFonts w:ascii="Arial"/>
                <w:sz w:val="21"/>
              </w:rPr>
            </w:pPr>
          </w:p>
          <w:p w14:paraId="3B00C010">
            <w:pPr>
              <w:rPr>
                <w:rFonts w:ascii="Arial"/>
                <w:sz w:val="21"/>
              </w:rPr>
            </w:pPr>
          </w:p>
          <w:p w14:paraId="4787AAF1">
            <w:pPr>
              <w:rPr>
                <w:rFonts w:ascii="Arial"/>
                <w:sz w:val="21"/>
              </w:rPr>
            </w:pPr>
          </w:p>
          <w:p w14:paraId="05A00767">
            <w:pPr>
              <w:rPr>
                <w:rFonts w:ascii="Arial"/>
                <w:sz w:val="21"/>
              </w:rPr>
            </w:pPr>
          </w:p>
          <w:p w14:paraId="2117D2B9">
            <w:pPr>
              <w:rPr>
                <w:rFonts w:ascii="Arial"/>
                <w:sz w:val="21"/>
              </w:rPr>
            </w:pPr>
          </w:p>
          <w:p w14:paraId="768E2773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30835ECB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7EDD499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72BB73AA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1991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8  日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4AD5B37B">
            <w:pPr>
              <w:pStyle w:val="8"/>
              <w:spacing w:before="42" w:line="255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：无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住所地（户籍所在地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浙江省舟山市岱山县</w:t>
            </w:r>
          </w:p>
          <w:p w14:paraId="2B0A67D0">
            <w:pPr>
              <w:pStyle w:val="8"/>
              <w:spacing w:before="1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浙江省舟山市岱山县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村  ×× 号</w:t>
            </w:r>
          </w:p>
          <w:p w14:paraId="543095F4">
            <w:pPr>
              <w:pStyle w:val="8"/>
              <w:spacing w:before="4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E04E9F6">
            <w:pPr>
              <w:pStyle w:val="8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  <w:p w14:paraId="54F13A62">
            <w:pPr>
              <w:pStyle w:val="8"/>
              <w:spacing w:before="49" w:line="178" w:lineRule="auto"/>
              <w:ind w:left="87"/>
            </w:pPr>
            <w:r>
              <w:rPr>
                <w:color w:val="231F20"/>
                <w:spacing w:val="-2"/>
              </w:rPr>
              <w:t>身份：船舶所有人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船舶合伙经营人□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4F75E5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A743167">
            <w:pPr>
              <w:spacing w:line="255" w:lineRule="auto"/>
              <w:rPr>
                <w:rFonts w:ascii="Arial"/>
                <w:sz w:val="21"/>
              </w:rPr>
            </w:pPr>
          </w:p>
          <w:p w14:paraId="676DFB99">
            <w:pPr>
              <w:spacing w:line="255" w:lineRule="auto"/>
              <w:rPr>
                <w:rFonts w:ascii="Arial"/>
                <w:sz w:val="21"/>
              </w:rPr>
            </w:pPr>
          </w:p>
          <w:p w14:paraId="012E8B50">
            <w:pPr>
              <w:spacing w:line="255" w:lineRule="auto"/>
              <w:rPr>
                <w:rFonts w:ascii="Arial"/>
                <w:sz w:val="21"/>
              </w:rPr>
            </w:pPr>
          </w:p>
          <w:p w14:paraId="1C4F34E5">
            <w:pPr>
              <w:spacing w:line="255" w:lineRule="auto"/>
              <w:rPr>
                <w:rFonts w:ascii="Arial"/>
                <w:sz w:val="21"/>
              </w:rPr>
            </w:pPr>
          </w:p>
          <w:p w14:paraId="664ED7BD">
            <w:pPr>
              <w:spacing w:line="255" w:lineRule="auto"/>
              <w:rPr>
                <w:rFonts w:ascii="Arial"/>
                <w:sz w:val="21"/>
              </w:rPr>
            </w:pPr>
          </w:p>
          <w:p w14:paraId="07378626">
            <w:pPr>
              <w:spacing w:line="255" w:lineRule="auto"/>
              <w:rPr>
                <w:rFonts w:ascii="Arial"/>
                <w:sz w:val="21"/>
              </w:rPr>
            </w:pPr>
          </w:p>
          <w:p w14:paraId="39D6F112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FF8D8A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C12C6CB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D261114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41328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0092326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5810DDC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9E55E4E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E31194A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8E1B770">
            <w:pPr>
              <w:spacing w:line="334" w:lineRule="auto"/>
              <w:rPr>
                <w:rFonts w:ascii="Arial"/>
                <w:sz w:val="21"/>
              </w:rPr>
            </w:pPr>
          </w:p>
          <w:p w14:paraId="7219AF01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58FB294C">
            <w:pPr>
              <w:spacing w:line="327" w:lineRule="auto"/>
              <w:rPr>
                <w:rFonts w:ascii="Arial"/>
                <w:sz w:val="21"/>
              </w:rPr>
            </w:pPr>
          </w:p>
          <w:p w14:paraId="5CEFBFEE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E378905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A56DF5A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24D88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E80B2A7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41E7E87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983F47D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    □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7F15E9CF">
      <w:pPr>
        <w:pStyle w:val="3"/>
      </w:pPr>
    </w:p>
    <w:p w14:paraId="63BDB155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0B19CBE">
      <w:pPr>
        <w:spacing w:before="41"/>
      </w:pPr>
    </w:p>
    <w:p w14:paraId="71473B13">
      <w:pPr>
        <w:spacing w:before="41"/>
      </w:pPr>
    </w:p>
    <w:p w14:paraId="521507FD">
      <w:pPr>
        <w:spacing w:before="41"/>
      </w:pPr>
    </w:p>
    <w:p w14:paraId="6F7556B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E4549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2D1A41">
            <w:pPr>
              <w:spacing w:line="346" w:lineRule="auto"/>
              <w:rPr>
                <w:rFonts w:ascii="Arial"/>
                <w:sz w:val="21"/>
              </w:rPr>
            </w:pPr>
          </w:p>
          <w:p w14:paraId="5D8CA031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01E9053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2DBBC7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2FEA37AC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7B88A94D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092C1F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129028">
            <w:pPr>
              <w:spacing w:line="283" w:lineRule="auto"/>
              <w:rPr>
                <w:rFonts w:ascii="Arial"/>
                <w:sz w:val="21"/>
              </w:rPr>
            </w:pPr>
          </w:p>
          <w:p w14:paraId="54CA4A2D">
            <w:pPr>
              <w:spacing w:line="283" w:lineRule="auto"/>
              <w:rPr>
                <w:rFonts w:ascii="Arial"/>
                <w:sz w:val="21"/>
              </w:rPr>
            </w:pPr>
          </w:p>
          <w:p w14:paraId="4FB8E580">
            <w:pPr>
              <w:spacing w:line="284" w:lineRule="auto"/>
              <w:rPr>
                <w:rFonts w:ascii="Arial"/>
                <w:sz w:val="21"/>
              </w:rPr>
            </w:pPr>
          </w:p>
          <w:p w14:paraId="0DB74C2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0B345C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69F603C">
            <w:pPr>
              <w:pStyle w:val="8"/>
              <w:spacing w:before="43" w:line="230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2D77624">
            <w:pPr>
              <w:pStyle w:val="8"/>
              <w:spacing w:before="39" w:line="222" w:lineRule="auto"/>
              <w:ind w:left="49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律师事务所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0D6FE704">
            <w:pPr>
              <w:pStyle w:val="8"/>
              <w:spacing w:before="58" w:line="206" w:lineRule="auto"/>
              <w:ind w:left="498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2DBA0718">
            <w:pPr>
              <w:pStyle w:val="8"/>
              <w:spacing w:before="76" w:line="207" w:lineRule="auto"/>
              <w:ind w:left="82" w:right="908" w:firstLine="414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521F7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77D52D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1DF413D">
            <w:pPr>
              <w:spacing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30F440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82CAD3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（可完整表述答辩事项；为方便、准确梳理要点，相关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内容请在下方要素式表格中填写）</w:t>
            </w:r>
          </w:p>
        </w:tc>
      </w:tr>
      <w:tr w14:paraId="0B2816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1207F0">
            <w:pPr>
              <w:pStyle w:val="8"/>
              <w:spacing w:before="251" w:line="246" w:lineRule="auto"/>
              <w:ind w:left="85" w:right="84" w:firstLine="17"/>
            </w:pPr>
            <w:r>
              <w:rPr>
                <w:color w:val="231F20"/>
                <w:spacing w:val="-2"/>
              </w:rPr>
              <w:t>1. 对船员因劳务发生伤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亡事故有无异议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D0A08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CD031F">
            <w:pPr>
              <w:pStyle w:val="8"/>
              <w:spacing w:before="72" w:line="213" w:lineRule="auto"/>
              <w:ind w:left="82" w:right="8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原告对事故发生存在重大过错，应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当自行承担 80% 的主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要责任。</w:t>
            </w:r>
          </w:p>
        </w:tc>
      </w:tr>
      <w:tr w14:paraId="5F0A9D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B7C6F0">
            <w:pPr>
              <w:pStyle w:val="8"/>
              <w:spacing w:before="255" w:line="263" w:lineRule="auto"/>
              <w:ind w:left="85" w:right="84"/>
            </w:pPr>
            <w:r>
              <w:rPr>
                <w:color w:val="231F20"/>
                <w:spacing w:val="-1"/>
              </w:rPr>
              <w:t>2. 对事故调查报告有无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A7B9C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32092A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0B703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6CC0FD">
            <w:pPr>
              <w:spacing w:line="342" w:lineRule="auto"/>
              <w:rPr>
                <w:rFonts w:ascii="Arial"/>
                <w:sz w:val="21"/>
              </w:rPr>
            </w:pPr>
          </w:p>
          <w:p w14:paraId="393A4807">
            <w:pPr>
              <w:spacing w:line="342" w:lineRule="auto"/>
              <w:rPr>
                <w:rFonts w:ascii="Arial"/>
                <w:sz w:val="21"/>
              </w:rPr>
            </w:pPr>
          </w:p>
          <w:p w14:paraId="034AE1A0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对各项费用有无异议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69C49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FCCAF8">
            <w:pPr>
              <w:pStyle w:val="8"/>
              <w:spacing w:before="75" w:line="241" w:lineRule="auto"/>
              <w:ind w:left="91" w:right="8" w:hanging="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护理费有异议，住院护理费应按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150 元 / 天计算，出院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护理费按 80 元 / 天计算。被扶养人生活费有异议，原告未提供证据证明其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父母丧失劳动能力且无其他生活来源，原告对继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子女没有法定抚养义务，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不应计算上述三人的被扶养人生活费。</w:t>
            </w:r>
          </w:p>
        </w:tc>
      </w:tr>
      <w:tr w14:paraId="06FFA4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BC1FAF">
            <w:pPr>
              <w:spacing w:line="348" w:lineRule="auto"/>
              <w:rPr>
                <w:rFonts w:ascii="Arial"/>
                <w:sz w:val="21"/>
              </w:rPr>
            </w:pPr>
          </w:p>
          <w:p w14:paraId="051ABF4D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对鉴定意见有无异议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030CF2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BD2AF4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DE2AA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13FAD1">
            <w:pPr>
              <w:pStyle w:val="8"/>
              <w:spacing w:before="252" w:line="247" w:lineRule="auto"/>
              <w:ind w:left="85" w:right="84"/>
            </w:pPr>
            <w:r>
              <w:rPr>
                <w:color w:val="231F20"/>
                <w:spacing w:val="18"/>
              </w:rPr>
              <w:t>5. 对船舶优先权有无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0A6CCC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F14902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710D3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15DF03">
            <w:pPr>
              <w:spacing w:line="346" w:lineRule="auto"/>
              <w:rPr>
                <w:rFonts w:ascii="Arial"/>
                <w:sz w:val="21"/>
              </w:rPr>
            </w:pPr>
          </w:p>
          <w:p w14:paraId="5C948F8A">
            <w:pPr>
              <w:pStyle w:val="8"/>
              <w:spacing w:before="79" w:line="209" w:lineRule="auto"/>
              <w:ind w:left="86"/>
            </w:pPr>
            <w:r>
              <w:rPr>
                <w:color w:val="231F20"/>
                <w:spacing w:val="-1"/>
              </w:rPr>
              <w:t>6.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1EF345">
            <w:pPr>
              <w:pStyle w:val="8"/>
              <w:spacing w:before="87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</w:p>
          <w:p w14:paraId="2A970F00">
            <w:pPr>
              <w:pStyle w:val="8"/>
              <w:spacing w:before="63" w:line="244" w:lineRule="auto"/>
              <w:ind w:left="94" w:right="108" w:hanging="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《最高人民法院关于审理人身损害赔偿案件适用法律若干问题的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解释》有关规定。</w:t>
            </w:r>
          </w:p>
        </w:tc>
      </w:tr>
      <w:tr w14:paraId="682D0E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0CA1FE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D73C0E">
            <w:pPr>
              <w:spacing w:before="84" w:line="229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另附页。</w:t>
            </w:r>
          </w:p>
        </w:tc>
      </w:tr>
    </w:tbl>
    <w:p w14:paraId="4FE43B99">
      <w:pPr>
        <w:pStyle w:val="3"/>
      </w:pPr>
    </w:p>
    <w:p w14:paraId="474D7189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BE0DDAB">
      <w:pPr>
        <w:spacing w:before="41"/>
      </w:pPr>
    </w:p>
    <w:p w14:paraId="6010E8C4">
      <w:pPr>
        <w:spacing w:before="41"/>
      </w:pPr>
    </w:p>
    <w:p w14:paraId="462371CF">
      <w:pPr>
        <w:spacing w:before="41"/>
      </w:pPr>
    </w:p>
    <w:p w14:paraId="2753846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C808E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EE1977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7DB67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C0386C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3F1365">
            <w:pPr>
              <w:spacing w:line="258" w:lineRule="auto"/>
              <w:rPr>
                <w:rFonts w:ascii="Arial"/>
                <w:sz w:val="21"/>
              </w:rPr>
            </w:pPr>
          </w:p>
          <w:p w14:paraId="3147CD82">
            <w:pPr>
              <w:spacing w:line="258" w:lineRule="auto"/>
              <w:rPr>
                <w:rFonts w:ascii="Arial"/>
                <w:sz w:val="21"/>
              </w:rPr>
            </w:pPr>
          </w:p>
          <w:p w14:paraId="2D301FBD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8A7A0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410167">
            <w:pPr>
              <w:spacing w:line="263" w:lineRule="auto"/>
              <w:rPr>
                <w:rFonts w:ascii="Arial"/>
                <w:sz w:val="21"/>
              </w:rPr>
            </w:pPr>
          </w:p>
          <w:p w14:paraId="68452BD6">
            <w:pPr>
              <w:spacing w:line="263" w:lineRule="auto"/>
              <w:rPr>
                <w:rFonts w:ascii="Arial"/>
                <w:sz w:val="21"/>
              </w:rPr>
            </w:pPr>
          </w:p>
          <w:p w14:paraId="435A5A72">
            <w:pPr>
              <w:spacing w:line="263" w:lineRule="auto"/>
              <w:rPr>
                <w:rFonts w:ascii="Arial"/>
                <w:sz w:val="21"/>
              </w:rPr>
            </w:pPr>
          </w:p>
          <w:p w14:paraId="26F0F6AB">
            <w:pPr>
              <w:spacing w:line="264" w:lineRule="auto"/>
              <w:rPr>
                <w:rFonts w:ascii="Arial"/>
                <w:sz w:val="21"/>
              </w:rPr>
            </w:pPr>
          </w:p>
          <w:p w14:paraId="1AE7563F">
            <w:pPr>
              <w:spacing w:line="264" w:lineRule="auto"/>
              <w:rPr>
                <w:rFonts w:ascii="Arial"/>
                <w:sz w:val="21"/>
              </w:rPr>
            </w:pPr>
          </w:p>
          <w:p w14:paraId="15A59A67">
            <w:pPr>
              <w:spacing w:line="264" w:lineRule="auto"/>
              <w:rPr>
                <w:rFonts w:ascii="Arial"/>
                <w:sz w:val="21"/>
              </w:rPr>
            </w:pPr>
          </w:p>
          <w:p w14:paraId="7570316B">
            <w:pPr>
              <w:spacing w:line="264" w:lineRule="auto"/>
              <w:rPr>
                <w:rFonts w:ascii="Arial"/>
                <w:sz w:val="21"/>
              </w:rPr>
            </w:pPr>
          </w:p>
          <w:p w14:paraId="5220A99F">
            <w:pPr>
              <w:spacing w:line="264" w:lineRule="auto"/>
              <w:rPr>
                <w:rFonts w:ascii="Arial"/>
                <w:sz w:val="21"/>
              </w:rPr>
            </w:pPr>
          </w:p>
          <w:p w14:paraId="50E15904">
            <w:pPr>
              <w:spacing w:line="264" w:lineRule="auto"/>
              <w:rPr>
                <w:rFonts w:ascii="Arial"/>
                <w:sz w:val="21"/>
              </w:rPr>
            </w:pPr>
          </w:p>
          <w:p w14:paraId="3A68BBAF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8AD42A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F58EC2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282307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01A0A8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B6E9DE5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1BFE639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34C4262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A436D8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005694B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163756E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4B2FF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BB7752A">
            <w:pPr>
              <w:spacing w:line="353" w:lineRule="auto"/>
              <w:rPr>
                <w:rFonts w:ascii="Arial"/>
                <w:sz w:val="21"/>
              </w:rPr>
            </w:pPr>
          </w:p>
          <w:p w14:paraId="67CAD6C2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FDF558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495881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486098A">
      <w:pPr>
        <w:spacing w:before="174" w:line="197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毛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E0CFC6C">
      <w:pPr>
        <w:spacing w:line="197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B6C2925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0B643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694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C026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695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396D3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696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1D09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29A95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45F0B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52A2D25"/>
    <w:rsid w:val="38FC5C50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F95B0C1412E247B0BD8EE93950548CBA_13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