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7B7A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222.执行复议申请书实例</w:t>
      </w:r>
    </w:p>
    <w:p w14:paraId="3D2D0E03">
      <w:pPr>
        <w:pStyle w:val="3"/>
        <w:spacing w:line="242" w:lineRule="auto"/>
      </w:pPr>
    </w:p>
    <w:p w14:paraId="72A1A385">
      <w:pPr>
        <w:pStyle w:val="3"/>
        <w:spacing w:line="243" w:lineRule="auto"/>
      </w:pPr>
    </w:p>
    <w:p w14:paraId="5E8F12FF">
      <w:pPr>
        <w:pStyle w:val="3"/>
        <w:spacing w:line="243" w:lineRule="auto"/>
      </w:pPr>
    </w:p>
    <w:p w14:paraId="251F0BC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4DC2D92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执行复议申请书</w:t>
      </w:r>
    </w:p>
    <w:p w14:paraId="2FE8471D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（当事人、利害关系人、案外人申请复议用）</w:t>
      </w:r>
    </w:p>
    <w:p w14:paraId="43BC903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1C3EB6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CAEE4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A08F225">
            <w:pPr>
              <w:pStyle w:val="8"/>
              <w:spacing w:before="50" w:line="235" w:lineRule="auto"/>
              <w:ind w:left="84" w:right="38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当事人、利害关系人对不予受理或者驳回申请裁定不服</w:t>
            </w:r>
            <w:r>
              <w:rPr>
                <w:color w:val="231F20"/>
                <w:spacing w:val="2"/>
              </w:rPr>
              <w:t>的，可以自裁定送达之日起十日内向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上一级人民法院申请复议。为了方便您提出执行复议申请，保护您的合法权利，请您如实填写本表。</w:t>
            </w:r>
          </w:p>
          <w:p w14:paraId="44FDC8ED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申请执行复议时需向人民法院提交以下材料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0E9211EB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本表所涉内容系针对申请执行复议专用，有些内容可能与您的具体申请无关，您认为与申请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00921913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57A7486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BEA175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368259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F8F7C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B925B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9ACA8CC">
            <w:pPr>
              <w:spacing w:line="271" w:lineRule="auto"/>
              <w:rPr>
                <w:rFonts w:ascii="Arial"/>
                <w:sz w:val="21"/>
              </w:rPr>
            </w:pPr>
          </w:p>
          <w:p w14:paraId="69E35234">
            <w:pPr>
              <w:spacing w:line="271" w:lineRule="auto"/>
              <w:rPr>
                <w:rFonts w:ascii="Arial"/>
                <w:sz w:val="21"/>
              </w:rPr>
            </w:pPr>
          </w:p>
          <w:p w14:paraId="55D6506C">
            <w:pPr>
              <w:spacing w:line="271" w:lineRule="auto"/>
              <w:rPr>
                <w:rFonts w:ascii="Arial"/>
                <w:sz w:val="21"/>
              </w:rPr>
            </w:pPr>
          </w:p>
          <w:p w14:paraId="4106D7AD">
            <w:pPr>
              <w:spacing w:line="272" w:lineRule="auto"/>
              <w:rPr>
                <w:rFonts w:ascii="Arial"/>
                <w:sz w:val="21"/>
              </w:rPr>
            </w:pPr>
          </w:p>
          <w:p w14:paraId="7D6E044D">
            <w:pPr>
              <w:spacing w:line="272" w:lineRule="auto"/>
              <w:rPr>
                <w:rFonts w:ascii="Arial"/>
                <w:sz w:val="21"/>
              </w:rPr>
            </w:pPr>
          </w:p>
          <w:p w14:paraId="7402F2E9">
            <w:pPr>
              <w:pStyle w:val="8"/>
              <w:spacing w:before="79" w:line="262" w:lineRule="auto"/>
              <w:ind w:left="651" w:right="656" w:firstLine="18"/>
            </w:pPr>
            <w:r>
              <w:rPr>
                <w:color w:val="231F20"/>
                <w:spacing w:val="-2"/>
              </w:rPr>
              <w:t>复议申请人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6059484">
            <w:pPr>
              <w:pStyle w:val="8"/>
              <w:spacing w:before="93" w:line="173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 w14:paraId="7ACEF1E8">
            <w:pPr>
              <w:pStyle w:val="8"/>
              <w:spacing w:before="47" w:line="262" w:lineRule="auto"/>
              <w:ind w:left="86" w:right="4877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2DD0596">
            <w:pPr>
              <w:pStyle w:val="8"/>
              <w:spacing w:before="6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7D541C7A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       </w:t>
            </w:r>
            <w:r>
              <w:rPr>
                <w:color w:val="231F20"/>
                <w:spacing w:val="-6"/>
              </w:rPr>
              <w:t>民</w:t>
            </w:r>
            <w:r>
              <w:rPr>
                <w:color w:val="231F20"/>
                <w:spacing w:val="-7"/>
              </w:rPr>
              <w:t>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6902E702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321BE8E0">
            <w:pPr>
              <w:pStyle w:val="8"/>
              <w:spacing w:before="41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24D7937B">
            <w:pPr>
              <w:pStyle w:val="8"/>
              <w:spacing w:before="45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5C2F7A4">
            <w:pPr>
              <w:pStyle w:val="8"/>
              <w:spacing w:before="7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93A40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5B9AEF1">
            <w:pPr>
              <w:spacing w:line="284" w:lineRule="auto"/>
              <w:rPr>
                <w:rFonts w:ascii="Arial"/>
                <w:sz w:val="21"/>
              </w:rPr>
            </w:pPr>
          </w:p>
          <w:p w14:paraId="72E39F71">
            <w:pPr>
              <w:spacing w:line="284" w:lineRule="auto"/>
              <w:rPr>
                <w:rFonts w:ascii="Arial"/>
                <w:sz w:val="21"/>
              </w:rPr>
            </w:pPr>
          </w:p>
          <w:p w14:paraId="7E421486">
            <w:pPr>
              <w:spacing w:line="284" w:lineRule="auto"/>
              <w:rPr>
                <w:rFonts w:ascii="Arial"/>
                <w:sz w:val="21"/>
              </w:rPr>
            </w:pPr>
          </w:p>
          <w:p w14:paraId="7AE86936">
            <w:pPr>
              <w:pStyle w:val="8"/>
              <w:spacing w:before="78" w:line="210" w:lineRule="auto"/>
              <w:ind w:left="669"/>
            </w:pPr>
            <w:r>
              <w:rPr>
                <w:color w:val="231F20"/>
                <w:spacing w:val="-2"/>
              </w:rPr>
              <w:t>复议申请人</w:t>
            </w:r>
          </w:p>
          <w:p w14:paraId="614ADE0C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2220BE2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065B7727">
            <w:pPr>
              <w:pStyle w:val="8"/>
              <w:spacing w:before="66" w:line="259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4ECDCAE7">
            <w:pPr>
              <w:pStyle w:val="8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B1F78D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  <w:p w14:paraId="4DE75F78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849BBCD">
      <w:pPr>
        <w:pStyle w:val="3"/>
      </w:pPr>
    </w:p>
    <w:p w14:paraId="07349B4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9A9B52E">
      <w:pPr>
        <w:spacing w:before="41"/>
      </w:pPr>
    </w:p>
    <w:p w14:paraId="4BCF7147">
      <w:pPr>
        <w:spacing w:before="41"/>
      </w:pPr>
    </w:p>
    <w:p w14:paraId="10F7FACB">
      <w:pPr>
        <w:spacing w:before="41"/>
      </w:pPr>
    </w:p>
    <w:p w14:paraId="1BD082C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216CC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0F70A01">
            <w:pPr>
              <w:spacing w:line="340" w:lineRule="auto"/>
              <w:rPr>
                <w:rFonts w:ascii="Arial"/>
                <w:sz w:val="21"/>
              </w:rPr>
            </w:pPr>
          </w:p>
          <w:p w14:paraId="3F9A22CA">
            <w:pPr>
              <w:spacing w:line="341" w:lineRule="auto"/>
              <w:rPr>
                <w:rFonts w:ascii="Arial"/>
                <w:sz w:val="21"/>
              </w:rPr>
            </w:pPr>
          </w:p>
          <w:p w14:paraId="202ADA1C">
            <w:pPr>
              <w:pStyle w:val="8"/>
              <w:spacing w:before="79" w:line="210" w:lineRule="auto"/>
              <w:ind w:left="669"/>
            </w:pPr>
            <w:r>
              <w:rPr>
                <w:color w:val="231F20"/>
                <w:spacing w:val="-2"/>
              </w:rPr>
              <w:t>复议申请人</w:t>
            </w:r>
          </w:p>
          <w:p w14:paraId="7FE13DE5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528F2DC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3D95DE03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0917FDA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34A1145">
            <w:pPr>
              <w:pStyle w:val="8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5ED9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7EB0851">
            <w:pPr>
              <w:spacing w:line="283" w:lineRule="auto"/>
              <w:rPr>
                <w:rFonts w:ascii="Arial"/>
                <w:sz w:val="21"/>
              </w:rPr>
            </w:pPr>
          </w:p>
          <w:p w14:paraId="768C53D6">
            <w:pPr>
              <w:spacing w:line="283" w:lineRule="auto"/>
              <w:rPr>
                <w:rFonts w:ascii="Arial"/>
                <w:sz w:val="21"/>
              </w:rPr>
            </w:pPr>
          </w:p>
          <w:p w14:paraId="42CEEEFC">
            <w:pPr>
              <w:spacing w:line="284" w:lineRule="auto"/>
              <w:rPr>
                <w:rFonts w:ascii="Arial"/>
                <w:sz w:val="21"/>
              </w:rPr>
            </w:pPr>
          </w:p>
          <w:p w14:paraId="6CE6F17B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C94D973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5EC5B88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D21F3C6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2315FF35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0FB0A55">
            <w:pPr>
              <w:pStyle w:val="8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E7691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C48EE34">
            <w:pPr>
              <w:spacing w:line="271" w:lineRule="auto"/>
              <w:rPr>
                <w:rFonts w:ascii="Arial"/>
                <w:sz w:val="21"/>
              </w:rPr>
            </w:pPr>
          </w:p>
          <w:p w14:paraId="5415FC4F">
            <w:pPr>
              <w:spacing w:line="271" w:lineRule="auto"/>
              <w:rPr>
                <w:rFonts w:ascii="Arial"/>
                <w:sz w:val="21"/>
              </w:rPr>
            </w:pPr>
          </w:p>
          <w:p w14:paraId="424CA428">
            <w:pPr>
              <w:spacing w:line="271" w:lineRule="auto"/>
              <w:rPr>
                <w:rFonts w:ascii="Arial"/>
                <w:sz w:val="21"/>
              </w:rPr>
            </w:pPr>
          </w:p>
          <w:p w14:paraId="6E09239B">
            <w:pPr>
              <w:spacing w:line="272" w:lineRule="auto"/>
              <w:rPr>
                <w:rFonts w:ascii="Arial"/>
                <w:sz w:val="21"/>
              </w:rPr>
            </w:pPr>
          </w:p>
          <w:p w14:paraId="34693213">
            <w:pPr>
              <w:spacing w:line="272" w:lineRule="auto"/>
              <w:rPr>
                <w:rFonts w:ascii="Arial"/>
                <w:sz w:val="21"/>
              </w:rPr>
            </w:pPr>
          </w:p>
          <w:p w14:paraId="5351704C">
            <w:pPr>
              <w:pStyle w:val="8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33D55C8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0DDBC1FC">
            <w:pPr>
              <w:pStyle w:val="8"/>
              <w:spacing w:before="65" w:line="261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1F09C0D8">
            <w:pPr>
              <w:pStyle w:val="8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165CF586">
            <w:pPr>
              <w:pStyle w:val="8"/>
              <w:spacing w:before="62"/>
              <w:ind w:left="100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DE9DD89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1DF59AA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D41030B">
            <w:pPr>
              <w:pStyle w:val="8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60FB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B068707">
            <w:pPr>
              <w:spacing w:line="254" w:lineRule="auto"/>
              <w:rPr>
                <w:rFonts w:ascii="Arial"/>
                <w:sz w:val="21"/>
              </w:rPr>
            </w:pPr>
          </w:p>
          <w:p w14:paraId="23DC78B4">
            <w:pPr>
              <w:spacing w:line="254" w:lineRule="auto"/>
              <w:rPr>
                <w:rFonts w:ascii="Arial"/>
                <w:sz w:val="21"/>
              </w:rPr>
            </w:pPr>
          </w:p>
          <w:p w14:paraId="0E2A6EB4">
            <w:pPr>
              <w:spacing w:line="254" w:lineRule="auto"/>
              <w:rPr>
                <w:rFonts w:ascii="Arial"/>
                <w:sz w:val="21"/>
              </w:rPr>
            </w:pPr>
          </w:p>
          <w:p w14:paraId="41EAD14D">
            <w:pPr>
              <w:spacing w:line="254" w:lineRule="auto"/>
              <w:rPr>
                <w:rFonts w:ascii="Arial"/>
                <w:sz w:val="21"/>
              </w:rPr>
            </w:pPr>
          </w:p>
          <w:p w14:paraId="7F16DC71">
            <w:pPr>
              <w:spacing w:line="254" w:lineRule="auto"/>
              <w:rPr>
                <w:rFonts w:ascii="Arial"/>
                <w:sz w:val="21"/>
              </w:rPr>
            </w:pPr>
          </w:p>
          <w:p w14:paraId="21426D01">
            <w:pPr>
              <w:spacing w:line="255" w:lineRule="auto"/>
              <w:rPr>
                <w:rFonts w:ascii="Arial"/>
                <w:sz w:val="21"/>
              </w:rPr>
            </w:pPr>
          </w:p>
          <w:p w14:paraId="7376A573">
            <w:pPr>
              <w:spacing w:line="255" w:lineRule="auto"/>
              <w:rPr>
                <w:rFonts w:ascii="Arial"/>
                <w:sz w:val="21"/>
              </w:rPr>
            </w:pPr>
          </w:p>
          <w:p w14:paraId="0B90B663">
            <w:pPr>
              <w:spacing w:line="255" w:lineRule="auto"/>
              <w:rPr>
                <w:rFonts w:ascii="Arial"/>
                <w:sz w:val="21"/>
              </w:rPr>
            </w:pPr>
          </w:p>
          <w:p w14:paraId="6CC05555">
            <w:pPr>
              <w:pStyle w:val="8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 w14:paraId="2CC021B1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9D24979">
            <w:pPr>
              <w:pStyle w:val="8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 w14:paraId="775EF460">
            <w:pPr>
              <w:pStyle w:val="8"/>
              <w:spacing w:before="42" w:line="209" w:lineRule="auto"/>
              <w:ind w:left="714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 w14:paraId="1FEDEE05">
            <w:pPr>
              <w:pStyle w:val="8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2AB753CB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4AF4D73B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 w14:paraId="186B6484">
            <w:pPr>
              <w:pStyle w:val="8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1B7BF145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01E8E5C1">
            <w:pPr>
              <w:pStyle w:val="8"/>
              <w:spacing w:before="78" w:line="236" w:lineRule="auto"/>
              <w:ind w:left="715" w:right="1202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8F1A788">
            <w:pPr>
              <w:pStyle w:val="8"/>
              <w:spacing w:before="5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0668799">
            <w:pPr>
              <w:pStyle w:val="8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D4FA8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462EB6A">
            <w:pPr>
              <w:pStyle w:val="8"/>
              <w:spacing w:before="90" w:line="207" w:lineRule="auto"/>
              <w:ind w:left="770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6FE54E4"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（2024）黔 01 执异  ×× 号</w:t>
            </w:r>
          </w:p>
        </w:tc>
      </w:tr>
      <w:tr w14:paraId="4ED40D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C60F1C3">
            <w:pPr>
              <w:pStyle w:val="8"/>
              <w:spacing w:before="89" w:line="208" w:lineRule="auto"/>
              <w:ind w:left="768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5051EBA">
            <w:pPr>
              <w:pStyle w:val="8"/>
              <w:spacing w:before="89" w:line="208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2024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12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 w14:paraId="074528D3">
      <w:pPr>
        <w:pStyle w:val="3"/>
      </w:pPr>
    </w:p>
    <w:p w14:paraId="7E21B2D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B44659">
      <w:pPr>
        <w:spacing w:before="41"/>
      </w:pPr>
    </w:p>
    <w:p w14:paraId="5E309E89">
      <w:pPr>
        <w:spacing w:before="41"/>
      </w:pPr>
    </w:p>
    <w:p w14:paraId="2DB8A93C">
      <w:pPr>
        <w:spacing w:before="41"/>
      </w:pPr>
    </w:p>
    <w:p w14:paraId="5895F1F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0C1E22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D17764">
            <w:pPr>
              <w:spacing w:before="81" w:line="194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复议事项</w:t>
            </w:r>
          </w:p>
        </w:tc>
      </w:tr>
      <w:tr w14:paraId="46DCBD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2289112">
            <w:pPr>
              <w:pStyle w:val="8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C81CA6A">
            <w:pPr>
              <w:pStyle w:val="8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3DF7E5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59E9491">
            <w:pPr>
              <w:pStyle w:val="8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28332C6">
            <w:pPr>
              <w:pStyle w:val="8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 w14:paraId="706ED2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8516AC2">
            <w:pPr>
              <w:spacing w:line="344" w:lineRule="auto"/>
              <w:rPr>
                <w:rFonts w:ascii="Arial"/>
                <w:sz w:val="21"/>
              </w:rPr>
            </w:pPr>
          </w:p>
          <w:p w14:paraId="0F46350D">
            <w:pPr>
              <w:pStyle w:val="8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54F66E0">
            <w:pPr>
              <w:pStyle w:val="8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8EA5044">
            <w:pPr>
              <w:pStyle w:val="8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162AD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BB5AAFB">
            <w:pPr>
              <w:spacing w:line="355" w:lineRule="auto"/>
              <w:rPr>
                <w:rFonts w:ascii="Arial"/>
                <w:sz w:val="21"/>
              </w:rPr>
            </w:pPr>
          </w:p>
          <w:p w14:paraId="7D2B3167">
            <w:pPr>
              <w:pStyle w:val="8"/>
              <w:spacing w:before="79" w:line="208" w:lineRule="auto"/>
              <w:ind w:left="348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9C5DDA2">
            <w:pPr>
              <w:pStyle w:val="8"/>
              <w:spacing w:before="95" w:line="172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冻结监管账户（专用账户）□    超标的查、扣、冻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464F2F05">
            <w:pPr>
              <w:pStyle w:val="8"/>
              <w:spacing w:before="47" w:line="209" w:lineRule="auto"/>
              <w:ind w:left="83"/>
            </w:pPr>
            <w:r>
              <w:rPr>
                <w:color w:val="231F20"/>
              </w:rPr>
              <w:t>查、扣、冻案外人财产□    不存在到期债权或数额错误□</w:t>
            </w:r>
          </w:p>
          <w:p w14:paraId="66C68FE1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已履行完毕，不应再对异议人采取执行措施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  </w:t>
            </w:r>
          </w:p>
        </w:tc>
      </w:tr>
      <w:tr w14:paraId="59DE06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EEC2553">
            <w:pPr>
              <w:pStyle w:val="8"/>
              <w:spacing w:before="256" w:line="262" w:lineRule="auto"/>
              <w:ind w:left="871" w:right="213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952F1A7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70055652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5BFBF8D3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 w14:paraId="652A25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BB3C60E">
            <w:pPr>
              <w:pStyle w:val="8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A7C9D82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</w:t>
            </w:r>
          </w:p>
          <w:p w14:paraId="4BF76FBC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615EA7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E7E9957">
            <w:pPr>
              <w:pStyle w:val="8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ECEF6C5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1CAE8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C930EDA">
            <w:pPr>
              <w:pStyle w:val="8"/>
              <w:spacing w:before="261" w:line="207" w:lineRule="auto"/>
              <w:ind w:left="662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FC7D989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3F7B3927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287D3A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9B0C2F4">
            <w:pPr>
              <w:pStyle w:val="8"/>
              <w:spacing w:before="260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5D5F3A3">
            <w:pPr>
              <w:pStyle w:val="8"/>
              <w:spacing w:before="89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669EE79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32E41C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3AD8A45">
            <w:pPr>
              <w:pStyle w:val="8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99E1E26">
            <w:pPr>
              <w:rPr>
                <w:rFonts w:ascii="Arial"/>
                <w:sz w:val="21"/>
              </w:rPr>
            </w:pPr>
          </w:p>
        </w:tc>
      </w:tr>
      <w:tr w14:paraId="49BF31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2AFC1B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复议请求</w:t>
            </w:r>
          </w:p>
        </w:tc>
      </w:tr>
      <w:tr w14:paraId="32A5C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DCEF4C">
            <w:pPr>
              <w:spacing w:before="86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撤销（2024）黔 01 执异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号执行裁定；</w:t>
            </w:r>
          </w:p>
          <w:p w14:paraId="60638552">
            <w:pPr>
              <w:spacing w:before="61" w:line="250" w:lineRule="auto"/>
              <w:ind w:left="84" w:right="80" w:firstLine="4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 立即中止对复议申请人的错误执行措施，发还贵阳中院于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日错误扣划的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存款 260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万元。</w:t>
            </w:r>
          </w:p>
        </w:tc>
      </w:tr>
      <w:tr w14:paraId="4A7684A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6A641E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4B4F7D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959760">
            <w:pPr>
              <w:spacing w:before="87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 w14:paraId="6519A184"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 w14:paraId="6497BB21"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  <w:p w14:paraId="1FFE1349">
            <w:pPr>
              <w:spacing w:before="64" w:line="224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4.（2024）黔 01 执异  ×× 号执行裁定遗漏申请人的异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议理由。</w:t>
            </w:r>
          </w:p>
        </w:tc>
      </w:tr>
      <w:tr w14:paraId="57950D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A4068D">
            <w:pPr>
              <w:spacing w:before="94" w:line="190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15DD76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CEAFBE">
            <w:pPr>
              <w:spacing w:line="352" w:lineRule="auto"/>
              <w:rPr>
                <w:rFonts w:ascii="Arial"/>
                <w:sz w:val="21"/>
              </w:rPr>
            </w:pPr>
          </w:p>
          <w:p w14:paraId="2A168544">
            <w:pPr>
              <w:spacing w:before="7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《执行和解协议》</w:t>
            </w:r>
          </w:p>
        </w:tc>
      </w:tr>
    </w:tbl>
    <w:p w14:paraId="173FC2AE"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EEFBBB2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AE8557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DD3C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D5F4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E7606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06FF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39F3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F7DB5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4BC0283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D2DA1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7018579102CC40B9AE644A69812E3240_13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