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0B77" w:rsidRDefault="0041638F">
      <w:pPr>
        <w:spacing w:before="300" w:after="60"/>
        <w:jc w:val="center"/>
      </w:pPr>
      <w:r>
        <w:rPr>
          <w:b/>
          <w:bCs/>
          <w:sz w:val="30"/>
          <w:szCs w:val="30"/>
        </w:rPr>
        <w:t>Universidad Autónoma del Estado de México</w:t>
      </w:r>
    </w:p>
    <w:p w:rsidR="00600B77" w:rsidRDefault="0041638F">
      <w:pPr>
        <w:spacing w:after="60"/>
        <w:jc w:val="center"/>
      </w:pPr>
      <w:r>
        <w:rPr>
          <w:b/>
          <w:bCs/>
          <w:sz w:val="26"/>
          <w:szCs w:val="26"/>
        </w:rPr>
        <w:t>Centro Universitario UAEM Zumpango</w:t>
      </w:r>
    </w:p>
    <w:p w:rsidR="00600B77" w:rsidRDefault="0041638F">
      <w:pPr>
        <w:spacing w:after="60"/>
        <w:jc w:val="center"/>
      </w:pPr>
      <w:r>
        <w:rPr>
          <w:b/>
          <w:bCs/>
          <w:sz w:val="24"/>
          <w:szCs w:val="24"/>
        </w:rPr>
        <w:t>Ingeniería en Computación</w:t>
      </w:r>
    </w:p>
    <w:p w:rsidR="00600B77" w:rsidRDefault="00600B77">
      <w:pPr>
        <w:spacing w:before="100" w:after="100"/>
      </w:pPr>
    </w:p>
    <w:p w:rsidR="00600B77" w:rsidRPr="00C30F8F" w:rsidRDefault="0041638F">
      <w:pPr>
        <w:pBdr>
          <w:top w:val="single" w:sz="8" w:space="4" w:color="2E5496"/>
          <w:bottom w:val="single" w:sz="8" w:space="4" w:color="2E5496"/>
        </w:pBdr>
        <w:spacing w:before="100" w:after="100"/>
        <w:jc w:val="center"/>
        <w:rPr>
          <w:b/>
        </w:rPr>
      </w:pPr>
      <w:r w:rsidRPr="00C30F8F">
        <w:rPr>
          <w:b/>
          <w:bCs/>
          <w:sz w:val="28"/>
          <w:szCs w:val="28"/>
        </w:rPr>
        <w:t>Conjunto de Indicadores de Evaluación para el Laboratorio de Redes de Comunicaciones y Sistemas Distribuidos</w:t>
      </w:r>
    </w:p>
    <w:p w:rsidR="00600B77" w:rsidRDefault="00600B77">
      <w:pPr>
        <w:spacing w:before="100" w:after="100"/>
      </w:pPr>
    </w:p>
    <w:p w:rsidR="00600B77" w:rsidRDefault="0041638F">
      <w:pPr>
        <w:spacing w:before="60" w:after="60"/>
        <w:jc w:val="center"/>
      </w:pPr>
      <w:r>
        <w:rPr>
          <w:color w:val="555555"/>
          <w:sz w:val="22"/>
          <w:szCs w:val="22"/>
        </w:rPr>
        <w:t>Rehabilitación y Mantenimiento del Laboratorio</w:t>
      </w:r>
    </w:p>
    <w:p w:rsidR="00600B77" w:rsidRDefault="0041638F">
      <w:pPr>
        <w:spacing w:before="200" w:after="600"/>
        <w:jc w:val="center"/>
      </w:pPr>
      <w:r>
        <w:rPr>
          <w:color w:val="777777"/>
          <w:sz w:val="22"/>
          <w:szCs w:val="22"/>
        </w:rPr>
        <w:t>2025</w:t>
      </w:r>
    </w:p>
    <w:p w:rsidR="00600B77" w:rsidRDefault="0041638F">
      <w:pPr>
        <w:pStyle w:val="Ttulo1"/>
        <w:numPr>
          <w:ilvl w:val="0"/>
          <w:numId w:val="1"/>
        </w:numPr>
        <w:spacing w:after="120"/>
        <w:rPr>
          <w:color w:val="000000"/>
        </w:rPr>
      </w:pPr>
      <w:r>
        <w:rPr>
          <w:color w:val="000000"/>
        </w:rPr>
        <w:t>Conjunto de Indicadores de Evaluación</w:t>
      </w:r>
    </w:p>
    <w:p w:rsidR="00600B77" w:rsidRDefault="0041638F">
      <w:pPr>
        <w:spacing w:before="80" w:after="80"/>
      </w:pPr>
      <w:r>
        <w:rPr>
          <w:color w:val="000000"/>
        </w:rPr>
        <w:t xml:space="preserve">A </w:t>
      </w:r>
      <w:r w:rsidR="00C30F8F">
        <w:rPr>
          <w:color w:val="000000"/>
        </w:rPr>
        <w:t>continuación,</w:t>
      </w:r>
      <w:r>
        <w:rPr>
          <w:color w:val="000000"/>
        </w:rPr>
        <w:t xml:space="preserve"> se presentan los ocho indicadores diseñados para el laboratorio, organizados por área de evaluación. Cada uno incluye su descripción, fórmula de cálculo, frecuencia de medición, meta esperada y su contribución a la gestión preventiva.</w:t>
      </w:r>
    </w:p>
    <w:p w:rsidR="00600B77" w:rsidRDefault="00600B77">
      <w:pPr>
        <w:spacing w:before="100" w:after="100"/>
      </w:pPr>
    </w:p>
    <w:p w:rsidR="00600B77" w:rsidRDefault="0041638F">
      <w:pPr>
        <w:pStyle w:val="Ttulo2"/>
        <w:rPr>
          <w:color w:val="000000"/>
        </w:rPr>
      </w:pPr>
      <w:r>
        <w:rPr>
          <w:color w:val="000000"/>
        </w:rPr>
        <w:t>Indicador 1: Tasa de Disponibilidad de Equipos</w:t>
      </w:r>
    </w:p>
    <w:tbl>
      <w:tblPr>
        <w:tblStyle w:val="a"/>
        <w:tblW w:w="9026" w:type="dxa"/>
        <w:tblInd w:w="0" w:type="dxa"/>
        <w:tblLayout w:type="fixed"/>
        <w:tblLook w:val="0000" w:firstRow="0" w:lastRow="0" w:firstColumn="0" w:lastColumn="0" w:noHBand="0" w:noVBand="0"/>
      </w:tblPr>
      <w:tblGrid>
        <w:gridCol w:w="2500"/>
        <w:gridCol w:w="6526"/>
      </w:tblGrid>
      <w:tr w:rsidR="00600B77">
        <w:tc>
          <w:tcPr>
            <w:tcW w:w="2500"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Indicador</w:t>
            </w:r>
          </w:p>
        </w:tc>
        <w:tc>
          <w:tcPr>
            <w:tcW w:w="6526"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Tasa de Disponibilidad de Equipos</w:t>
            </w:r>
          </w:p>
        </w:tc>
      </w:tr>
      <w:tr w:rsidR="00600B77" w:rsidTr="00C30F8F">
        <w:tc>
          <w:tcPr>
            <w:tcW w:w="2500" w:type="dxa"/>
            <w:tcBorders>
              <w:top w:val="single" w:sz="4" w:space="0" w:color="38761D"/>
              <w:left w:val="single" w:sz="4" w:space="0" w:color="38761D"/>
              <w:bottom w:val="single" w:sz="4" w:space="0" w:color="38761D"/>
              <w:right w:val="single" w:sz="4" w:space="0" w:color="38761D"/>
            </w:tcBorders>
            <w:shd w:val="clear" w:color="auto" w:fill="D6E3BC" w:themeFill="accent3" w:themeFillTint="66"/>
            <w:tcMar>
              <w:top w:w="80" w:type="dxa"/>
              <w:left w:w="120" w:type="dxa"/>
              <w:bottom w:w="80" w:type="dxa"/>
              <w:right w:w="120" w:type="dxa"/>
            </w:tcMar>
          </w:tcPr>
          <w:p w:rsidR="00600B77" w:rsidRDefault="0041638F">
            <w:r>
              <w:rPr>
                <w:b/>
                <w:bCs/>
                <w:color w:val="1F3864"/>
                <w:sz w:val="18"/>
                <w:szCs w:val="18"/>
              </w:rPr>
              <w:t>Área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Infraestructura física y tecnológica</w:t>
            </w:r>
          </w:p>
        </w:tc>
      </w:tr>
      <w:tr w:rsidR="00600B77" w:rsidTr="00C30F8F">
        <w:tc>
          <w:tcPr>
            <w:tcW w:w="2500" w:type="dxa"/>
            <w:tcBorders>
              <w:top w:val="single" w:sz="4" w:space="0" w:color="38761D"/>
              <w:left w:val="single" w:sz="4" w:space="0" w:color="38761D"/>
              <w:bottom w:val="single" w:sz="4" w:space="0" w:color="38761D"/>
              <w:right w:val="single" w:sz="4" w:space="0" w:color="38761D"/>
            </w:tcBorders>
            <w:shd w:val="clear" w:color="auto" w:fill="D6E3BC" w:themeFill="accent3" w:themeFillTint="66"/>
            <w:tcMar>
              <w:top w:w="80" w:type="dxa"/>
              <w:left w:w="120" w:type="dxa"/>
              <w:bottom w:w="80" w:type="dxa"/>
              <w:right w:w="120" w:type="dxa"/>
            </w:tcMar>
          </w:tcPr>
          <w:p w:rsidR="00600B77" w:rsidRDefault="0041638F">
            <w:r>
              <w:rPr>
                <w:b/>
                <w:bCs/>
                <w:color w:val="1F3864"/>
                <w:sz w:val="18"/>
                <w:szCs w:val="18"/>
              </w:rPr>
              <w:t>Descripción</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Mide el porcentaje de equipos de cómputo en condiciones óptimas de funcionamiento respecto al total de equipos instalados en el laboratorio.</w:t>
            </w:r>
          </w:p>
        </w:tc>
      </w:tr>
      <w:tr w:rsidR="00600B77" w:rsidTr="00C30F8F">
        <w:tc>
          <w:tcPr>
            <w:tcW w:w="2500" w:type="dxa"/>
            <w:tcBorders>
              <w:top w:val="single" w:sz="4" w:space="0" w:color="38761D"/>
              <w:left w:val="single" w:sz="4" w:space="0" w:color="38761D"/>
              <w:bottom w:val="single" w:sz="4" w:space="0" w:color="38761D"/>
              <w:right w:val="single" w:sz="4" w:space="0" w:color="38761D"/>
            </w:tcBorders>
            <w:shd w:val="clear" w:color="auto" w:fill="D6E3BC" w:themeFill="accent3" w:themeFillTint="66"/>
            <w:tcMar>
              <w:top w:w="80" w:type="dxa"/>
              <w:left w:w="120" w:type="dxa"/>
              <w:bottom w:w="80" w:type="dxa"/>
              <w:right w:w="120" w:type="dxa"/>
            </w:tcMar>
          </w:tcPr>
          <w:p w:rsidR="00600B77" w:rsidRDefault="0041638F">
            <w:r>
              <w:rPr>
                <w:b/>
                <w:bCs/>
                <w:color w:val="1F3864"/>
                <w:sz w:val="18"/>
                <w:szCs w:val="18"/>
              </w:rPr>
              <w:t>Fórmula</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(Número de equipos operativos / Total de equipos instalados) × 100</w:t>
            </w:r>
          </w:p>
        </w:tc>
      </w:tr>
      <w:tr w:rsidR="00600B77" w:rsidTr="00C30F8F">
        <w:tc>
          <w:tcPr>
            <w:tcW w:w="2500" w:type="dxa"/>
            <w:tcBorders>
              <w:top w:val="single" w:sz="4" w:space="0" w:color="38761D"/>
              <w:left w:val="single" w:sz="4" w:space="0" w:color="38761D"/>
              <w:bottom w:val="single" w:sz="4" w:space="0" w:color="38761D"/>
              <w:right w:val="single" w:sz="4" w:space="0" w:color="38761D"/>
            </w:tcBorders>
            <w:shd w:val="clear" w:color="auto" w:fill="D6E3BC" w:themeFill="accent3" w:themeFillTint="66"/>
            <w:tcMar>
              <w:top w:w="80" w:type="dxa"/>
              <w:left w:w="120" w:type="dxa"/>
              <w:bottom w:w="80" w:type="dxa"/>
              <w:right w:w="120" w:type="dxa"/>
            </w:tcMar>
          </w:tcPr>
          <w:p w:rsidR="00600B77" w:rsidRDefault="0041638F">
            <w:r>
              <w:rPr>
                <w:b/>
                <w:bCs/>
                <w:color w:val="1F3864"/>
                <w:sz w:val="18"/>
                <w:szCs w:val="18"/>
              </w:rPr>
              <w:t>Unidad</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Porcentaje (%)</w:t>
            </w:r>
          </w:p>
        </w:tc>
      </w:tr>
      <w:tr w:rsidR="00600B77" w:rsidTr="00C30F8F">
        <w:tc>
          <w:tcPr>
            <w:tcW w:w="2500" w:type="dxa"/>
            <w:tcBorders>
              <w:top w:val="single" w:sz="4" w:space="0" w:color="38761D"/>
              <w:left w:val="single" w:sz="4" w:space="0" w:color="38761D"/>
              <w:bottom w:val="single" w:sz="4" w:space="0" w:color="38761D"/>
              <w:right w:val="single" w:sz="4" w:space="0" w:color="38761D"/>
            </w:tcBorders>
            <w:shd w:val="clear" w:color="auto" w:fill="D6E3BC" w:themeFill="accent3" w:themeFillTint="66"/>
            <w:tcMar>
              <w:top w:w="80" w:type="dxa"/>
              <w:left w:w="120" w:type="dxa"/>
              <w:bottom w:w="80" w:type="dxa"/>
              <w:right w:w="120" w:type="dxa"/>
            </w:tcMar>
          </w:tcPr>
          <w:p w:rsidR="00600B77" w:rsidRDefault="0041638F">
            <w:r>
              <w:rPr>
                <w:b/>
                <w:bCs/>
                <w:color w:val="1F3864"/>
                <w:sz w:val="18"/>
                <w:szCs w:val="18"/>
              </w:rPr>
              <w:t>Frecuencia de medición</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Al inicio de cada semestre y después de cada mantenimiento preventivo.</w:t>
            </w:r>
          </w:p>
        </w:tc>
      </w:tr>
      <w:tr w:rsidR="00600B77" w:rsidTr="00C30F8F">
        <w:tc>
          <w:tcPr>
            <w:tcW w:w="2500" w:type="dxa"/>
            <w:tcBorders>
              <w:top w:val="single" w:sz="4" w:space="0" w:color="38761D"/>
              <w:left w:val="single" w:sz="4" w:space="0" w:color="38761D"/>
              <w:bottom w:val="single" w:sz="4" w:space="0" w:color="38761D"/>
              <w:right w:val="single" w:sz="4" w:space="0" w:color="38761D"/>
            </w:tcBorders>
            <w:shd w:val="clear" w:color="auto" w:fill="D6E3BC" w:themeFill="accent3" w:themeFillTint="66"/>
            <w:tcMar>
              <w:top w:w="80" w:type="dxa"/>
              <w:left w:w="120" w:type="dxa"/>
              <w:bottom w:w="80" w:type="dxa"/>
              <w:right w:w="120" w:type="dxa"/>
            </w:tcMar>
          </w:tcPr>
          <w:p w:rsidR="00600B77" w:rsidRDefault="0041638F">
            <w:r>
              <w:rPr>
                <w:b/>
                <w:bCs/>
                <w:color w:val="1F3864"/>
                <w:sz w:val="18"/>
                <w:szCs w:val="18"/>
              </w:rPr>
              <w:t>Meta esperada</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rFonts w:ascii="Arial Unicode MS" w:eastAsia="Arial Unicode MS" w:hAnsi="Arial Unicode MS" w:cs="Arial Unicode MS"/>
                <w:color w:val="000000"/>
                <w:sz w:val="18"/>
                <w:szCs w:val="18"/>
              </w:rPr>
              <w:t>≥ 90% de los equipos en condiciones óptimas.</w:t>
            </w:r>
          </w:p>
        </w:tc>
      </w:tr>
      <w:tr w:rsidR="00600B77" w:rsidTr="00C30F8F">
        <w:tc>
          <w:tcPr>
            <w:tcW w:w="2500" w:type="dxa"/>
            <w:tcBorders>
              <w:top w:val="single" w:sz="4" w:space="0" w:color="38761D"/>
              <w:left w:val="single" w:sz="4" w:space="0" w:color="38761D"/>
              <w:bottom w:val="single" w:sz="4" w:space="0" w:color="38761D"/>
              <w:right w:val="single" w:sz="4" w:space="0" w:color="38761D"/>
            </w:tcBorders>
            <w:shd w:val="clear" w:color="auto" w:fill="D6E3BC" w:themeFill="accent3" w:themeFillTint="66"/>
            <w:tcMar>
              <w:top w:w="80" w:type="dxa"/>
              <w:left w:w="120" w:type="dxa"/>
              <w:bottom w:w="80" w:type="dxa"/>
              <w:right w:w="120" w:type="dxa"/>
            </w:tcMar>
          </w:tcPr>
          <w:p w:rsidR="00600B77" w:rsidRDefault="0041638F">
            <w:r>
              <w:rPr>
                <w:b/>
                <w:bCs/>
                <w:color w:val="1F3864"/>
                <w:sz w:val="18"/>
                <w:szCs w:val="18"/>
              </w:rPr>
              <w:t>Fuente de datos</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Inventario físico del laboratorio y reportes de la persona responsable.</w:t>
            </w:r>
          </w:p>
        </w:tc>
      </w:tr>
      <w:tr w:rsidR="00600B77" w:rsidTr="00C30F8F">
        <w:tc>
          <w:tcPr>
            <w:tcW w:w="2500" w:type="dxa"/>
            <w:tcBorders>
              <w:top w:val="single" w:sz="4" w:space="0" w:color="38761D"/>
              <w:left w:val="single" w:sz="4" w:space="0" w:color="38761D"/>
              <w:bottom w:val="single" w:sz="4" w:space="0" w:color="38761D"/>
              <w:right w:val="single" w:sz="4" w:space="0" w:color="38761D"/>
            </w:tcBorders>
            <w:shd w:val="clear" w:color="auto" w:fill="D6E3BC" w:themeFill="accent3" w:themeFillTint="66"/>
            <w:tcMar>
              <w:top w:w="80" w:type="dxa"/>
              <w:left w:w="120" w:type="dxa"/>
              <w:bottom w:w="80" w:type="dxa"/>
              <w:right w:w="120" w:type="dxa"/>
            </w:tcMar>
          </w:tcPr>
          <w:p w:rsidR="00600B77" w:rsidRDefault="0041638F">
            <w:r>
              <w:rPr>
                <w:b/>
                <w:bCs/>
                <w:color w:val="1F3864"/>
                <w:sz w:val="18"/>
                <w:szCs w:val="18"/>
              </w:rPr>
              <w:t>Responsable</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Persona responsable del laboratorio / área de mantenimiento.</w:t>
            </w:r>
          </w:p>
        </w:tc>
      </w:tr>
    </w:tbl>
    <w:p w:rsidR="00600B77" w:rsidRDefault="00600B77">
      <w:pPr>
        <w:spacing w:before="100" w:after="100"/>
      </w:pPr>
    </w:p>
    <w:p w:rsidR="00600B77" w:rsidRDefault="0041638F">
      <w:pPr>
        <w:pStyle w:val="Ttulo3"/>
        <w:spacing w:before="300" w:after="120"/>
        <w:rPr>
          <w:color w:val="000000"/>
        </w:rPr>
      </w:pPr>
      <w:r>
        <w:rPr>
          <w:color w:val="000000"/>
        </w:rPr>
        <w:t>Contribución a la gestión preventiva y estratégica</w:t>
      </w:r>
    </w:p>
    <w:p w:rsidR="00600B77" w:rsidRDefault="0041638F">
      <w:pPr>
        <w:spacing w:before="80" w:after="80"/>
      </w:pPr>
      <w:r>
        <w:rPr>
          <w:color w:val="000000"/>
        </w:rPr>
        <w:t>Este indicador permite identificar de forma temprana cuántos equipos se encuentran fuera de servicio o en condiciones deficientes antes de que impacten el desarrollo de las prácticas académicas. Una tasa baja es señal de alerta para programar mantenimiento correctivo o gestionar la reposición de equipos ante las autoridades universitarias, evitando la reactividad. Con datos históricos, es posible proyectar cuándo ciertos equipos requerirán sustitución.</w:t>
      </w:r>
    </w:p>
    <w:p w:rsidR="00600B77" w:rsidRDefault="00600B77">
      <w:pPr>
        <w:spacing w:before="100" w:after="100"/>
      </w:pPr>
    </w:p>
    <w:p w:rsidR="00600B77" w:rsidRDefault="0041638F">
      <w:pPr>
        <w:pStyle w:val="Ttulo2"/>
        <w:rPr>
          <w:color w:val="000000"/>
        </w:rPr>
      </w:pPr>
      <w:r>
        <w:rPr>
          <w:color w:val="000000"/>
        </w:rPr>
        <w:t>Indicador 2: Tiempo Promedio de Resolución de Fallas</w:t>
      </w:r>
    </w:p>
    <w:tbl>
      <w:tblPr>
        <w:tblStyle w:val="a0"/>
        <w:tblW w:w="9026" w:type="dxa"/>
        <w:tblInd w:w="0" w:type="dxa"/>
        <w:tblLayout w:type="fixed"/>
        <w:tblLook w:val="0000" w:firstRow="0" w:lastRow="0" w:firstColumn="0" w:lastColumn="0" w:noHBand="0" w:noVBand="0"/>
      </w:tblPr>
      <w:tblGrid>
        <w:gridCol w:w="2500"/>
        <w:gridCol w:w="6526"/>
      </w:tblGrid>
      <w:tr w:rsidR="00600B77">
        <w:tc>
          <w:tcPr>
            <w:tcW w:w="2500"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Indicador</w:t>
            </w:r>
          </w:p>
        </w:tc>
        <w:tc>
          <w:tcPr>
            <w:tcW w:w="6526"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Tiempo Promedio de Resolución de Fallas</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Área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Mantenimiento y respuesta operativa</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lastRenderedPageBreak/>
              <w:t>Descripción</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Mide el tiempo promedio que transcurre desde que se reporta una falla (equipo, red, software o mobiliario) hasta que queda resuelta y el recurso vuelve a estar disponible.</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Fórmula</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Suma del tiempo de resolución de todas las fallas / Número total de fallas registradas en el periodo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Unidad</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Días hábiles</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Frecuencia de medición</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Mensual.</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Meta esperada</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rFonts w:ascii="Arial Unicode MS" w:eastAsia="Arial Unicode MS" w:hAnsi="Arial Unicode MS" w:cs="Arial Unicode MS"/>
                <w:color w:val="000000"/>
                <w:sz w:val="18"/>
                <w:szCs w:val="18"/>
              </w:rPr>
              <w:t>≤ 3 días hábiles por falla.</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Fuente de datos</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Bitácora de reportes de fallas y órdenes de mantenimiento.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Responsable</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Persona responsable del laboratorio.</w:t>
            </w:r>
          </w:p>
        </w:tc>
      </w:tr>
    </w:tbl>
    <w:p w:rsidR="00600B77" w:rsidRDefault="00600B77">
      <w:pPr>
        <w:spacing w:before="100" w:after="100"/>
      </w:pPr>
    </w:p>
    <w:p w:rsidR="00600B77" w:rsidRDefault="0041638F">
      <w:pPr>
        <w:pStyle w:val="Ttulo3"/>
        <w:spacing w:before="300" w:after="120"/>
        <w:rPr>
          <w:color w:val="000000"/>
        </w:rPr>
      </w:pPr>
      <w:r>
        <w:rPr>
          <w:color w:val="000000"/>
        </w:rPr>
        <w:t>Contribución a la gestión preventiva y estratégica</w:t>
      </w:r>
    </w:p>
    <w:p w:rsidR="00600B77" w:rsidRDefault="0041638F">
      <w:pPr>
        <w:spacing w:before="80" w:after="80"/>
      </w:pPr>
      <w:r>
        <w:rPr>
          <w:color w:val="000000"/>
        </w:rPr>
        <w:t>Un tiempo de resolución elevado indica problemas en el proceso de atención, ya sea por falta de refacciones, de personal especializado o de procedimientos claros. Monitorear este indicador permite establecer protocolos de atención más ágiles, asignar presupuesto para refacciones de uso frecuente y reducir el impacto de las fallas sobre las sesiones académicas.</w:t>
      </w:r>
    </w:p>
    <w:p w:rsidR="00600B77" w:rsidRDefault="00600B77">
      <w:pPr>
        <w:spacing w:before="100" w:after="100"/>
      </w:pPr>
    </w:p>
    <w:p w:rsidR="00600B77" w:rsidRDefault="0041638F">
      <w:pPr>
        <w:pStyle w:val="Ttulo2"/>
        <w:rPr>
          <w:color w:val="000000"/>
        </w:rPr>
      </w:pPr>
      <w:r>
        <w:rPr>
          <w:color w:val="000000"/>
        </w:rPr>
        <w:t>Indicador 3: Frecuencia de Mantenimiento Preventivo Realizado</w:t>
      </w:r>
    </w:p>
    <w:tbl>
      <w:tblPr>
        <w:tblStyle w:val="a1"/>
        <w:tblW w:w="9026" w:type="dxa"/>
        <w:tblInd w:w="0" w:type="dxa"/>
        <w:tblLayout w:type="fixed"/>
        <w:tblLook w:val="0000" w:firstRow="0" w:lastRow="0" w:firstColumn="0" w:lastColumn="0" w:noHBand="0" w:noVBand="0"/>
      </w:tblPr>
      <w:tblGrid>
        <w:gridCol w:w="2500"/>
        <w:gridCol w:w="6526"/>
      </w:tblGrid>
      <w:tr w:rsidR="00600B77">
        <w:tc>
          <w:tcPr>
            <w:tcW w:w="2500"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Indicador</w:t>
            </w:r>
          </w:p>
        </w:tc>
        <w:tc>
          <w:tcPr>
            <w:tcW w:w="6526"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Frecuencia de Mantenimiento Preventivo Realizado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Área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Mantenimiento planificado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Descripción</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Mide cuántos de los mantenimientos preventivos programados (limpieza, revisión de conexiones, actualizaciones de software, inspección de red) se realizaron efectivamente en el periodo establecido.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Fórmula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(Número de mantenimientos preventivos realizados / Número de mantenimientos preventivos programados) × 100</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Unidad</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Porcentaje (%)</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Frecuencia de medición</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Semestral.</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Meta esperada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100% de los mantenimientos programados realizados.</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Fuente de datos</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Calendario de mantenimiento y bitácora de actividades.</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Responsable</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Persona responsable del laboratorio y área de mantenimiento.</w:t>
            </w:r>
          </w:p>
        </w:tc>
      </w:tr>
    </w:tbl>
    <w:p w:rsidR="00600B77" w:rsidRDefault="00600B77">
      <w:pPr>
        <w:spacing w:before="100" w:after="100"/>
      </w:pPr>
    </w:p>
    <w:p w:rsidR="00600B77" w:rsidRDefault="0041638F">
      <w:pPr>
        <w:pStyle w:val="Ttulo3"/>
        <w:spacing w:before="300" w:after="120"/>
        <w:rPr>
          <w:color w:val="000000"/>
        </w:rPr>
      </w:pPr>
      <w:r>
        <w:rPr>
          <w:color w:val="000000"/>
        </w:rPr>
        <w:t>Contribución a la gestión preventiva y estratégica</w:t>
      </w:r>
    </w:p>
    <w:p w:rsidR="00600B77" w:rsidRDefault="0041638F">
      <w:pPr>
        <w:spacing w:before="80" w:after="80"/>
      </w:pPr>
      <w:r>
        <w:rPr>
          <w:color w:val="000000"/>
        </w:rPr>
        <w:t>El mantenimiento preventivo es la base de una gestión estratégica. Cumplir con los mantenimientos programados al 100% reduce significativamente la aparición de fallas imprevistas, prolonga la vida útil de los equipos y evita gastos de emergencia. Un porcentaje bajo indica que las actividades preventivas se están postergando, lo cual deriva inevitablemente en una gestión reactiva.</w:t>
      </w:r>
    </w:p>
    <w:p w:rsidR="00600B77" w:rsidRDefault="00600B77">
      <w:pPr>
        <w:spacing w:before="100" w:after="100"/>
      </w:pPr>
    </w:p>
    <w:p w:rsidR="00600B77" w:rsidRDefault="0041638F">
      <w:pPr>
        <w:pStyle w:val="Ttulo2"/>
        <w:rPr>
          <w:color w:val="000000"/>
        </w:rPr>
      </w:pPr>
      <w:r>
        <w:rPr>
          <w:color w:val="000000"/>
        </w:rPr>
        <w:t>Indicador 4: Índice de Satisfacción de las Personas Usuarias</w:t>
      </w:r>
    </w:p>
    <w:tbl>
      <w:tblPr>
        <w:tblStyle w:val="a2"/>
        <w:tblW w:w="9026" w:type="dxa"/>
        <w:tblInd w:w="0" w:type="dxa"/>
        <w:tblLayout w:type="fixed"/>
        <w:tblLook w:val="0000" w:firstRow="0" w:lastRow="0" w:firstColumn="0" w:lastColumn="0" w:noHBand="0" w:noVBand="0"/>
      </w:tblPr>
      <w:tblGrid>
        <w:gridCol w:w="2500"/>
        <w:gridCol w:w="6526"/>
      </w:tblGrid>
      <w:tr w:rsidR="00600B77">
        <w:tc>
          <w:tcPr>
            <w:tcW w:w="2500"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Indicador</w:t>
            </w:r>
          </w:p>
        </w:tc>
        <w:tc>
          <w:tcPr>
            <w:tcW w:w="6526"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Índice de Satisfacción de las Personas Usuarias</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Área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Calidad del servicio académico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lastRenderedPageBreak/>
              <w:t>Descripción</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Mide el nivel de satisfacción del alumnado y la planta docente respecto a las condiciones físicas, tecnológicas y de atención del laboratorio, mediante una encuesta estandarizada al final del semestre.</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Fórmula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Promedio de calificaciones obtenidas en la encuesta de satisfacción (escala del 1 al 10).</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Unidad</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Escala numérica del 1 al 10</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Frecuencia de medición</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Al término de cada semestre.</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Meta esperada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rFonts w:ascii="Arial Unicode MS" w:eastAsia="Arial Unicode MS" w:hAnsi="Arial Unicode MS" w:cs="Arial Unicode MS"/>
                <w:color w:val="000000"/>
                <w:sz w:val="18"/>
                <w:szCs w:val="18"/>
              </w:rPr>
              <w:t>≥ 8.0 puntos de promedio.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Fuente de datos</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Encuesta aplicada al alumnado y personal docente.</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Responsable</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Coordinación académica del programa educativo.</w:t>
            </w:r>
          </w:p>
        </w:tc>
      </w:tr>
    </w:tbl>
    <w:p w:rsidR="00600B77" w:rsidRDefault="00600B77">
      <w:pPr>
        <w:spacing w:before="100" w:after="100"/>
      </w:pPr>
    </w:p>
    <w:p w:rsidR="00600B77" w:rsidRDefault="0041638F">
      <w:pPr>
        <w:pStyle w:val="Ttulo3"/>
        <w:spacing w:before="300" w:after="120"/>
        <w:rPr>
          <w:color w:val="000000"/>
        </w:rPr>
      </w:pPr>
      <w:r>
        <w:rPr>
          <w:color w:val="000000"/>
        </w:rPr>
        <w:t>Contribución a la gestión preventiva y estratégica</w:t>
      </w:r>
    </w:p>
    <w:p w:rsidR="00600B77" w:rsidRDefault="0041638F">
      <w:pPr>
        <w:spacing w:before="80" w:after="80"/>
      </w:pPr>
      <w:r>
        <w:rPr>
          <w:color w:val="000000"/>
        </w:rPr>
        <w:t>La percepción de las personas usuarias es un indicador cualitativo que complementa los datos técnicos. Una baja puntuación puede revelar problemas que no son evidentes en las mediciones técnicas, como condiciones de limpieza, ruido, temperatura o falta de materiales. Incorporar esta retroalimentación permite orientar las acciones de mejora hacia las necesidades reales de la comunidad académica.</w:t>
      </w:r>
    </w:p>
    <w:p w:rsidR="00600B77" w:rsidRDefault="00600B77">
      <w:pPr>
        <w:spacing w:before="100" w:after="100"/>
      </w:pPr>
    </w:p>
    <w:p w:rsidR="00600B77" w:rsidRDefault="0041638F">
      <w:pPr>
        <w:pStyle w:val="Ttulo2"/>
        <w:rPr>
          <w:color w:val="000000"/>
        </w:rPr>
      </w:pPr>
      <w:r>
        <w:rPr>
          <w:color w:val="000000"/>
        </w:rPr>
        <w:t>Indicador 5: Porcentaje de Cumplimiento del Reglamento Interno</w:t>
      </w:r>
    </w:p>
    <w:tbl>
      <w:tblPr>
        <w:tblStyle w:val="a3"/>
        <w:tblW w:w="9026" w:type="dxa"/>
        <w:tblInd w:w="0" w:type="dxa"/>
        <w:tblLayout w:type="fixed"/>
        <w:tblLook w:val="0000" w:firstRow="0" w:lastRow="0" w:firstColumn="0" w:lastColumn="0" w:noHBand="0" w:noVBand="0"/>
      </w:tblPr>
      <w:tblGrid>
        <w:gridCol w:w="2500"/>
        <w:gridCol w:w="6526"/>
      </w:tblGrid>
      <w:tr w:rsidR="00600B77">
        <w:tc>
          <w:tcPr>
            <w:tcW w:w="2500"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Indicador</w:t>
            </w:r>
          </w:p>
        </w:tc>
        <w:tc>
          <w:tcPr>
            <w:tcW w:w="6526"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Porcentaje de Cumplimiento del Reglamento Interno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Área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Disciplina y uso adecuado del laboratorio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Descripción</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Mide qué porcentaje de las sesiones de laboratorio se desarrollaron sin incidencias por incumplimiento del reglamento (uso indebido de equipos, alimentos, comportamiento inadecuado, etc.).</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Fórmula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rFonts w:ascii="Arial Unicode MS" w:eastAsia="Arial Unicode MS" w:hAnsi="Arial Unicode MS" w:cs="Arial Unicode MS"/>
                <w:color w:val="000000"/>
                <w:sz w:val="18"/>
                <w:szCs w:val="18"/>
              </w:rPr>
              <w:t>((Total de sesiones − Sesiones con incidencias) / Total de sesiones) × 100</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Unidad</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Porcentaje (%)</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Frecuencia de medición</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Mensual.</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Meta esperada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rFonts w:ascii="Arial Unicode MS" w:eastAsia="Arial Unicode MS" w:hAnsi="Arial Unicode MS" w:cs="Arial Unicode MS"/>
                <w:color w:val="000000"/>
                <w:sz w:val="18"/>
                <w:szCs w:val="18"/>
              </w:rPr>
              <w:t>≥ 95% de sesiones sin incidencias.</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Fuente de datos</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Bitácora de incidencias del laboratorio.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Pr="00C30F8F" w:rsidRDefault="0041638F">
            <w:pPr>
              <w:rPr>
                <w:color w:val="000000" w:themeColor="text1"/>
              </w:rPr>
            </w:pPr>
            <w:r w:rsidRPr="00C30F8F">
              <w:rPr>
                <w:b/>
                <w:bCs/>
                <w:color w:val="000000" w:themeColor="text1"/>
                <w:sz w:val="18"/>
                <w:szCs w:val="18"/>
              </w:rPr>
              <w:t>Responsable</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 xml:space="preserve">Persona responsable del laboratorio y </w:t>
            </w:r>
            <w:proofErr w:type="spellStart"/>
            <w:r>
              <w:rPr>
                <w:color w:val="000000"/>
                <w:sz w:val="18"/>
                <w:szCs w:val="18"/>
              </w:rPr>
              <w:t>persona</w:t>
            </w:r>
            <w:proofErr w:type="spellEnd"/>
            <w:r>
              <w:rPr>
                <w:color w:val="000000"/>
                <w:sz w:val="18"/>
                <w:szCs w:val="18"/>
              </w:rPr>
              <w:t xml:space="preserve"> docente.</w:t>
            </w:r>
          </w:p>
        </w:tc>
      </w:tr>
    </w:tbl>
    <w:p w:rsidR="00600B77" w:rsidRDefault="00600B77">
      <w:pPr>
        <w:spacing w:before="100" w:after="100"/>
      </w:pPr>
    </w:p>
    <w:p w:rsidR="00600B77" w:rsidRDefault="0041638F">
      <w:pPr>
        <w:pStyle w:val="Ttulo3"/>
        <w:spacing w:before="300" w:after="120"/>
        <w:rPr>
          <w:color w:val="000000"/>
        </w:rPr>
      </w:pPr>
      <w:r>
        <w:rPr>
          <w:color w:val="000000"/>
        </w:rPr>
        <w:t>Contribución a la gestión preventiva y estratégica</w:t>
      </w:r>
    </w:p>
    <w:p w:rsidR="00600B77" w:rsidRDefault="0041638F">
      <w:pPr>
        <w:spacing w:before="80" w:after="80"/>
      </w:pPr>
      <w:r>
        <w:rPr>
          <w:color w:val="000000"/>
        </w:rPr>
        <w:t>El cumplimiento del reglamento incide directamente en la vida útil de los equipos y en el ambiente de trabajo del laboratorio. Un porcentaje bajo de cumplimiento es una alerta para reforzar la difusión del reglamento, implementar estrategias de concientización o revisar si las sanciones establecidas son efectivas. Prevenir el mal uso de los equipos es más económico que repararlos o reponerlos.</w:t>
      </w:r>
    </w:p>
    <w:p w:rsidR="00600B77" w:rsidRDefault="00600B77">
      <w:pPr>
        <w:spacing w:before="100" w:after="100"/>
      </w:pPr>
    </w:p>
    <w:p w:rsidR="00600B77" w:rsidRDefault="0041638F">
      <w:pPr>
        <w:pStyle w:val="Ttulo2"/>
        <w:rPr>
          <w:color w:val="000000"/>
        </w:rPr>
      </w:pPr>
      <w:r>
        <w:rPr>
          <w:color w:val="000000"/>
        </w:rPr>
        <w:t>Indicador 6: Estado de la Infraestructura de Red</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526"/>
      </w:tblGrid>
      <w:tr w:rsidR="00600B77">
        <w:tc>
          <w:tcPr>
            <w:tcW w:w="2500" w:type="dxa"/>
            <w:tcBorders>
              <w:top w:val="single" w:sz="4" w:space="0" w:color="2E5496"/>
              <w:left w:val="single" w:sz="4" w:space="0" w:color="2E5496"/>
              <w:bottom w:val="single" w:sz="4" w:space="0" w:color="2E5496"/>
              <w:right w:val="single" w:sz="4" w:space="0" w:color="2E5496"/>
            </w:tcBorders>
            <w:shd w:val="clear" w:color="auto" w:fill="38761D"/>
            <w:tcMar>
              <w:top w:w="80" w:type="dxa"/>
              <w:left w:w="120" w:type="dxa"/>
              <w:bottom w:w="80" w:type="dxa"/>
              <w:right w:w="120" w:type="dxa"/>
            </w:tcMar>
          </w:tcPr>
          <w:p w:rsidR="00600B77" w:rsidRDefault="0041638F">
            <w:r>
              <w:rPr>
                <w:b/>
                <w:bCs/>
                <w:color w:val="FFFFFF"/>
                <w:sz w:val="18"/>
                <w:szCs w:val="18"/>
              </w:rPr>
              <w:t>Indicador</w:t>
            </w:r>
          </w:p>
        </w:tc>
        <w:tc>
          <w:tcPr>
            <w:tcW w:w="6526" w:type="dxa"/>
            <w:tcBorders>
              <w:top w:val="single" w:sz="4" w:space="0" w:color="2E5496"/>
              <w:left w:val="single" w:sz="4" w:space="0" w:color="2E5496"/>
              <w:bottom w:val="single" w:sz="4" w:space="0" w:color="2E5496"/>
              <w:right w:val="single" w:sz="4" w:space="0" w:color="2E5496"/>
            </w:tcBorders>
            <w:shd w:val="clear" w:color="auto" w:fill="38761D"/>
            <w:tcMar>
              <w:top w:w="80" w:type="dxa"/>
              <w:left w:w="120" w:type="dxa"/>
              <w:bottom w:w="80" w:type="dxa"/>
              <w:right w:w="120" w:type="dxa"/>
            </w:tcMar>
          </w:tcPr>
          <w:p w:rsidR="00600B77" w:rsidRDefault="0041638F">
            <w:r>
              <w:rPr>
                <w:b/>
                <w:bCs/>
                <w:color w:val="FFFFFF"/>
                <w:sz w:val="18"/>
                <w:szCs w:val="18"/>
              </w:rPr>
              <w:t>Estado de la Infraestructura de Red</w:t>
            </w:r>
          </w:p>
        </w:tc>
      </w:tr>
      <w:tr w:rsidR="00600B77">
        <w:tc>
          <w:tcPr>
            <w:tcW w:w="2500" w:type="dxa"/>
            <w:tcBorders>
              <w:top w:val="single" w:sz="4" w:space="0" w:color="2E5496"/>
              <w:left w:val="single" w:sz="4" w:space="0" w:color="2E5496"/>
              <w:bottom w:val="single" w:sz="4" w:space="0" w:color="2E5496"/>
              <w:right w:val="single" w:sz="4" w:space="0" w:color="2E5496"/>
            </w:tcBorders>
            <w:shd w:val="clear" w:color="auto" w:fill="D9EAD3"/>
            <w:tcMar>
              <w:top w:w="80" w:type="dxa"/>
              <w:left w:w="120" w:type="dxa"/>
              <w:bottom w:w="80" w:type="dxa"/>
              <w:right w:w="120" w:type="dxa"/>
            </w:tcMar>
          </w:tcPr>
          <w:p w:rsidR="00600B77" w:rsidRPr="00C30F8F" w:rsidRDefault="0041638F">
            <w:pPr>
              <w:rPr>
                <w:b/>
              </w:rPr>
            </w:pPr>
            <w:r w:rsidRPr="00C30F8F">
              <w:rPr>
                <w:b/>
                <w:bCs/>
                <w:color w:val="1F3864"/>
                <w:sz w:val="18"/>
                <w:szCs w:val="18"/>
              </w:rPr>
              <w:t>Área</w:t>
            </w:r>
          </w:p>
        </w:tc>
        <w:tc>
          <w:tcPr>
            <w:tcW w:w="6526" w:type="dxa"/>
            <w:tcBorders>
              <w:top w:val="single" w:sz="4" w:space="0" w:color="2E5496"/>
              <w:left w:val="single" w:sz="4" w:space="0" w:color="2E5496"/>
              <w:bottom w:val="single" w:sz="4" w:space="0" w:color="2E5496"/>
              <w:right w:val="single" w:sz="4" w:space="0" w:color="2E5496"/>
            </w:tcBorders>
            <w:shd w:val="clear" w:color="auto" w:fill="FFFFFF"/>
            <w:tcMar>
              <w:top w:w="80" w:type="dxa"/>
              <w:left w:w="120" w:type="dxa"/>
              <w:bottom w:w="80" w:type="dxa"/>
              <w:right w:w="120" w:type="dxa"/>
            </w:tcMar>
          </w:tcPr>
          <w:p w:rsidR="00600B77" w:rsidRDefault="0041638F">
            <w:r>
              <w:rPr>
                <w:color w:val="000000"/>
                <w:sz w:val="18"/>
                <w:szCs w:val="18"/>
              </w:rPr>
              <w:t>Infraestructura de red y comunicaciones</w:t>
            </w:r>
          </w:p>
        </w:tc>
      </w:tr>
      <w:tr w:rsidR="00600B77">
        <w:tc>
          <w:tcPr>
            <w:tcW w:w="2500" w:type="dxa"/>
            <w:tcBorders>
              <w:top w:val="single" w:sz="4" w:space="0" w:color="2E5496"/>
              <w:left w:val="single" w:sz="4" w:space="0" w:color="2E5496"/>
              <w:bottom w:val="single" w:sz="4" w:space="0" w:color="2E5496"/>
              <w:right w:val="single" w:sz="4" w:space="0" w:color="2E5496"/>
            </w:tcBorders>
            <w:shd w:val="clear" w:color="auto" w:fill="D9EAD3"/>
            <w:tcMar>
              <w:top w:w="80" w:type="dxa"/>
              <w:left w:w="120" w:type="dxa"/>
              <w:bottom w:w="80" w:type="dxa"/>
              <w:right w:w="120" w:type="dxa"/>
            </w:tcMar>
          </w:tcPr>
          <w:p w:rsidR="00600B77" w:rsidRPr="00C30F8F" w:rsidRDefault="0041638F">
            <w:pPr>
              <w:rPr>
                <w:b/>
              </w:rPr>
            </w:pPr>
            <w:r w:rsidRPr="00C30F8F">
              <w:rPr>
                <w:b/>
                <w:bCs/>
                <w:color w:val="1F3864"/>
                <w:sz w:val="18"/>
                <w:szCs w:val="18"/>
              </w:rPr>
              <w:t>Descripción</w:t>
            </w:r>
          </w:p>
        </w:tc>
        <w:tc>
          <w:tcPr>
            <w:tcW w:w="6526" w:type="dxa"/>
            <w:tcBorders>
              <w:top w:val="single" w:sz="4" w:space="0" w:color="2E5496"/>
              <w:left w:val="single" w:sz="4" w:space="0" w:color="2E5496"/>
              <w:bottom w:val="single" w:sz="4" w:space="0" w:color="2E5496"/>
              <w:right w:val="single" w:sz="4" w:space="0" w:color="2E5496"/>
            </w:tcBorders>
            <w:shd w:val="clear" w:color="auto" w:fill="FFFFFF"/>
            <w:tcMar>
              <w:top w:w="80" w:type="dxa"/>
              <w:left w:w="120" w:type="dxa"/>
              <w:bottom w:w="80" w:type="dxa"/>
              <w:right w:w="120" w:type="dxa"/>
            </w:tcMar>
          </w:tcPr>
          <w:p w:rsidR="00600B77" w:rsidRDefault="005106E6">
            <w:r>
              <w:rPr>
                <w:color w:val="000000"/>
                <w:sz w:val="18"/>
                <w:szCs w:val="18"/>
              </w:rPr>
              <w:t>Evalúa</w:t>
            </w:r>
            <w:r w:rsidR="0041638F">
              <w:rPr>
                <w:color w:val="000000"/>
                <w:sz w:val="18"/>
                <w:szCs w:val="18"/>
              </w:rPr>
              <w:t xml:space="preserve"> el porcentaje de puertos de red, cableado estructurado, </w:t>
            </w:r>
            <w:proofErr w:type="spellStart"/>
            <w:r w:rsidR="0041638F">
              <w:rPr>
                <w:color w:val="000000"/>
                <w:sz w:val="18"/>
                <w:szCs w:val="18"/>
              </w:rPr>
              <w:t>s</w:t>
            </w:r>
            <w:bookmarkStart w:id="0" w:name="_GoBack"/>
            <w:bookmarkEnd w:id="0"/>
            <w:r w:rsidR="0041638F">
              <w:rPr>
                <w:color w:val="000000"/>
                <w:sz w:val="18"/>
                <w:szCs w:val="18"/>
              </w:rPr>
              <w:t>witches</w:t>
            </w:r>
            <w:proofErr w:type="spellEnd"/>
            <w:r w:rsidR="0041638F">
              <w:rPr>
                <w:color w:val="000000"/>
                <w:sz w:val="18"/>
                <w:szCs w:val="18"/>
              </w:rPr>
              <w:t xml:space="preserve"> y equipos de comunicación que se encuentran en funcionamiento correcto y sin daños físicos ni lógicos.</w:t>
            </w:r>
          </w:p>
        </w:tc>
      </w:tr>
      <w:tr w:rsidR="00600B77">
        <w:tc>
          <w:tcPr>
            <w:tcW w:w="2500" w:type="dxa"/>
            <w:tcBorders>
              <w:top w:val="single" w:sz="4" w:space="0" w:color="2E5496"/>
              <w:left w:val="single" w:sz="4" w:space="0" w:color="2E5496"/>
              <w:bottom w:val="single" w:sz="4" w:space="0" w:color="2E5496"/>
              <w:right w:val="single" w:sz="4" w:space="0" w:color="2E5496"/>
            </w:tcBorders>
            <w:shd w:val="clear" w:color="auto" w:fill="D9EAD3"/>
            <w:tcMar>
              <w:top w:w="80" w:type="dxa"/>
              <w:left w:w="120" w:type="dxa"/>
              <w:bottom w:w="80" w:type="dxa"/>
              <w:right w:w="120" w:type="dxa"/>
            </w:tcMar>
          </w:tcPr>
          <w:p w:rsidR="00600B77" w:rsidRPr="00C30F8F" w:rsidRDefault="0041638F">
            <w:pPr>
              <w:rPr>
                <w:b/>
              </w:rPr>
            </w:pPr>
            <w:r w:rsidRPr="00C30F8F">
              <w:rPr>
                <w:b/>
                <w:bCs/>
                <w:color w:val="1F3864"/>
                <w:sz w:val="18"/>
                <w:szCs w:val="18"/>
              </w:rPr>
              <w:lastRenderedPageBreak/>
              <w:t>Fórmula</w:t>
            </w:r>
          </w:p>
        </w:tc>
        <w:tc>
          <w:tcPr>
            <w:tcW w:w="6526" w:type="dxa"/>
            <w:tcBorders>
              <w:top w:val="single" w:sz="4" w:space="0" w:color="2E5496"/>
              <w:left w:val="single" w:sz="4" w:space="0" w:color="2E5496"/>
              <w:bottom w:val="single" w:sz="4" w:space="0" w:color="2E5496"/>
              <w:right w:val="single" w:sz="4" w:space="0" w:color="2E5496"/>
            </w:tcBorders>
            <w:shd w:val="clear" w:color="auto" w:fill="FFFFFF"/>
            <w:tcMar>
              <w:top w:w="80" w:type="dxa"/>
              <w:left w:w="120" w:type="dxa"/>
              <w:bottom w:w="80" w:type="dxa"/>
              <w:right w:w="120" w:type="dxa"/>
            </w:tcMar>
          </w:tcPr>
          <w:p w:rsidR="00600B77" w:rsidRDefault="0041638F">
            <w:r>
              <w:rPr>
                <w:color w:val="000000"/>
                <w:sz w:val="18"/>
                <w:szCs w:val="18"/>
              </w:rPr>
              <w:t>(Número de componentes de red en buen estado / Total de componentes de red) × 100</w:t>
            </w:r>
          </w:p>
        </w:tc>
      </w:tr>
      <w:tr w:rsidR="00600B77">
        <w:tc>
          <w:tcPr>
            <w:tcW w:w="2500" w:type="dxa"/>
            <w:tcBorders>
              <w:top w:val="single" w:sz="4" w:space="0" w:color="2E5496"/>
              <w:left w:val="single" w:sz="4" w:space="0" w:color="2E5496"/>
              <w:bottom w:val="single" w:sz="4" w:space="0" w:color="2E5496"/>
              <w:right w:val="single" w:sz="4" w:space="0" w:color="2E5496"/>
            </w:tcBorders>
            <w:shd w:val="clear" w:color="auto" w:fill="D9EAD3"/>
            <w:tcMar>
              <w:top w:w="80" w:type="dxa"/>
              <w:left w:w="120" w:type="dxa"/>
              <w:bottom w:w="80" w:type="dxa"/>
              <w:right w:w="120" w:type="dxa"/>
            </w:tcMar>
          </w:tcPr>
          <w:p w:rsidR="00600B77" w:rsidRPr="00C30F8F" w:rsidRDefault="0041638F">
            <w:pPr>
              <w:rPr>
                <w:b/>
              </w:rPr>
            </w:pPr>
            <w:r w:rsidRPr="00C30F8F">
              <w:rPr>
                <w:b/>
                <w:bCs/>
                <w:color w:val="1F3864"/>
                <w:sz w:val="18"/>
                <w:szCs w:val="18"/>
              </w:rPr>
              <w:t>Unidad</w:t>
            </w:r>
          </w:p>
        </w:tc>
        <w:tc>
          <w:tcPr>
            <w:tcW w:w="6526" w:type="dxa"/>
            <w:tcBorders>
              <w:top w:val="single" w:sz="4" w:space="0" w:color="2E5496"/>
              <w:left w:val="single" w:sz="4" w:space="0" w:color="2E5496"/>
              <w:bottom w:val="single" w:sz="4" w:space="0" w:color="2E5496"/>
              <w:right w:val="single" w:sz="4" w:space="0" w:color="2E5496"/>
            </w:tcBorders>
            <w:shd w:val="clear" w:color="auto" w:fill="FFFFFF"/>
            <w:tcMar>
              <w:top w:w="80" w:type="dxa"/>
              <w:left w:w="120" w:type="dxa"/>
              <w:bottom w:w="80" w:type="dxa"/>
              <w:right w:w="120" w:type="dxa"/>
            </w:tcMar>
          </w:tcPr>
          <w:p w:rsidR="00600B77" w:rsidRDefault="0041638F">
            <w:r>
              <w:rPr>
                <w:color w:val="000000"/>
                <w:sz w:val="18"/>
                <w:szCs w:val="18"/>
              </w:rPr>
              <w:t>Porcentaje (%)</w:t>
            </w:r>
          </w:p>
        </w:tc>
      </w:tr>
      <w:tr w:rsidR="00600B77">
        <w:tc>
          <w:tcPr>
            <w:tcW w:w="2500" w:type="dxa"/>
            <w:tcBorders>
              <w:top w:val="single" w:sz="4" w:space="0" w:color="2E5496"/>
              <w:left w:val="single" w:sz="4" w:space="0" w:color="2E5496"/>
              <w:bottom w:val="single" w:sz="4" w:space="0" w:color="2E5496"/>
              <w:right w:val="single" w:sz="4" w:space="0" w:color="2E5496"/>
            </w:tcBorders>
            <w:shd w:val="clear" w:color="auto" w:fill="D9EAD3"/>
            <w:tcMar>
              <w:top w:w="80" w:type="dxa"/>
              <w:left w:w="120" w:type="dxa"/>
              <w:bottom w:w="80" w:type="dxa"/>
              <w:right w:w="120" w:type="dxa"/>
            </w:tcMar>
          </w:tcPr>
          <w:p w:rsidR="00600B77" w:rsidRPr="00C30F8F" w:rsidRDefault="0041638F">
            <w:pPr>
              <w:rPr>
                <w:b/>
              </w:rPr>
            </w:pPr>
            <w:r w:rsidRPr="00C30F8F">
              <w:rPr>
                <w:b/>
                <w:bCs/>
                <w:color w:val="1F3864"/>
                <w:sz w:val="18"/>
                <w:szCs w:val="18"/>
              </w:rPr>
              <w:t>Frecuencia de medición</w:t>
            </w:r>
          </w:p>
        </w:tc>
        <w:tc>
          <w:tcPr>
            <w:tcW w:w="6526" w:type="dxa"/>
            <w:tcBorders>
              <w:top w:val="single" w:sz="4" w:space="0" w:color="2E5496"/>
              <w:left w:val="single" w:sz="4" w:space="0" w:color="2E5496"/>
              <w:bottom w:val="single" w:sz="4" w:space="0" w:color="2E5496"/>
              <w:right w:val="single" w:sz="4" w:space="0" w:color="2E5496"/>
            </w:tcBorders>
            <w:shd w:val="clear" w:color="auto" w:fill="FFFFFF"/>
            <w:tcMar>
              <w:top w:w="80" w:type="dxa"/>
              <w:left w:w="120" w:type="dxa"/>
              <w:bottom w:w="80" w:type="dxa"/>
              <w:right w:w="120" w:type="dxa"/>
            </w:tcMar>
          </w:tcPr>
          <w:p w:rsidR="00600B77" w:rsidRDefault="0041638F">
            <w:r>
              <w:rPr>
                <w:color w:val="000000"/>
                <w:sz w:val="18"/>
                <w:szCs w:val="18"/>
              </w:rPr>
              <w:t>Al inicio y al final de cada semestre.</w:t>
            </w:r>
          </w:p>
        </w:tc>
      </w:tr>
      <w:tr w:rsidR="00600B77">
        <w:tc>
          <w:tcPr>
            <w:tcW w:w="2500" w:type="dxa"/>
            <w:tcBorders>
              <w:top w:val="single" w:sz="4" w:space="0" w:color="2E5496"/>
              <w:left w:val="single" w:sz="4" w:space="0" w:color="2E5496"/>
              <w:bottom w:val="single" w:sz="4" w:space="0" w:color="2E5496"/>
              <w:right w:val="single" w:sz="4" w:space="0" w:color="2E5496"/>
            </w:tcBorders>
            <w:shd w:val="clear" w:color="auto" w:fill="D9EAD3"/>
            <w:tcMar>
              <w:top w:w="80" w:type="dxa"/>
              <w:left w:w="120" w:type="dxa"/>
              <w:bottom w:w="80" w:type="dxa"/>
              <w:right w:w="120" w:type="dxa"/>
            </w:tcMar>
          </w:tcPr>
          <w:p w:rsidR="00600B77" w:rsidRPr="00C30F8F" w:rsidRDefault="0041638F">
            <w:pPr>
              <w:rPr>
                <w:b/>
              </w:rPr>
            </w:pPr>
            <w:r w:rsidRPr="00C30F8F">
              <w:rPr>
                <w:b/>
                <w:bCs/>
                <w:color w:val="1F3864"/>
                <w:sz w:val="18"/>
                <w:szCs w:val="18"/>
              </w:rPr>
              <w:t>Meta esperada</w:t>
            </w:r>
          </w:p>
        </w:tc>
        <w:tc>
          <w:tcPr>
            <w:tcW w:w="6526" w:type="dxa"/>
            <w:tcBorders>
              <w:top w:val="single" w:sz="4" w:space="0" w:color="2E5496"/>
              <w:left w:val="single" w:sz="4" w:space="0" w:color="2E5496"/>
              <w:bottom w:val="single" w:sz="4" w:space="0" w:color="2E5496"/>
              <w:right w:val="single" w:sz="4" w:space="0" w:color="2E5496"/>
            </w:tcBorders>
            <w:shd w:val="clear" w:color="auto" w:fill="FFFFFF"/>
            <w:tcMar>
              <w:top w:w="80" w:type="dxa"/>
              <w:left w:w="120" w:type="dxa"/>
              <w:bottom w:w="80" w:type="dxa"/>
              <w:right w:w="120" w:type="dxa"/>
            </w:tcMar>
          </w:tcPr>
          <w:p w:rsidR="00600B77" w:rsidRDefault="0041638F">
            <w:r>
              <w:rPr>
                <w:rFonts w:ascii="Arial Unicode MS" w:eastAsia="Arial Unicode MS" w:hAnsi="Arial Unicode MS" w:cs="Arial Unicode MS"/>
                <w:color w:val="000000"/>
                <w:sz w:val="18"/>
                <w:szCs w:val="18"/>
              </w:rPr>
              <w:t>≥ 95% de la infraestructura en buen estado.</w:t>
            </w:r>
          </w:p>
        </w:tc>
      </w:tr>
      <w:tr w:rsidR="00600B77">
        <w:tc>
          <w:tcPr>
            <w:tcW w:w="2500" w:type="dxa"/>
            <w:tcBorders>
              <w:top w:val="single" w:sz="4" w:space="0" w:color="2E5496"/>
              <w:left w:val="single" w:sz="4" w:space="0" w:color="2E5496"/>
              <w:bottom w:val="single" w:sz="4" w:space="0" w:color="2E5496"/>
              <w:right w:val="single" w:sz="4" w:space="0" w:color="2E5496"/>
            </w:tcBorders>
            <w:shd w:val="clear" w:color="auto" w:fill="D9EAD3"/>
            <w:tcMar>
              <w:top w:w="80" w:type="dxa"/>
              <w:left w:w="120" w:type="dxa"/>
              <w:bottom w:w="80" w:type="dxa"/>
              <w:right w:w="120" w:type="dxa"/>
            </w:tcMar>
          </w:tcPr>
          <w:p w:rsidR="00600B77" w:rsidRPr="00C30F8F" w:rsidRDefault="0041638F">
            <w:pPr>
              <w:rPr>
                <w:b/>
              </w:rPr>
            </w:pPr>
            <w:r w:rsidRPr="00C30F8F">
              <w:rPr>
                <w:b/>
                <w:bCs/>
                <w:color w:val="1F3864"/>
                <w:sz w:val="18"/>
                <w:szCs w:val="18"/>
              </w:rPr>
              <w:t>Fuente de datos</w:t>
            </w:r>
          </w:p>
        </w:tc>
        <w:tc>
          <w:tcPr>
            <w:tcW w:w="6526" w:type="dxa"/>
            <w:tcBorders>
              <w:top w:val="single" w:sz="4" w:space="0" w:color="2E5496"/>
              <w:left w:val="single" w:sz="4" w:space="0" w:color="2E5496"/>
              <w:bottom w:val="single" w:sz="4" w:space="0" w:color="2E5496"/>
              <w:right w:val="single" w:sz="4" w:space="0" w:color="2E5496"/>
            </w:tcBorders>
            <w:shd w:val="clear" w:color="auto" w:fill="FFFFFF"/>
            <w:tcMar>
              <w:top w:w="80" w:type="dxa"/>
              <w:left w:w="120" w:type="dxa"/>
              <w:bottom w:w="80" w:type="dxa"/>
              <w:right w:w="120" w:type="dxa"/>
            </w:tcMar>
          </w:tcPr>
          <w:p w:rsidR="00600B77" w:rsidRDefault="0041638F">
            <w:r>
              <w:rPr>
                <w:color w:val="000000"/>
                <w:sz w:val="18"/>
                <w:szCs w:val="18"/>
              </w:rPr>
              <w:t>Inspección técnica de la infraestructura de red.</w:t>
            </w:r>
          </w:p>
        </w:tc>
      </w:tr>
      <w:tr w:rsidR="00600B77">
        <w:tc>
          <w:tcPr>
            <w:tcW w:w="2500" w:type="dxa"/>
            <w:tcBorders>
              <w:top w:val="single" w:sz="4" w:space="0" w:color="2E5496"/>
              <w:left w:val="single" w:sz="4" w:space="0" w:color="2E5496"/>
              <w:bottom w:val="single" w:sz="4" w:space="0" w:color="2E5496"/>
              <w:right w:val="single" w:sz="4" w:space="0" w:color="2E5496"/>
            </w:tcBorders>
            <w:shd w:val="clear" w:color="auto" w:fill="D9EAD3"/>
            <w:tcMar>
              <w:top w:w="80" w:type="dxa"/>
              <w:left w:w="120" w:type="dxa"/>
              <w:bottom w:w="80" w:type="dxa"/>
              <w:right w:w="120" w:type="dxa"/>
            </w:tcMar>
          </w:tcPr>
          <w:p w:rsidR="00600B77" w:rsidRPr="00C30F8F" w:rsidRDefault="0041638F">
            <w:pPr>
              <w:rPr>
                <w:b/>
              </w:rPr>
            </w:pPr>
            <w:r w:rsidRPr="00C30F8F">
              <w:rPr>
                <w:b/>
                <w:bCs/>
                <w:color w:val="1F3864"/>
                <w:sz w:val="18"/>
                <w:szCs w:val="18"/>
              </w:rPr>
              <w:t>Responsable</w:t>
            </w:r>
          </w:p>
        </w:tc>
        <w:tc>
          <w:tcPr>
            <w:tcW w:w="6526" w:type="dxa"/>
            <w:tcBorders>
              <w:top w:val="single" w:sz="4" w:space="0" w:color="2E5496"/>
              <w:left w:val="single" w:sz="4" w:space="0" w:color="2E5496"/>
              <w:bottom w:val="single" w:sz="4" w:space="0" w:color="2E5496"/>
              <w:right w:val="single" w:sz="4" w:space="0" w:color="2E5496"/>
            </w:tcBorders>
            <w:shd w:val="clear" w:color="auto" w:fill="FFFFFF"/>
            <w:tcMar>
              <w:top w:w="80" w:type="dxa"/>
              <w:left w:w="120" w:type="dxa"/>
              <w:bottom w:w="80" w:type="dxa"/>
              <w:right w:w="120" w:type="dxa"/>
            </w:tcMar>
          </w:tcPr>
          <w:p w:rsidR="00600B77" w:rsidRDefault="0041638F">
            <w:r>
              <w:rPr>
                <w:color w:val="000000"/>
                <w:sz w:val="18"/>
                <w:szCs w:val="18"/>
              </w:rPr>
              <w:t>Persona responsable del laboratorio / personal técnico especializado.</w:t>
            </w:r>
          </w:p>
        </w:tc>
      </w:tr>
    </w:tbl>
    <w:p w:rsidR="00600B77" w:rsidRDefault="00600B77">
      <w:pPr>
        <w:spacing w:before="100" w:after="100"/>
      </w:pPr>
    </w:p>
    <w:p w:rsidR="00600B77" w:rsidRDefault="0041638F">
      <w:pPr>
        <w:pStyle w:val="Ttulo3"/>
        <w:spacing w:before="300" w:after="120"/>
        <w:rPr>
          <w:color w:val="000000"/>
        </w:rPr>
      </w:pPr>
      <w:r>
        <w:rPr>
          <w:color w:val="000000"/>
        </w:rPr>
        <w:t>Contribución a la gestión preventiva y estratégica</w:t>
      </w:r>
    </w:p>
    <w:p w:rsidR="00600B77" w:rsidRDefault="0041638F">
      <w:pPr>
        <w:spacing w:before="80" w:after="80"/>
      </w:pPr>
      <w:r>
        <w:rPr>
          <w:color w:val="000000"/>
        </w:rPr>
        <w:t>Dado que se trata de un laboratorio de redes de comunicaciones, la infraestructura de red es su activo central. Un monitoreo regular del estado de los componentes permite detectar deterioros en el cableado, puertos dañados o equipos con rendimiento degradado antes de que afecten las prácticas. Esto habilita una agenda de reemplazo planeado y evita interrupciones inesperadas durante las sesiones.</w:t>
      </w:r>
    </w:p>
    <w:p w:rsidR="00600B77" w:rsidRDefault="00600B77">
      <w:pPr>
        <w:spacing w:before="100" w:after="100"/>
      </w:pPr>
    </w:p>
    <w:p w:rsidR="00600B77" w:rsidRDefault="0041638F">
      <w:pPr>
        <w:pStyle w:val="Ttulo2"/>
        <w:rPr>
          <w:color w:val="000000"/>
        </w:rPr>
      </w:pPr>
      <w:r>
        <w:rPr>
          <w:color w:val="000000"/>
        </w:rPr>
        <w:t>Indicador 7: Tasa de Actualización de Software y Herramientas</w:t>
      </w:r>
    </w:p>
    <w:tbl>
      <w:tblPr>
        <w:tblStyle w:val="a5"/>
        <w:tblW w:w="9026" w:type="dxa"/>
        <w:tblInd w:w="0" w:type="dxa"/>
        <w:tblLayout w:type="fixed"/>
        <w:tblLook w:val="0000" w:firstRow="0" w:lastRow="0" w:firstColumn="0" w:lastColumn="0" w:noHBand="0" w:noVBand="0"/>
      </w:tblPr>
      <w:tblGrid>
        <w:gridCol w:w="2500"/>
        <w:gridCol w:w="6526"/>
      </w:tblGrid>
      <w:tr w:rsidR="00600B77">
        <w:tc>
          <w:tcPr>
            <w:tcW w:w="2500"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Indicador</w:t>
            </w:r>
          </w:p>
        </w:tc>
        <w:tc>
          <w:tcPr>
            <w:tcW w:w="6526"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Tasa de Actualización de Software y Herramientas</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Área</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Software y herramientas académicas</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Descripción</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Mide el porcentaje de equipos que cuentan con el software, sistemas operativos y herramientas de red actualizados a las versiones requeridas por el programa educativo vigente.</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Fórmula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(Número de equipos con software actualizado / Total de equipos) × 100</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Unidad</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Porcentaje (%)</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Frecuencia de medición</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Al inicio de cada semestre.</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Meta esperada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100% de los equipos con software vigente y actualizado.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Fuente de datos</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Inspección de software instalado en cada equipo.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Responsable</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Persona responsable del laboratorio.</w:t>
            </w:r>
          </w:p>
        </w:tc>
      </w:tr>
    </w:tbl>
    <w:p w:rsidR="00600B77" w:rsidRDefault="00600B77">
      <w:pPr>
        <w:spacing w:before="100" w:after="100"/>
      </w:pPr>
    </w:p>
    <w:p w:rsidR="00600B77" w:rsidRDefault="0041638F">
      <w:pPr>
        <w:pStyle w:val="Ttulo3"/>
        <w:spacing w:before="300" w:after="120"/>
        <w:rPr>
          <w:color w:val="000000"/>
        </w:rPr>
      </w:pPr>
      <w:r>
        <w:rPr>
          <w:color w:val="000000"/>
        </w:rPr>
        <w:t>Contribución a la gestión preventiva y estratégica</w:t>
      </w:r>
    </w:p>
    <w:p w:rsidR="00600B77" w:rsidRDefault="0041638F">
      <w:pPr>
        <w:spacing w:before="80" w:after="80"/>
      </w:pPr>
      <w:r>
        <w:rPr>
          <w:color w:val="000000"/>
        </w:rPr>
        <w:t>Un software desactualizado impide que el alumnado trabaje con las herramientas que utilizará en su vida profesional y puede generar vulnerabilidades de seguridad en la red del laboratorio. Mantener este indicador al 100% garantiza que las prácticas se desarrollen en un entorno tecnológico pertinente y seguro, alineado con el plan de estudios vigente. Detectar equipos sin actualizar antes del inicio del semestre evita contratiempos durante las sesiones.</w:t>
      </w:r>
    </w:p>
    <w:p w:rsidR="00600B77" w:rsidRDefault="00600B77">
      <w:pPr>
        <w:spacing w:before="100" w:after="100"/>
      </w:pPr>
    </w:p>
    <w:p w:rsidR="00600B77" w:rsidRDefault="0041638F">
      <w:pPr>
        <w:pStyle w:val="Ttulo2"/>
        <w:rPr>
          <w:color w:val="000000"/>
        </w:rPr>
      </w:pPr>
      <w:r>
        <w:rPr>
          <w:color w:val="000000"/>
        </w:rPr>
        <w:t>Indicador 8: Índice de Incidentes de Seguridad o Daños al Patrimonio</w:t>
      </w:r>
    </w:p>
    <w:tbl>
      <w:tblPr>
        <w:tblStyle w:val="a6"/>
        <w:tblW w:w="9026" w:type="dxa"/>
        <w:tblInd w:w="0" w:type="dxa"/>
        <w:tblLayout w:type="fixed"/>
        <w:tblLook w:val="0000" w:firstRow="0" w:lastRow="0" w:firstColumn="0" w:lastColumn="0" w:noHBand="0" w:noVBand="0"/>
      </w:tblPr>
      <w:tblGrid>
        <w:gridCol w:w="2500"/>
        <w:gridCol w:w="6526"/>
      </w:tblGrid>
      <w:tr w:rsidR="00600B77">
        <w:tc>
          <w:tcPr>
            <w:tcW w:w="2500"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Indicador</w:t>
            </w:r>
          </w:p>
        </w:tc>
        <w:tc>
          <w:tcPr>
            <w:tcW w:w="6526" w:type="dxa"/>
            <w:tcBorders>
              <w:top w:val="single" w:sz="4" w:space="0" w:color="38761D"/>
              <w:left w:val="single" w:sz="4" w:space="0" w:color="38761D"/>
              <w:bottom w:val="single" w:sz="4" w:space="0" w:color="38761D"/>
              <w:right w:val="single" w:sz="4" w:space="0" w:color="38761D"/>
            </w:tcBorders>
            <w:shd w:val="clear" w:color="auto" w:fill="38761D"/>
            <w:tcMar>
              <w:top w:w="80" w:type="dxa"/>
              <w:left w:w="120" w:type="dxa"/>
              <w:bottom w:w="80" w:type="dxa"/>
              <w:right w:w="120" w:type="dxa"/>
            </w:tcMar>
          </w:tcPr>
          <w:p w:rsidR="00600B77" w:rsidRDefault="0041638F">
            <w:r>
              <w:rPr>
                <w:b/>
                <w:bCs/>
                <w:color w:val="FFFFFF"/>
                <w:sz w:val="18"/>
                <w:szCs w:val="18"/>
              </w:rPr>
              <w:t>Índice de Incidentes de Seguridad o Daños al Patrimonio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Área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Seguridad y protección del patrimonio universitario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Descripción</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Registra el número de incidentes de seguridad (robo, vandalismo, daños intencionales o accidentales a equipos, cableado o mobiliario) ocurridos en el laboratorio durante el periodo evaluado.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Fórmula</w:t>
            </w:r>
          </w:p>
        </w:tc>
        <w:tc>
          <w:tcPr>
            <w:tcW w:w="6526" w:type="dxa"/>
            <w:tcBorders>
              <w:top w:val="single" w:sz="4" w:space="0" w:color="38761D"/>
              <w:left w:val="single" w:sz="4" w:space="0" w:color="38761D"/>
              <w:bottom w:val="single" w:sz="4" w:space="0" w:color="38761D"/>
              <w:right w:val="single" w:sz="4" w:space="0" w:color="38761D"/>
            </w:tcBorders>
            <w:shd w:val="clear" w:color="auto" w:fill="FFFFFF"/>
            <w:tcMar>
              <w:top w:w="80" w:type="dxa"/>
              <w:left w:w="120" w:type="dxa"/>
              <w:bottom w:w="80" w:type="dxa"/>
              <w:right w:w="120" w:type="dxa"/>
            </w:tcMar>
          </w:tcPr>
          <w:p w:rsidR="00600B77" w:rsidRDefault="0041638F">
            <w:r>
              <w:rPr>
                <w:color w:val="000000"/>
                <w:sz w:val="18"/>
                <w:szCs w:val="18"/>
              </w:rPr>
              <w:t>Número total de incidentes registrados en el periodo.</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lastRenderedPageBreak/>
              <w:t>Unidad</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Número absoluto de incidentes</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Frecuencia de medición</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Mensual.</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Meta esperada</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0 incidentes por semestre.</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Fuente de datos</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Bitácora de incidentes y reportes a Protección Civil o autoridades universitarias.</w:t>
            </w:r>
          </w:p>
        </w:tc>
      </w:tr>
      <w:tr w:rsidR="00600B77">
        <w:tc>
          <w:tcPr>
            <w:tcW w:w="2500" w:type="dxa"/>
            <w:tcBorders>
              <w:top w:val="single" w:sz="4" w:space="0" w:color="38761D"/>
              <w:left w:val="single" w:sz="4" w:space="0" w:color="38761D"/>
              <w:bottom w:val="single" w:sz="4" w:space="0" w:color="38761D"/>
              <w:right w:val="single" w:sz="4" w:space="0" w:color="38761D"/>
            </w:tcBorders>
            <w:shd w:val="clear" w:color="auto" w:fill="D9EAD3"/>
            <w:tcMar>
              <w:top w:w="80" w:type="dxa"/>
              <w:left w:w="120" w:type="dxa"/>
              <w:bottom w:w="80" w:type="dxa"/>
              <w:right w:w="120" w:type="dxa"/>
            </w:tcMar>
          </w:tcPr>
          <w:p w:rsidR="00600B77" w:rsidRDefault="0041638F">
            <w:r>
              <w:rPr>
                <w:b/>
                <w:bCs/>
                <w:sz w:val="18"/>
                <w:szCs w:val="18"/>
              </w:rPr>
              <w:t>Responsable</w:t>
            </w:r>
          </w:p>
        </w:tc>
        <w:tc>
          <w:tcPr>
            <w:tcW w:w="6526" w:type="dxa"/>
            <w:tcBorders>
              <w:top w:val="single" w:sz="4" w:space="0" w:color="38761D"/>
              <w:left w:val="single" w:sz="4" w:space="0" w:color="38761D"/>
              <w:bottom w:val="single" w:sz="4" w:space="0" w:color="38761D"/>
              <w:right w:val="single" w:sz="4" w:space="0" w:color="38761D"/>
            </w:tcBorders>
            <w:tcMar>
              <w:top w:w="80" w:type="dxa"/>
              <w:left w:w="120" w:type="dxa"/>
              <w:bottom w:w="80" w:type="dxa"/>
              <w:right w:w="120" w:type="dxa"/>
            </w:tcMar>
          </w:tcPr>
          <w:p w:rsidR="00600B77" w:rsidRDefault="0041638F">
            <w:r>
              <w:rPr>
                <w:color w:val="000000"/>
                <w:sz w:val="18"/>
                <w:szCs w:val="18"/>
              </w:rPr>
              <w:t>Persona responsable del laboratorio y coordinación académica.</w:t>
            </w:r>
          </w:p>
        </w:tc>
      </w:tr>
    </w:tbl>
    <w:p w:rsidR="00600B77" w:rsidRDefault="00600B77">
      <w:pPr>
        <w:spacing w:before="100" w:after="100"/>
      </w:pPr>
    </w:p>
    <w:p w:rsidR="00600B77" w:rsidRDefault="0041638F">
      <w:pPr>
        <w:pStyle w:val="Ttulo3"/>
        <w:spacing w:before="300" w:after="120"/>
        <w:rPr>
          <w:color w:val="000000"/>
        </w:rPr>
      </w:pPr>
      <w:r>
        <w:rPr>
          <w:color w:val="000000"/>
        </w:rPr>
        <w:t>Contribución a la gestión preventiva y estratégica</w:t>
      </w:r>
    </w:p>
    <w:p w:rsidR="00600B77" w:rsidRDefault="0041638F">
      <w:pPr>
        <w:spacing w:before="80" w:after="80"/>
      </w:pPr>
      <w:r>
        <w:rPr>
          <w:color w:val="000000"/>
        </w:rPr>
        <w:t>La ocurrencia de incidentes de seguridad tiene un impacto económico directo sobre el patrimonio universitario y puede interrumpir la operación del laboratorio por periodos prolongados. Monitorear este indicador permite identificar patrones de riesgo, reforzar las medidas de acceso y control, y documentar cada incidente para fundamentar solicitudes de mejoras en infraestructura de seguridad ante las autoridades del Centro Universitario.</w:t>
      </w:r>
    </w:p>
    <w:p w:rsidR="00600B77" w:rsidRDefault="00600B77">
      <w:pPr>
        <w:spacing w:before="100" w:after="100"/>
      </w:pPr>
    </w:p>
    <w:p w:rsidR="00600B77" w:rsidRDefault="0041638F">
      <w:pPr>
        <w:pStyle w:val="Ttulo1"/>
        <w:spacing w:after="120"/>
        <w:rPr>
          <w:color w:val="000000"/>
        </w:rPr>
      </w:pPr>
      <w:r>
        <w:rPr>
          <w:color w:val="000000"/>
        </w:rPr>
        <w:t>3. Resumen de Indicadores</w:t>
      </w:r>
    </w:p>
    <w:p w:rsidR="00600B77" w:rsidRDefault="0041638F">
      <w:pPr>
        <w:spacing w:before="80" w:after="80"/>
      </w:pPr>
      <w:r>
        <w:rPr>
          <w:color w:val="000000"/>
        </w:rPr>
        <w:t>La siguiente tabla presenta un resumen de los ocho indicadores definidos para facilitar su consulta y seguimiento.</w:t>
      </w:r>
    </w:p>
    <w:p w:rsidR="00600B77" w:rsidRDefault="00600B77">
      <w:pPr>
        <w:spacing w:before="100" w:after="100"/>
      </w:pP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
        <w:gridCol w:w="2800"/>
        <w:gridCol w:w="1600"/>
        <w:gridCol w:w="1200"/>
        <w:gridCol w:w="1200"/>
        <w:gridCol w:w="1826"/>
      </w:tblGrid>
      <w:tr w:rsidR="00600B77">
        <w:trPr>
          <w:tblHeader/>
        </w:trPr>
        <w:tc>
          <w:tcPr>
            <w:tcW w:w="400" w:type="dxa"/>
            <w:tcBorders>
              <w:top w:val="single" w:sz="4" w:space="0" w:color="2E5496"/>
              <w:left w:val="single" w:sz="4" w:space="0" w:color="2E5496"/>
              <w:bottom w:val="single" w:sz="4" w:space="0" w:color="2E5496"/>
              <w:right w:val="single" w:sz="4" w:space="0" w:color="2E5496"/>
            </w:tcBorders>
            <w:shd w:val="clear" w:color="auto" w:fill="38761D"/>
            <w:tcMar>
              <w:top w:w="80" w:type="dxa"/>
              <w:left w:w="100" w:type="dxa"/>
              <w:bottom w:w="80" w:type="dxa"/>
              <w:right w:w="100" w:type="dxa"/>
            </w:tcMar>
            <w:vAlign w:val="center"/>
          </w:tcPr>
          <w:p w:rsidR="00600B77" w:rsidRDefault="0041638F">
            <w:pPr>
              <w:jc w:val="center"/>
            </w:pPr>
            <w:r>
              <w:rPr>
                <w:b/>
                <w:bCs/>
                <w:color w:val="FFFFFF"/>
                <w:sz w:val="16"/>
                <w:szCs w:val="16"/>
              </w:rPr>
              <w:t>No.</w:t>
            </w:r>
          </w:p>
        </w:tc>
        <w:tc>
          <w:tcPr>
            <w:tcW w:w="2800" w:type="dxa"/>
            <w:tcBorders>
              <w:top w:val="single" w:sz="4" w:space="0" w:color="2E5496"/>
              <w:left w:val="single" w:sz="4" w:space="0" w:color="2E5496"/>
              <w:bottom w:val="single" w:sz="4" w:space="0" w:color="2E5496"/>
              <w:right w:val="single" w:sz="4" w:space="0" w:color="2E5496"/>
            </w:tcBorders>
            <w:shd w:val="clear" w:color="auto" w:fill="38761D"/>
            <w:tcMar>
              <w:top w:w="80" w:type="dxa"/>
              <w:left w:w="100" w:type="dxa"/>
              <w:bottom w:w="80" w:type="dxa"/>
              <w:right w:w="100" w:type="dxa"/>
            </w:tcMar>
            <w:vAlign w:val="center"/>
          </w:tcPr>
          <w:p w:rsidR="00600B77" w:rsidRDefault="0041638F">
            <w:pPr>
              <w:jc w:val="center"/>
            </w:pPr>
            <w:r>
              <w:rPr>
                <w:b/>
                <w:bCs/>
                <w:color w:val="FFFFFF"/>
                <w:sz w:val="16"/>
                <w:szCs w:val="16"/>
              </w:rPr>
              <w:t>Indicador</w:t>
            </w:r>
          </w:p>
        </w:tc>
        <w:tc>
          <w:tcPr>
            <w:tcW w:w="1600" w:type="dxa"/>
            <w:tcBorders>
              <w:top w:val="single" w:sz="4" w:space="0" w:color="2E5496"/>
              <w:left w:val="single" w:sz="4" w:space="0" w:color="2E5496"/>
              <w:bottom w:val="single" w:sz="4" w:space="0" w:color="2E5496"/>
              <w:right w:val="single" w:sz="4" w:space="0" w:color="2E5496"/>
            </w:tcBorders>
            <w:shd w:val="clear" w:color="auto" w:fill="38761D"/>
            <w:tcMar>
              <w:top w:w="80" w:type="dxa"/>
              <w:left w:w="100" w:type="dxa"/>
              <w:bottom w:w="80" w:type="dxa"/>
              <w:right w:w="100" w:type="dxa"/>
            </w:tcMar>
            <w:vAlign w:val="center"/>
          </w:tcPr>
          <w:p w:rsidR="00600B77" w:rsidRDefault="0041638F">
            <w:pPr>
              <w:jc w:val="center"/>
            </w:pPr>
            <w:r>
              <w:rPr>
                <w:b/>
                <w:bCs/>
                <w:color w:val="FFFFFF"/>
                <w:sz w:val="16"/>
                <w:szCs w:val="16"/>
              </w:rPr>
              <w:t>Área</w:t>
            </w:r>
          </w:p>
        </w:tc>
        <w:tc>
          <w:tcPr>
            <w:tcW w:w="1200" w:type="dxa"/>
            <w:tcBorders>
              <w:top w:val="single" w:sz="4" w:space="0" w:color="2E5496"/>
              <w:left w:val="single" w:sz="4" w:space="0" w:color="2E5496"/>
              <w:bottom w:val="single" w:sz="4" w:space="0" w:color="2E5496"/>
              <w:right w:val="single" w:sz="4" w:space="0" w:color="2E5496"/>
            </w:tcBorders>
            <w:shd w:val="clear" w:color="auto" w:fill="38761D"/>
            <w:tcMar>
              <w:top w:w="80" w:type="dxa"/>
              <w:left w:w="100" w:type="dxa"/>
              <w:bottom w:w="80" w:type="dxa"/>
              <w:right w:w="100" w:type="dxa"/>
            </w:tcMar>
            <w:vAlign w:val="center"/>
          </w:tcPr>
          <w:p w:rsidR="00600B77" w:rsidRDefault="0041638F">
            <w:pPr>
              <w:jc w:val="center"/>
            </w:pPr>
            <w:r>
              <w:rPr>
                <w:b/>
                <w:bCs/>
                <w:color w:val="FFFFFF"/>
                <w:sz w:val="16"/>
                <w:szCs w:val="16"/>
              </w:rPr>
              <w:t>Unidad</w:t>
            </w:r>
          </w:p>
        </w:tc>
        <w:tc>
          <w:tcPr>
            <w:tcW w:w="1200" w:type="dxa"/>
            <w:tcBorders>
              <w:top w:val="single" w:sz="4" w:space="0" w:color="2E5496"/>
              <w:left w:val="single" w:sz="4" w:space="0" w:color="2E5496"/>
              <w:bottom w:val="single" w:sz="4" w:space="0" w:color="2E5496"/>
              <w:right w:val="single" w:sz="4" w:space="0" w:color="2E5496"/>
            </w:tcBorders>
            <w:shd w:val="clear" w:color="auto" w:fill="38761D"/>
            <w:tcMar>
              <w:top w:w="80" w:type="dxa"/>
              <w:left w:w="100" w:type="dxa"/>
              <w:bottom w:w="80" w:type="dxa"/>
              <w:right w:w="100" w:type="dxa"/>
            </w:tcMar>
            <w:vAlign w:val="center"/>
          </w:tcPr>
          <w:p w:rsidR="00600B77" w:rsidRDefault="0041638F">
            <w:pPr>
              <w:jc w:val="center"/>
            </w:pPr>
            <w:r>
              <w:rPr>
                <w:b/>
                <w:bCs/>
                <w:color w:val="FFFFFF"/>
                <w:sz w:val="16"/>
                <w:szCs w:val="16"/>
              </w:rPr>
              <w:t>Frecuencia</w:t>
            </w:r>
          </w:p>
        </w:tc>
        <w:tc>
          <w:tcPr>
            <w:tcW w:w="1826" w:type="dxa"/>
            <w:tcBorders>
              <w:top w:val="single" w:sz="4" w:space="0" w:color="2E5496"/>
              <w:left w:val="single" w:sz="4" w:space="0" w:color="2E5496"/>
              <w:bottom w:val="single" w:sz="4" w:space="0" w:color="2E5496"/>
              <w:right w:val="single" w:sz="4" w:space="0" w:color="2E5496"/>
            </w:tcBorders>
            <w:shd w:val="clear" w:color="auto" w:fill="38761D"/>
            <w:tcMar>
              <w:top w:w="80" w:type="dxa"/>
              <w:left w:w="100" w:type="dxa"/>
              <w:bottom w:w="80" w:type="dxa"/>
              <w:right w:w="100" w:type="dxa"/>
            </w:tcMar>
            <w:vAlign w:val="center"/>
          </w:tcPr>
          <w:p w:rsidR="00600B77" w:rsidRDefault="0041638F">
            <w:pPr>
              <w:jc w:val="center"/>
            </w:pPr>
            <w:r>
              <w:rPr>
                <w:b/>
                <w:bCs/>
                <w:color w:val="FFFFFF"/>
                <w:sz w:val="16"/>
                <w:szCs w:val="16"/>
              </w:rPr>
              <w:t>Meta</w:t>
            </w:r>
          </w:p>
        </w:tc>
      </w:tr>
      <w:tr w:rsidR="00600B77">
        <w:tc>
          <w:tcPr>
            <w:tcW w:w="4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pPr>
              <w:jc w:val="center"/>
            </w:pPr>
            <w:r>
              <w:rPr>
                <w:sz w:val="17"/>
                <w:szCs w:val="17"/>
              </w:rPr>
              <w:t>1</w:t>
            </w:r>
          </w:p>
        </w:tc>
        <w:tc>
          <w:tcPr>
            <w:tcW w:w="28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Disponibilidad de Equipos</w:t>
            </w:r>
          </w:p>
        </w:tc>
        <w:tc>
          <w:tcPr>
            <w:tcW w:w="16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Infraestructura</w:t>
            </w:r>
          </w:p>
        </w:tc>
        <w:tc>
          <w:tcPr>
            <w:tcW w:w="12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w:t>
            </w:r>
          </w:p>
        </w:tc>
        <w:tc>
          <w:tcPr>
            <w:tcW w:w="12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Semestral</w:t>
            </w:r>
          </w:p>
        </w:tc>
        <w:tc>
          <w:tcPr>
            <w:tcW w:w="1826"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rFonts w:ascii="Arial Unicode MS" w:eastAsia="Arial Unicode MS" w:hAnsi="Arial Unicode MS" w:cs="Arial Unicode MS"/>
                <w:sz w:val="17"/>
                <w:szCs w:val="17"/>
              </w:rPr>
              <w:t>≥ 90%</w:t>
            </w:r>
          </w:p>
        </w:tc>
      </w:tr>
      <w:tr w:rsidR="00600B77">
        <w:tc>
          <w:tcPr>
            <w:tcW w:w="4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pPr>
              <w:jc w:val="center"/>
            </w:pPr>
            <w:r>
              <w:rPr>
                <w:sz w:val="17"/>
                <w:szCs w:val="17"/>
              </w:rPr>
              <w:t>2</w:t>
            </w:r>
          </w:p>
        </w:tc>
        <w:tc>
          <w:tcPr>
            <w:tcW w:w="28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sz w:val="17"/>
                <w:szCs w:val="17"/>
              </w:rPr>
              <w:t>Tiempo de Resolución de Fallas</w:t>
            </w:r>
          </w:p>
        </w:tc>
        <w:tc>
          <w:tcPr>
            <w:tcW w:w="16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sz w:val="17"/>
                <w:szCs w:val="17"/>
              </w:rPr>
              <w:t>Mantenimiento</w:t>
            </w:r>
          </w:p>
        </w:tc>
        <w:tc>
          <w:tcPr>
            <w:tcW w:w="12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sz w:val="17"/>
                <w:szCs w:val="17"/>
              </w:rPr>
              <w:t>Días hábiles</w:t>
            </w:r>
          </w:p>
        </w:tc>
        <w:tc>
          <w:tcPr>
            <w:tcW w:w="12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sz w:val="17"/>
                <w:szCs w:val="17"/>
              </w:rPr>
              <w:t>Mensual</w:t>
            </w:r>
          </w:p>
        </w:tc>
        <w:tc>
          <w:tcPr>
            <w:tcW w:w="1826"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rFonts w:ascii="Arial Unicode MS" w:eastAsia="Arial Unicode MS" w:hAnsi="Arial Unicode MS" w:cs="Arial Unicode MS"/>
                <w:sz w:val="17"/>
                <w:szCs w:val="17"/>
              </w:rPr>
              <w:t>≤ 3 días</w:t>
            </w:r>
          </w:p>
        </w:tc>
      </w:tr>
      <w:tr w:rsidR="00600B77">
        <w:tc>
          <w:tcPr>
            <w:tcW w:w="4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pPr>
              <w:jc w:val="center"/>
            </w:pPr>
            <w:r>
              <w:rPr>
                <w:sz w:val="17"/>
                <w:szCs w:val="17"/>
              </w:rPr>
              <w:t>3</w:t>
            </w:r>
          </w:p>
        </w:tc>
        <w:tc>
          <w:tcPr>
            <w:tcW w:w="28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Mantenimiento Preventivo</w:t>
            </w:r>
          </w:p>
        </w:tc>
        <w:tc>
          <w:tcPr>
            <w:tcW w:w="16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Mantenimiento</w:t>
            </w:r>
          </w:p>
        </w:tc>
        <w:tc>
          <w:tcPr>
            <w:tcW w:w="12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w:t>
            </w:r>
          </w:p>
        </w:tc>
        <w:tc>
          <w:tcPr>
            <w:tcW w:w="12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Semestral</w:t>
            </w:r>
          </w:p>
        </w:tc>
        <w:tc>
          <w:tcPr>
            <w:tcW w:w="1826"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100%</w:t>
            </w:r>
          </w:p>
        </w:tc>
      </w:tr>
      <w:tr w:rsidR="00600B77">
        <w:tc>
          <w:tcPr>
            <w:tcW w:w="4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pPr>
              <w:jc w:val="center"/>
            </w:pPr>
            <w:r>
              <w:rPr>
                <w:sz w:val="17"/>
                <w:szCs w:val="17"/>
              </w:rPr>
              <w:t>4</w:t>
            </w:r>
          </w:p>
        </w:tc>
        <w:tc>
          <w:tcPr>
            <w:tcW w:w="28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sz w:val="17"/>
                <w:szCs w:val="17"/>
              </w:rPr>
              <w:t>Satisfacción de Usuarios</w:t>
            </w:r>
          </w:p>
        </w:tc>
        <w:tc>
          <w:tcPr>
            <w:tcW w:w="16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sz w:val="17"/>
                <w:szCs w:val="17"/>
              </w:rPr>
              <w:t>Calidad</w:t>
            </w:r>
          </w:p>
        </w:tc>
        <w:tc>
          <w:tcPr>
            <w:tcW w:w="12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sz w:val="17"/>
                <w:szCs w:val="17"/>
              </w:rPr>
              <w:t>Escala 1-10</w:t>
            </w:r>
          </w:p>
        </w:tc>
        <w:tc>
          <w:tcPr>
            <w:tcW w:w="12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sz w:val="17"/>
                <w:szCs w:val="17"/>
              </w:rPr>
              <w:t>Semestral</w:t>
            </w:r>
          </w:p>
        </w:tc>
        <w:tc>
          <w:tcPr>
            <w:tcW w:w="1826"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rFonts w:ascii="Arial Unicode MS" w:eastAsia="Arial Unicode MS" w:hAnsi="Arial Unicode MS" w:cs="Arial Unicode MS"/>
                <w:sz w:val="17"/>
                <w:szCs w:val="17"/>
              </w:rPr>
              <w:t>≥ 8.0</w:t>
            </w:r>
          </w:p>
        </w:tc>
      </w:tr>
      <w:tr w:rsidR="00600B77">
        <w:tc>
          <w:tcPr>
            <w:tcW w:w="4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pPr>
              <w:jc w:val="center"/>
            </w:pPr>
            <w:r>
              <w:rPr>
                <w:sz w:val="17"/>
                <w:szCs w:val="17"/>
              </w:rPr>
              <w:t>5</w:t>
            </w:r>
          </w:p>
        </w:tc>
        <w:tc>
          <w:tcPr>
            <w:tcW w:w="28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Cumplimiento del Reglamento</w:t>
            </w:r>
          </w:p>
        </w:tc>
        <w:tc>
          <w:tcPr>
            <w:tcW w:w="16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Disciplina</w:t>
            </w:r>
          </w:p>
        </w:tc>
        <w:tc>
          <w:tcPr>
            <w:tcW w:w="12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w:t>
            </w:r>
          </w:p>
        </w:tc>
        <w:tc>
          <w:tcPr>
            <w:tcW w:w="12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Mensual</w:t>
            </w:r>
          </w:p>
        </w:tc>
        <w:tc>
          <w:tcPr>
            <w:tcW w:w="1826"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rFonts w:ascii="Arial Unicode MS" w:eastAsia="Arial Unicode MS" w:hAnsi="Arial Unicode MS" w:cs="Arial Unicode MS"/>
                <w:sz w:val="17"/>
                <w:szCs w:val="17"/>
              </w:rPr>
              <w:t>≥ 95%</w:t>
            </w:r>
          </w:p>
        </w:tc>
      </w:tr>
      <w:tr w:rsidR="00600B77">
        <w:tc>
          <w:tcPr>
            <w:tcW w:w="400" w:type="dxa"/>
            <w:tcBorders>
              <w:top w:val="single" w:sz="4" w:space="0" w:color="2E5496"/>
              <w:left w:val="single" w:sz="4" w:space="0" w:color="2E5496"/>
              <w:bottom w:val="single" w:sz="4" w:space="0" w:color="2E5496"/>
              <w:right w:val="single" w:sz="4" w:space="0" w:color="2E5496"/>
            </w:tcBorders>
            <w:tcMar>
              <w:top w:w="60" w:type="dxa"/>
              <w:left w:w="100" w:type="dxa"/>
              <w:bottom w:w="60" w:type="dxa"/>
              <w:right w:w="100" w:type="dxa"/>
            </w:tcMar>
          </w:tcPr>
          <w:p w:rsidR="00600B77" w:rsidRDefault="0041638F">
            <w:pPr>
              <w:jc w:val="center"/>
            </w:pPr>
            <w:r>
              <w:rPr>
                <w:sz w:val="17"/>
                <w:szCs w:val="17"/>
              </w:rPr>
              <w:t>6</w:t>
            </w:r>
          </w:p>
        </w:tc>
        <w:tc>
          <w:tcPr>
            <w:tcW w:w="2800" w:type="dxa"/>
            <w:tcBorders>
              <w:top w:val="single" w:sz="4" w:space="0" w:color="2E5496"/>
              <w:left w:val="single" w:sz="4" w:space="0" w:color="2E5496"/>
              <w:bottom w:val="single" w:sz="4" w:space="0" w:color="2E5496"/>
              <w:right w:val="single" w:sz="4" w:space="0" w:color="2E5496"/>
            </w:tcBorders>
            <w:tcMar>
              <w:top w:w="60" w:type="dxa"/>
              <w:left w:w="100" w:type="dxa"/>
              <w:bottom w:w="60" w:type="dxa"/>
              <w:right w:w="100" w:type="dxa"/>
            </w:tcMar>
          </w:tcPr>
          <w:p w:rsidR="00600B77" w:rsidRDefault="0041638F">
            <w:r>
              <w:rPr>
                <w:sz w:val="17"/>
                <w:szCs w:val="17"/>
              </w:rPr>
              <w:t>Estado de Infraestructura de Red</w:t>
            </w:r>
          </w:p>
        </w:tc>
        <w:tc>
          <w:tcPr>
            <w:tcW w:w="1600" w:type="dxa"/>
            <w:tcBorders>
              <w:top w:val="single" w:sz="4" w:space="0" w:color="2E5496"/>
              <w:left w:val="single" w:sz="4" w:space="0" w:color="2E5496"/>
              <w:bottom w:val="single" w:sz="4" w:space="0" w:color="2E5496"/>
              <w:right w:val="single" w:sz="4" w:space="0" w:color="2E5496"/>
            </w:tcBorders>
            <w:tcMar>
              <w:top w:w="60" w:type="dxa"/>
              <w:left w:w="100" w:type="dxa"/>
              <w:bottom w:w="60" w:type="dxa"/>
              <w:right w:w="100" w:type="dxa"/>
            </w:tcMar>
          </w:tcPr>
          <w:p w:rsidR="00600B77" w:rsidRDefault="0041638F">
            <w:r>
              <w:rPr>
                <w:sz w:val="17"/>
                <w:szCs w:val="17"/>
              </w:rPr>
              <w:t>Red</w:t>
            </w:r>
          </w:p>
        </w:tc>
        <w:tc>
          <w:tcPr>
            <w:tcW w:w="1200" w:type="dxa"/>
            <w:tcBorders>
              <w:top w:val="single" w:sz="4" w:space="0" w:color="2E5496"/>
              <w:left w:val="single" w:sz="4" w:space="0" w:color="2E5496"/>
              <w:bottom w:val="single" w:sz="4" w:space="0" w:color="2E5496"/>
              <w:right w:val="single" w:sz="4" w:space="0" w:color="2E5496"/>
            </w:tcBorders>
            <w:tcMar>
              <w:top w:w="60" w:type="dxa"/>
              <w:left w:w="100" w:type="dxa"/>
              <w:bottom w:w="60" w:type="dxa"/>
              <w:right w:w="100" w:type="dxa"/>
            </w:tcMar>
          </w:tcPr>
          <w:p w:rsidR="00600B77" w:rsidRDefault="0041638F">
            <w:r>
              <w:rPr>
                <w:sz w:val="17"/>
                <w:szCs w:val="17"/>
              </w:rPr>
              <w:t>%</w:t>
            </w:r>
          </w:p>
        </w:tc>
        <w:tc>
          <w:tcPr>
            <w:tcW w:w="1200" w:type="dxa"/>
            <w:tcBorders>
              <w:top w:val="single" w:sz="4" w:space="0" w:color="2E5496"/>
              <w:left w:val="single" w:sz="4" w:space="0" w:color="2E5496"/>
              <w:bottom w:val="single" w:sz="4" w:space="0" w:color="2E5496"/>
              <w:right w:val="single" w:sz="4" w:space="0" w:color="2E5496"/>
            </w:tcBorders>
            <w:tcMar>
              <w:top w:w="60" w:type="dxa"/>
              <w:left w:w="100" w:type="dxa"/>
              <w:bottom w:w="60" w:type="dxa"/>
              <w:right w:w="100" w:type="dxa"/>
            </w:tcMar>
          </w:tcPr>
          <w:p w:rsidR="00600B77" w:rsidRDefault="0041638F">
            <w:r>
              <w:rPr>
                <w:sz w:val="17"/>
                <w:szCs w:val="17"/>
              </w:rPr>
              <w:t>Semestral</w:t>
            </w:r>
          </w:p>
        </w:tc>
        <w:tc>
          <w:tcPr>
            <w:tcW w:w="1826" w:type="dxa"/>
            <w:tcBorders>
              <w:top w:val="single" w:sz="4" w:space="0" w:color="2E5496"/>
              <w:left w:val="single" w:sz="4" w:space="0" w:color="2E5496"/>
              <w:bottom w:val="single" w:sz="4" w:space="0" w:color="2E5496"/>
              <w:right w:val="single" w:sz="4" w:space="0" w:color="2E5496"/>
            </w:tcBorders>
            <w:tcMar>
              <w:top w:w="60" w:type="dxa"/>
              <w:left w:w="100" w:type="dxa"/>
              <w:bottom w:w="60" w:type="dxa"/>
              <w:right w:w="100" w:type="dxa"/>
            </w:tcMar>
          </w:tcPr>
          <w:p w:rsidR="00600B77" w:rsidRDefault="0041638F">
            <w:r>
              <w:rPr>
                <w:rFonts w:ascii="Arial Unicode MS" w:eastAsia="Arial Unicode MS" w:hAnsi="Arial Unicode MS" w:cs="Arial Unicode MS"/>
                <w:sz w:val="17"/>
                <w:szCs w:val="17"/>
              </w:rPr>
              <w:t>≥ 95%</w:t>
            </w:r>
          </w:p>
        </w:tc>
      </w:tr>
      <w:tr w:rsidR="00600B77">
        <w:tc>
          <w:tcPr>
            <w:tcW w:w="4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pPr>
              <w:jc w:val="center"/>
            </w:pPr>
            <w:r>
              <w:rPr>
                <w:sz w:val="17"/>
                <w:szCs w:val="17"/>
              </w:rPr>
              <w:t>7</w:t>
            </w:r>
          </w:p>
        </w:tc>
        <w:tc>
          <w:tcPr>
            <w:tcW w:w="28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Actualización de Software</w:t>
            </w:r>
          </w:p>
        </w:tc>
        <w:tc>
          <w:tcPr>
            <w:tcW w:w="16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Software</w:t>
            </w:r>
          </w:p>
        </w:tc>
        <w:tc>
          <w:tcPr>
            <w:tcW w:w="12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w:t>
            </w:r>
          </w:p>
        </w:tc>
        <w:tc>
          <w:tcPr>
            <w:tcW w:w="1200"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Semestral</w:t>
            </w:r>
          </w:p>
        </w:tc>
        <w:tc>
          <w:tcPr>
            <w:tcW w:w="1826" w:type="dxa"/>
            <w:tcBorders>
              <w:top w:val="single" w:sz="4" w:space="0" w:color="2E5496"/>
              <w:left w:val="single" w:sz="4" w:space="0" w:color="2E5496"/>
              <w:bottom w:val="single" w:sz="4" w:space="0" w:color="2E5496"/>
              <w:right w:val="single" w:sz="4" w:space="0" w:color="2E5496"/>
            </w:tcBorders>
            <w:shd w:val="clear" w:color="auto" w:fill="D9EAD3"/>
            <w:tcMar>
              <w:top w:w="60" w:type="dxa"/>
              <w:left w:w="100" w:type="dxa"/>
              <w:bottom w:w="60" w:type="dxa"/>
              <w:right w:w="100" w:type="dxa"/>
            </w:tcMar>
          </w:tcPr>
          <w:p w:rsidR="00600B77" w:rsidRDefault="0041638F">
            <w:r>
              <w:rPr>
                <w:sz w:val="17"/>
                <w:szCs w:val="17"/>
              </w:rPr>
              <w:t>100%</w:t>
            </w:r>
          </w:p>
        </w:tc>
      </w:tr>
      <w:tr w:rsidR="00600B77">
        <w:tc>
          <w:tcPr>
            <w:tcW w:w="4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pPr>
              <w:jc w:val="center"/>
            </w:pPr>
            <w:r>
              <w:rPr>
                <w:sz w:val="17"/>
                <w:szCs w:val="17"/>
              </w:rPr>
              <w:t>8</w:t>
            </w:r>
          </w:p>
        </w:tc>
        <w:tc>
          <w:tcPr>
            <w:tcW w:w="28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sz w:val="17"/>
                <w:szCs w:val="17"/>
              </w:rPr>
              <w:t>Incidentes de Seguridad</w:t>
            </w:r>
          </w:p>
        </w:tc>
        <w:tc>
          <w:tcPr>
            <w:tcW w:w="16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sz w:val="17"/>
                <w:szCs w:val="17"/>
              </w:rPr>
              <w:t>Seguridad</w:t>
            </w:r>
          </w:p>
        </w:tc>
        <w:tc>
          <w:tcPr>
            <w:tcW w:w="12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sz w:val="17"/>
                <w:szCs w:val="17"/>
              </w:rPr>
              <w:t>Número</w:t>
            </w:r>
          </w:p>
        </w:tc>
        <w:tc>
          <w:tcPr>
            <w:tcW w:w="1200"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sz w:val="17"/>
                <w:szCs w:val="17"/>
              </w:rPr>
              <w:t>Mensual</w:t>
            </w:r>
          </w:p>
        </w:tc>
        <w:tc>
          <w:tcPr>
            <w:tcW w:w="1826" w:type="dxa"/>
            <w:tcBorders>
              <w:top w:val="single" w:sz="4" w:space="0" w:color="2E5496"/>
              <w:left w:val="single" w:sz="4" w:space="0" w:color="2E5496"/>
              <w:bottom w:val="single" w:sz="4" w:space="0" w:color="2E5496"/>
              <w:right w:val="single" w:sz="4" w:space="0" w:color="2E5496"/>
            </w:tcBorders>
            <w:shd w:val="clear" w:color="auto" w:fill="FFFFFF"/>
            <w:tcMar>
              <w:top w:w="60" w:type="dxa"/>
              <w:left w:w="100" w:type="dxa"/>
              <w:bottom w:w="60" w:type="dxa"/>
              <w:right w:w="100" w:type="dxa"/>
            </w:tcMar>
          </w:tcPr>
          <w:p w:rsidR="00600B77" w:rsidRDefault="0041638F">
            <w:r>
              <w:rPr>
                <w:sz w:val="17"/>
                <w:szCs w:val="17"/>
              </w:rPr>
              <w:t>0</w:t>
            </w:r>
          </w:p>
        </w:tc>
      </w:tr>
    </w:tbl>
    <w:p w:rsidR="00600B77" w:rsidRDefault="00600B77">
      <w:pPr>
        <w:spacing w:before="80" w:after="80"/>
      </w:pPr>
    </w:p>
    <w:p w:rsidR="00600B77" w:rsidRDefault="00600B77">
      <w:pPr>
        <w:spacing w:before="100" w:after="100"/>
      </w:pPr>
    </w:p>
    <w:p w:rsidR="00600B77" w:rsidRDefault="0041638F">
      <w:pPr>
        <w:pStyle w:val="Ttulo2"/>
        <w:spacing w:before="400" w:after="80"/>
        <w:jc w:val="center"/>
        <w:rPr>
          <w:color w:val="000000"/>
        </w:rPr>
      </w:pPr>
      <w:bookmarkStart w:id="1" w:name="_2gaazvlu333f" w:colFirst="0" w:colLast="0"/>
      <w:bookmarkEnd w:id="1"/>
      <w:r>
        <w:rPr>
          <w:color w:val="000000"/>
        </w:rPr>
        <w:t>#Ciencia, Patria y Cultura</w:t>
      </w:r>
    </w:p>
    <w:sectPr w:rsidR="00600B77">
      <w:headerReference w:type="default" r:id="rId7"/>
      <w:footerReference w:type="default" r:id="rId8"/>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0481" w:rsidRDefault="00DF0481">
      <w:r>
        <w:separator/>
      </w:r>
    </w:p>
  </w:endnote>
  <w:endnote w:type="continuationSeparator" w:id="0">
    <w:p w:rsidR="00DF0481" w:rsidRDefault="00DF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47A3038-EFE8-465B-914E-43E703F13EEF}"/>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6BB6FE1B-E8CF-4D00-A366-046129F9D7E4}"/>
  </w:font>
  <w:font w:name="Cambria">
    <w:panose1 w:val="02040503050406030204"/>
    <w:charset w:val="00"/>
    <w:family w:val="roman"/>
    <w:pitch w:val="variable"/>
    <w:sig w:usb0="E00006FF" w:usb1="420024FF" w:usb2="02000000" w:usb3="00000000" w:csb0="0000019F" w:csb1="00000000"/>
    <w:embedRegular r:id="rId3" w:fontKey="{64CF94B2-94A8-4275-82E2-4B9DC77F0D91}"/>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0B77" w:rsidRDefault="0041638F">
    <w:pPr>
      <w:pBdr>
        <w:top w:val="single" w:sz="4" w:space="1" w:color="2E5496"/>
      </w:pBdr>
      <w:jc w:val="center"/>
    </w:pPr>
    <w:r>
      <w:rPr>
        <w:color w:val="777777"/>
        <w:sz w:val="16"/>
        <w:szCs w:val="16"/>
      </w:rPr>
      <w:t xml:space="preserve">Indicadores de Evaluación - Laboratorio de Redes   |   Pág. </w:t>
    </w:r>
    <w:r>
      <w:rPr>
        <w:color w:val="777777"/>
        <w:sz w:val="16"/>
        <w:szCs w:val="16"/>
      </w:rPr>
      <w:fldChar w:fldCharType="begin"/>
    </w:r>
    <w:r>
      <w:rPr>
        <w:color w:val="777777"/>
        <w:sz w:val="16"/>
        <w:szCs w:val="16"/>
      </w:rPr>
      <w:instrText>PAGE</w:instrText>
    </w:r>
    <w:r>
      <w:rPr>
        <w:color w:val="777777"/>
        <w:sz w:val="16"/>
        <w:szCs w:val="16"/>
      </w:rPr>
      <w:fldChar w:fldCharType="separate"/>
    </w:r>
    <w:r w:rsidR="005106E6">
      <w:rPr>
        <w:noProof/>
        <w:color w:val="777777"/>
        <w:sz w:val="16"/>
        <w:szCs w:val="16"/>
      </w:rPr>
      <w:t>4</w:t>
    </w:r>
    <w:r>
      <w:rPr>
        <w:color w:val="777777"/>
        <w:sz w:val="16"/>
        <w:szCs w:val="16"/>
      </w:rPr>
      <w:fldChar w:fldCharType="end"/>
    </w:r>
    <w:r>
      <w:rPr>
        <w:color w:val="777777"/>
        <w:sz w:val="16"/>
        <w:szCs w:val="16"/>
      </w:rPr>
      <w:t xml:space="preserve"> de </w:t>
    </w:r>
    <w:r>
      <w:rPr>
        <w:color w:val="777777"/>
        <w:sz w:val="16"/>
        <w:szCs w:val="16"/>
      </w:rPr>
      <w:fldChar w:fldCharType="begin"/>
    </w:r>
    <w:r>
      <w:rPr>
        <w:color w:val="777777"/>
        <w:sz w:val="16"/>
        <w:szCs w:val="16"/>
      </w:rPr>
      <w:instrText>NUMPAGES</w:instrText>
    </w:r>
    <w:r>
      <w:rPr>
        <w:color w:val="777777"/>
        <w:sz w:val="16"/>
        <w:szCs w:val="16"/>
      </w:rPr>
      <w:fldChar w:fldCharType="separate"/>
    </w:r>
    <w:r w:rsidR="005106E6">
      <w:rPr>
        <w:noProof/>
        <w:color w:val="777777"/>
        <w:sz w:val="16"/>
        <w:szCs w:val="16"/>
      </w:rPr>
      <w:t>5</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0481" w:rsidRDefault="00DF0481">
      <w:r>
        <w:separator/>
      </w:r>
    </w:p>
  </w:footnote>
  <w:footnote w:type="continuationSeparator" w:id="0">
    <w:p w:rsidR="00DF0481" w:rsidRDefault="00DF048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0B77" w:rsidRDefault="0041638F">
    <w:pPr>
      <w:pBdr>
        <w:bottom w:val="single" w:sz="6" w:space="1" w:color="2E5496"/>
      </w:pBdr>
      <w:jc w:val="center"/>
    </w:pPr>
    <w:r>
      <w:rPr>
        <w:b/>
        <w:bCs/>
        <w:color w:val="1F3864"/>
        <w:sz w:val="16"/>
        <w:szCs w:val="16"/>
      </w:rPr>
      <w:t xml:space="preserve">Universidad Autónoma del Estado de </w:t>
    </w:r>
    <w:r w:rsidR="005106E6">
      <w:rPr>
        <w:b/>
        <w:bCs/>
        <w:color w:val="1F3864"/>
        <w:sz w:val="16"/>
        <w:szCs w:val="16"/>
      </w:rPr>
      <w:t>México | Centro</w:t>
    </w:r>
    <w:r>
      <w:rPr>
        <w:b/>
        <w:bCs/>
        <w:color w:val="1F3864"/>
        <w:sz w:val="16"/>
        <w:szCs w:val="16"/>
      </w:rPr>
      <w:t xml:space="preserve"> Universitario UAEM </w:t>
    </w:r>
    <w:r w:rsidR="005106E6">
      <w:rPr>
        <w:b/>
        <w:bCs/>
        <w:color w:val="1F3864"/>
        <w:sz w:val="16"/>
        <w:szCs w:val="16"/>
      </w:rPr>
      <w:t>Zumpango | Ingeniería</w:t>
    </w:r>
    <w:r>
      <w:rPr>
        <w:b/>
        <w:bCs/>
        <w:color w:val="1F3864"/>
        <w:sz w:val="16"/>
        <w:szCs w:val="16"/>
      </w:rPr>
      <w:t xml:space="preserve"> en Computación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C3642"/>
    <w:multiLevelType w:val="multilevel"/>
    <w:tmpl w:val="866C7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B77"/>
    <w:rsid w:val="0041638F"/>
    <w:rsid w:val="005106E6"/>
    <w:rsid w:val="00600B77"/>
    <w:rsid w:val="00C30F8F"/>
    <w:rsid w:val="00CD1730"/>
    <w:rsid w:val="00DF04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06F986-7EBA-4EF1-81C4-B269F85F9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pBdr>
        <w:top w:val="nil"/>
        <w:left w:val="nil"/>
        <w:bottom w:val="nil"/>
        <w:right w:val="nil"/>
        <w:between w:val="nil"/>
      </w:pBdr>
      <w:spacing w:before="300" w:after="150"/>
      <w:jc w:val="center"/>
      <w:outlineLvl w:val="0"/>
    </w:pPr>
    <w:rPr>
      <w:b/>
      <w:bCs/>
      <w:color w:val="1F3864"/>
      <w:sz w:val="26"/>
      <w:szCs w:val="26"/>
    </w:rPr>
  </w:style>
  <w:style w:type="paragraph" w:styleId="Ttulo2">
    <w:name w:val="heading 2"/>
    <w:basedOn w:val="Normal"/>
    <w:next w:val="Normal"/>
    <w:pPr>
      <w:spacing w:before="300" w:after="120"/>
      <w:outlineLvl w:val="1"/>
    </w:pPr>
    <w:rPr>
      <w:b/>
      <w:bCs/>
      <w:color w:val="2E5496"/>
      <w:sz w:val="22"/>
      <w:szCs w:val="22"/>
    </w:rPr>
  </w:style>
  <w:style w:type="paragraph" w:styleId="Ttulo3">
    <w:name w:val="heading 3"/>
    <w:basedOn w:val="Normal"/>
    <w:next w:val="Normal"/>
    <w:pPr>
      <w:pBdr>
        <w:top w:val="nil"/>
        <w:left w:val="nil"/>
        <w:bottom w:val="nil"/>
        <w:right w:val="nil"/>
        <w:between w:val="nil"/>
      </w:pBdr>
      <w:spacing w:before="200" w:after="80"/>
      <w:outlineLvl w:val="2"/>
    </w:pPr>
    <w:rPr>
      <w:b/>
      <w:bCs/>
      <w:color w:val="1F3864"/>
    </w:rPr>
  </w:style>
  <w:style w:type="paragraph" w:styleId="Ttulo4">
    <w:name w:val="heading 4"/>
    <w:basedOn w:val="Normal"/>
    <w:next w:val="Normal"/>
    <w:pPr>
      <w:pBdr>
        <w:top w:val="nil"/>
        <w:left w:val="nil"/>
        <w:bottom w:val="nil"/>
        <w:right w:val="nil"/>
        <w:between w:val="nil"/>
      </w:pBdr>
      <w:outlineLvl w:val="3"/>
    </w:pPr>
    <w:rPr>
      <w:i/>
      <w:iCs/>
      <w:color w:val="2E74B5"/>
    </w:rPr>
  </w:style>
  <w:style w:type="paragraph" w:styleId="Ttulo5">
    <w:name w:val="heading 5"/>
    <w:basedOn w:val="Normal"/>
    <w:next w:val="Normal"/>
    <w:pPr>
      <w:pBdr>
        <w:top w:val="nil"/>
        <w:left w:val="nil"/>
        <w:bottom w:val="nil"/>
        <w:right w:val="nil"/>
        <w:between w:val="nil"/>
      </w:pBdr>
      <w:outlineLvl w:val="4"/>
    </w:pPr>
    <w:rPr>
      <w:color w:val="2E74B5"/>
    </w:rPr>
  </w:style>
  <w:style w:type="paragraph" w:styleId="Ttulo6">
    <w:name w:val="heading 6"/>
    <w:basedOn w:val="Normal"/>
    <w:next w:val="Normal"/>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nil"/>
        <w:left w:val="nil"/>
        <w:bottom w:val="nil"/>
        <w:right w:val="nil"/>
        <w:between w:val="nil"/>
      </w:pBdr>
    </w:pPr>
    <w:rPr>
      <w:color w:val="000000"/>
      <w:sz w:val="56"/>
      <w:szCs w:val="56"/>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5106E6"/>
    <w:pPr>
      <w:tabs>
        <w:tab w:val="center" w:pos="4419"/>
        <w:tab w:val="right" w:pos="8838"/>
      </w:tabs>
    </w:pPr>
  </w:style>
  <w:style w:type="character" w:customStyle="1" w:styleId="EncabezadoCar">
    <w:name w:val="Encabezado Car"/>
    <w:basedOn w:val="Fuentedeprrafopredeter"/>
    <w:link w:val="Encabezado"/>
    <w:uiPriority w:val="99"/>
    <w:rsid w:val="005106E6"/>
  </w:style>
  <w:style w:type="paragraph" w:styleId="Piedepgina">
    <w:name w:val="footer"/>
    <w:basedOn w:val="Normal"/>
    <w:link w:val="PiedepginaCar"/>
    <w:uiPriority w:val="99"/>
    <w:unhideWhenUsed/>
    <w:rsid w:val="005106E6"/>
    <w:pPr>
      <w:tabs>
        <w:tab w:val="center" w:pos="4419"/>
        <w:tab w:val="right" w:pos="8838"/>
      </w:tabs>
    </w:pPr>
  </w:style>
  <w:style w:type="character" w:customStyle="1" w:styleId="PiedepginaCar">
    <w:name w:val="Pie de página Car"/>
    <w:basedOn w:val="Fuentedeprrafopredeter"/>
    <w:link w:val="Piedepgina"/>
    <w:uiPriority w:val="99"/>
    <w:rsid w:val="00510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1641</Words>
  <Characters>9031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LEONEL GARCIA PEREZ</cp:lastModifiedBy>
  <cp:revision>3</cp:revision>
  <dcterms:created xsi:type="dcterms:W3CDTF">2026-03-02T17:54:00Z</dcterms:created>
  <dcterms:modified xsi:type="dcterms:W3CDTF">2026-03-04T15:58:00Z</dcterms:modified>
</cp:coreProperties>
</file>