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1. Definitions</w:t>
      </w:r>
    </w:p>
    <w:p>
      <w:r>
        <w:t xml:space="preserve">This Agreement means this document, entered into by the parties below.</w:t>
      </w:r>
    </w:p>
    <w:p>
      <w:r>
        <w:t xml:space="preserve">Article 2: Governing Law</w:t>
      </w:r>
    </w:p>
    <w:p>
      <w:r>
        <w:t xml:space="preserve">This agreement is governed by the laws of the State of Kuwait.</w:t>
      </w:r>
    </w:p>
    <w:p>
      <w:r>
        <w:t xml:space="preserve">المادة 3: الإنهاء</w:t>
      </w:r>
    </w:p>
    <w:p>
      <w:r>
        <w:t xml:space="preserve">يجوز لأي طرف إنهاء هذه الاتفاقية بإشعار كتابي مدته ثلاثون يوماً.</w:t>
      </w:r>
    </w:p>
    <w:p>
      <w:r>
        <w:t xml:space="preserve">المادة 4: السرية</w:t>
      </w:r>
    </w:p>
    <w:p>
      <w:r>
        <w:t xml:space="preserve">يلتزم كل طرف بالحفاظ على سرية المعلومات المتبادلة بموجب هذه الاتفاقية.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