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1B7" w:rsidRDefault="008141B7"/>
    <w:p w:rsidR="008141B7" w:rsidRDefault="00F0064C">
      <w:pPr>
        <w:jc w:val="center"/>
      </w:pPr>
      <w:r>
        <w:rPr>
          <w:b/>
          <w:color w:val="1F497D"/>
          <w:sz w:val="44"/>
        </w:rPr>
        <w:t>FY2024 Sales Performance Analysis Report</w:t>
      </w:r>
    </w:p>
    <w:p w:rsidR="008141B7" w:rsidRDefault="00F0064C">
      <w:pPr>
        <w:jc w:val="center"/>
      </w:pPr>
      <w:r>
        <w:rPr>
          <w:color w:val="707070"/>
          <w:sz w:val="26"/>
        </w:rPr>
        <w:t>B2B Office Supplies | Analytics Division</w:t>
      </w:r>
    </w:p>
    <w:p w:rsidR="008141B7" w:rsidRDefault="008141B7"/>
    <w:p w:rsidR="008141B7" w:rsidRDefault="00F0064C">
      <w:pPr>
        <w:jc w:val="center"/>
      </w:pPr>
      <w:r>
        <w:t>Prepared by: Rishab (Data Analyst Intern)</w:t>
      </w:r>
      <w:r>
        <w:br/>
        <w:t>Period: FY2024 (January – December 2024)</w:t>
      </w:r>
      <w:r>
        <w:br/>
        <w:t>Dataset: 1,000 transactions | 8 C</w:t>
      </w:r>
      <w:bookmarkStart w:id="0" w:name="_GoBack"/>
      <w:bookmarkEnd w:id="0"/>
      <w:r>
        <w:t>ities | 3 Categories</w:t>
      </w:r>
    </w:p>
    <w:p w:rsidR="008141B7" w:rsidRDefault="00F0064C">
      <w:r>
        <w:br w:type="page"/>
      </w:r>
    </w:p>
    <w:p w:rsidR="008141B7" w:rsidRDefault="00F0064C" w:rsidP="00F0064C">
      <w:pPr>
        <w:pStyle w:val="Heading1"/>
        <w:jc w:val="both"/>
      </w:pPr>
      <w:r>
        <w:rPr>
          <w:color w:val="1F497D"/>
        </w:rPr>
        <w:lastRenderedPageBreak/>
        <w:t>1. Executive Summary</w:t>
      </w:r>
    </w:p>
    <w:p w:rsidR="008141B7" w:rsidRDefault="00F0064C" w:rsidP="00F0064C">
      <w:pPr>
        <w:jc w:val="both"/>
      </w:pPr>
      <w:r>
        <w:t>This report</w:t>
      </w:r>
      <w:r>
        <w:t xml:space="preserve"> presents a comprehensive analysis of FY2024 sales data for a B2B office supplies company operating across 8 major Indian cities. The analysis covers revenue trends, product performance, regional insights, channel effectiveness, and customer satisfaction b</w:t>
      </w:r>
      <w:r>
        <w:t>ased on 1,000 transaction records.</w:t>
      </w:r>
    </w:p>
    <w:p w:rsidR="008141B7" w:rsidRDefault="008141B7" w:rsidP="00F0064C">
      <w:pPr>
        <w:jc w:val="both"/>
      </w:pPr>
    </w:p>
    <w:p w:rsidR="008141B7" w:rsidRDefault="00F0064C" w:rsidP="00F0064C">
      <w:pPr>
        <w:jc w:val="both"/>
      </w:pPr>
      <w:r>
        <w:rPr>
          <w:b/>
        </w:rPr>
        <w:t>Key Performance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Total Revenue FY2024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₹</w:t>
            </w:r>
            <w:r>
              <w:t>5.08 Crore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Total Orders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1,000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Average Order Value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₹</w:t>
            </w:r>
            <w:r>
              <w:t>50,803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Overall Customer Rating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3.01 / 5</w:t>
            </w:r>
          </w:p>
        </w:tc>
      </w:tr>
    </w:tbl>
    <w:p w:rsidR="008141B7" w:rsidRDefault="008141B7" w:rsidP="00F0064C">
      <w:pPr>
        <w:jc w:val="both"/>
      </w:pPr>
    </w:p>
    <w:p w:rsidR="008141B7" w:rsidRDefault="00F0064C">
      <w:pPr>
        <w:pStyle w:val="Heading1"/>
      </w:pPr>
      <w:r>
        <w:rPr>
          <w:color w:val="1F497D"/>
        </w:rPr>
        <w:t>2. Revenue &amp; Sales Trends</w:t>
      </w:r>
    </w:p>
    <w:p w:rsidR="008141B7" w:rsidRDefault="00F0064C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1DEECA5" wp14:editId="40295C38">
            <wp:extent cx="50292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revenue_tre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B7" w:rsidRDefault="00F0064C">
      <w:pPr>
        <w:jc w:val="center"/>
      </w:pPr>
      <w:r>
        <w:rPr>
          <w:sz w:val="18"/>
        </w:rPr>
        <w:t>Figure 1: Monthly Revenue Trend FY2024</w:t>
      </w:r>
    </w:p>
    <w:p w:rsidR="008141B7" w:rsidRDefault="008141B7"/>
    <w:p w:rsidR="008141B7" w:rsidRDefault="00F0064C" w:rsidP="00F0064C">
      <w:pPr>
        <w:pStyle w:val="ListBullet"/>
        <w:jc w:val="both"/>
      </w:pPr>
      <w:r>
        <w:rPr>
          <w:b/>
        </w:rPr>
        <w:t xml:space="preserve">Q4 is </w:t>
      </w:r>
      <w:r>
        <w:rPr>
          <w:b/>
        </w:rPr>
        <w:t>the strongest quarter</w:t>
      </w:r>
      <w:r>
        <w:t xml:space="preserve"> at ₹1.65 crore, driven by an October spike of ₹77.5 lakh — likely festive season (Dussehra/Diwali) demand.</w:t>
      </w:r>
    </w:p>
    <w:p w:rsidR="008141B7" w:rsidRDefault="00F0064C" w:rsidP="00F0064C">
      <w:pPr>
        <w:pStyle w:val="ListBullet"/>
        <w:jc w:val="both"/>
      </w:pPr>
      <w:r>
        <w:rPr>
          <w:b/>
        </w:rPr>
        <w:t>Q3 is the weakest quarter</w:t>
      </w:r>
      <w:r>
        <w:t xml:space="preserve"> at ₹1.05 crore — July to September shows a consistent dip that needs a targeted sales push next year.</w:t>
      </w:r>
    </w:p>
    <w:p w:rsidR="008141B7" w:rsidRDefault="00F0064C" w:rsidP="00F0064C">
      <w:pPr>
        <w:pStyle w:val="ListBullet"/>
        <w:jc w:val="both"/>
      </w:pPr>
      <w:r>
        <w:rPr>
          <w:b/>
        </w:rPr>
        <w:t>January is the weakest individual month</w:t>
      </w:r>
      <w:r>
        <w:t xml:space="preserve"> at ₹27 lakh, suggesting slow post-holiday business activity.</w:t>
      </w:r>
    </w:p>
    <w:p w:rsidR="008141B7" w:rsidRDefault="008141B7"/>
    <w:p w:rsidR="008141B7" w:rsidRDefault="00F0064C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0DC3A7DD" wp14:editId="260B82C2">
            <wp:extent cx="4114800" cy="23513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rterly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B7" w:rsidRDefault="00F0064C">
      <w:pPr>
        <w:jc w:val="center"/>
      </w:pPr>
      <w:r>
        <w:rPr>
          <w:sz w:val="18"/>
        </w:rPr>
        <w:t>Figure 2: Revenue by Quarter</w:t>
      </w:r>
    </w:p>
    <w:p w:rsidR="008141B7" w:rsidRDefault="008141B7"/>
    <w:p w:rsidR="008141B7" w:rsidRDefault="00F0064C" w:rsidP="00F0064C">
      <w:pPr>
        <w:pStyle w:val="Heading1"/>
        <w:jc w:val="both"/>
      </w:pPr>
      <w:r>
        <w:rPr>
          <w:color w:val="1F497D"/>
        </w:rPr>
        <w:t>3. Product Performance</w:t>
      </w:r>
    </w:p>
    <w:p w:rsidR="008141B7" w:rsidRDefault="00F0064C" w:rsidP="00F0064C">
      <w:pPr>
        <w:jc w:val="both"/>
      </w:pPr>
      <w:r>
        <w:rPr>
          <w:b/>
        </w:rPr>
        <w:t>Top 5 Products by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rPr>
                <w:b/>
              </w:rPr>
              <w:t>Product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rPr>
                <w:b/>
              </w:rPr>
              <w:t>Revenue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Laptop Pro 15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₹</w:t>
            </w:r>
            <w:r>
              <w:t>23,026,250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Standing Desk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₹</w:t>
            </w:r>
            <w:r>
              <w:t>8,098,200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Mo</w:t>
            </w:r>
            <w:r>
              <w:t>nitor 24 inch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₹</w:t>
            </w:r>
            <w:r>
              <w:t>6,703,200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Office Chair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₹</w:t>
            </w:r>
            <w:r>
              <w:t>4,214,400</w:t>
            </w:r>
          </w:p>
        </w:tc>
      </w:tr>
      <w:tr w:rsidR="008141B7"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Filing Cabinet</w:t>
            </w:r>
          </w:p>
        </w:tc>
        <w:tc>
          <w:tcPr>
            <w:tcW w:w="4392" w:type="dxa"/>
          </w:tcPr>
          <w:p w:rsidR="008141B7" w:rsidRDefault="00F0064C" w:rsidP="00F0064C">
            <w:pPr>
              <w:jc w:val="both"/>
            </w:pPr>
            <w:r>
              <w:t>₹</w:t>
            </w:r>
            <w:r>
              <w:t>2,359,175</w:t>
            </w:r>
          </w:p>
        </w:tc>
      </w:tr>
    </w:tbl>
    <w:p w:rsidR="008141B7" w:rsidRDefault="008141B7" w:rsidP="00F0064C">
      <w:pPr>
        <w:jc w:val="both"/>
      </w:pPr>
    </w:p>
    <w:p w:rsidR="008141B7" w:rsidRDefault="00F0064C" w:rsidP="00F0064C">
      <w:pPr>
        <w:pStyle w:val="ListBullet"/>
        <w:jc w:val="both"/>
      </w:pPr>
      <w:r>
        <w:rPr>
          <w:b/>
        </w:rPr>
        <w:t>Laptop Pro 15 alone</w:t>
      </w:r>
      <w:r>
        <w:t xml:space="preserve"> contributes ₹2.3 crore — 45% of total revenue from one product. This is a significant concentration risk.</w:t>
      </w:r>
    </w:p>
    <w:p w:rsidR="008141B7" w:rsidRDefault="00F0064C" w:rsidP="00F0064C">
      <w:pPr>
        <w:pStyle w:val="ListBullet"/>
        <w:jc w:val="both"/>
      </w:pPr>
      <w:r>
        <w:rPr>
          <w:b/>
        </w:rPr>
        <w:t>Bottom 5 products</w:t>
      </w:r>
      <w:r>
        <w:t xml:space="preserve"> are all Stationery items with combined revenue under ₹6.5 lakh for the full year.</w:t>
      </w:r>
    </w:p>
    <w:p w:rsidR="008141B7" w:rsidRDefault="00F0064C" w:rsidP="00F0064C">
      <w:pPr>
        <w:pStyle w:val="ListBullet"/>
        <w:jc w:val="both"/>
      </w:pPr>
      <w:r>
        <w:rPr>
          <w:b/>
        </w:rPr>
        <w:t>Discount strategy is ineffective</w:t>
      </w:r>
      <w:r>
        <w:t xml:space="preserve">: orders with 0% discount generated comparable revenue to orders with 20% discount, indicating discounts are not driving proportional volume </w:t>
      </w:r>
      <w:r>
        <w:t>uplift.</w:t>
      </w:r>
    </w:p>
    <w:p w:rsidR="008141B7" w:rsidRDefault="00F0064C" w:rsidP="00F0064C">
      <w:pPr>
        <w:pStyle w:val="ListBullet"/>
        <w:jc w:val="both"/>
      </w:pPr>
      <w:r>
        <w:rPr>
          <w:b/>
        </w:rPr>
        <w:t>Stationery has the highest return rate</w:t>
      </w:r>
      <w:r>
        <w:t xml:space="preserve"> at 7.03%, followed by Furniture at 6.77% and Electronics at 4.39%.</w:t>
      </w:r>
    </w:p>
    <w:p w:rsidR="008141B7" w:rsidRDefault="008141B7" w:rsidP="00F0064C">
      <w:pPr>
        <w:jc w:val="both"/>
      </w:pPr>
    </w:p>
    <w:p w:rsidR="008141B7" w:rsidRDefault="00F0064C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22A40C2B" wp14:editId="0A73903C">
            <wp:extent cx="4572000" cy="190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revenue_tre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B7" w:rsidRDefault="00F0064C">
      <w:pPr>
        <w:jc w:val="center"/>
      </w:pPr>
      <w:r>
        <w:rPr>
          <w:sz w:val="18"/>
        </w:rPr>
        <w:t>Figure 3: Top 5 Products by Revenue</w:t>
      </w:r>
    </w:p>
    <w:p w:rsidR="008141B7" w:rsidRDefault="008141B7"/>
    <w:p w:rsidR="008141B7" w:rsidRDefault="00F0064C" w:rsidP="00F0064C">
      <w:pPr>
        <w:pStyle w:val="Heading1"/>
        <w:jc w:val="both"/>
      </w:pPr>
      <w:r>
        <w:rPr>
          <w:color w:val="1F497D"/>
        </w:rPr>
        <w:t>4. Regional &amp; City Analysis</w:t>
      </w:r>
    </w:p>
    <w:p w:rsidR="008141B7" w:rsidRDefault="00F0064C" w:rsidP="00F0064C">
      <w:pPr>
        <w:pStyle w:val="ListBullet"/>
        <w:jc w:val="both"/>
      </w:pPr>
      <w:r>
        <w:rPr>
          <w:b/>
        </w:rPr>
        <w:t>South region leads</w:t>
      </w:r>
      <w:r>
        <w:t xml:space="preserve"> with ₹1.97 crore (39% of total revenue), nearly double </w:t>
      </w:r>
      <w:r>
        <w:t>the West region at ₹1.22 crore.</w:t>
      </w:r>
    </w:p>
    <w:p w:rsidR="008141B7" w:rsidRDefault="00F0064C" w:rsidP="00F0064C">
      <w:pPr>
        <w:pStyle w:val="ListBullet"/>
        <w:jc w:val="both"/>
      </w:pPr>
      <w:r>
        <w:rPr>
          <w:b/>
        </w:rPr>
        <w:t>Chennai is the top-performing city</w:t>
      </w:r>
      <w:r>
        <w:t xml:space="preserve"> at ₹76 lakh. Delhi is the weakest major metro at ₹55 lakh despite its market size.</w:t>
      </w:r>
    </w:p>
    <w:p w:rsidR="008141B7" w:rsidRDefault="00F0064C" w:rsidP="00F0064C">
      <w:pPr>
        <w:pStyle w:val="ListBullet"/>
        <w:jc w:val="both"/>
      </w:pPr>
      <w:r>
        <w:rPr>
          <w:b/>
        </w:rPr>
        <w:t>Guwahati (Northeast) performs</w:t>
      </w:r>
      <w:r>
        <w:t xml:space="preserve"> on par with Kolkata (East) at ₹66.5 lakh each — strong Tier-2 city performan</w:t>
      </w:r>
      <w:r>
        <w:t>ce.</w:t>
      </w:r>
    </w:p>
    <w:p w:rsidR="008141B7" w:rsidRDefault="00F0064C" w:rsidP="00F0064C">
      <w:pPr>
        <w:pStyle w:val="ListBullet"/>
        <w:jc w:val="both"/>
      </w:pPr>
      <w:r>
        <w:rPr>
          <w:b/>
        </w:rPr>
        <w:t>Northeast and East regions</w:t>
      </w:r>
      <w:r>
        <w:t xml:space="preserve"> are nearly equal in revenue — both underperform relative to South and West.</w:t>
      </w:r>
    </w:p>
    <w:p w:rsidR="008141B7" w:rsidRDefault="008141B7" w:rsidP="00F0064C">
      <w:pPr>
        <w:jc w:val="both"/>
      </w:pPr>
    </w:p>
    <w:p w:rsidR="008141B7" w:rsidRDefault="00F0064C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0E7113A2" wp14:editId="230AEC6B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y_category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1B7" w:rsidRDefault="00F0064C">
      <w:pPr>
        <w:jc w:val="center"/>
      </w:pPr>
      <w:r>
        <w:rPr>
          <w:sz w:val="18"/>
        </w:rPr>
        <w:t>Figure 4: Revenue Heatmap — City vs Category</w:t>
      </w:r>
    </w:p>
    <w:p w:rsidR="008141B7" w:rsidRDefault="008141B7"/>
    <w:p w:rsidR="008141B7" w:rsidRDefault="00F0064C" w:rsidP="00F0064C">
      <w:pPr>
        <w:pStyle w:val="Heading1"/>
        <w:jc w:val="both"/>
      </w:pPr>
      <w:r>
        <w:rPr>
          <w:color w:val="1F497D"/>
        </w:rPr>
        <w:t>5. Channel &amp; Customer Insights</w:t>
      </w:r>
    </w:p>
    <w:p w:rsidR="008141B7" w:rsidRDefault="00F0064C" w:rsidP="00F0064C">
      <w:pPr>
        <w:pStyle w:val="ListBullet"/>
        <w:jc w:val="both"/>
      </w:pPr>
      <w:r>
        <w:rPr>
          <w:b/>
        </w:rPr>
        <w:t>All three sales channels</w:t>
      </w:r>
      <w:r>
        <w:t xml:space="preserve"> are nearly equal in revenue — Retail Store (₹1.74 cr), Corporate B2B (₹1.72 cr), Online (₹1.62 cr). Healthy diversification with no over-dependence on one channel.</w:t>
      </w:r>
    </w:p>
    <w:p w:rsidR="008141B7" w:rsidRDefault="00F0064C" w:rsidP="00F0064C">
      <w:pPr>
        <w:pStyle w:val="ListBullet"/>
        <w:jc w:val="both"/>
      </w:pPr>
      <w:r>
        <w:rPr>
          <w:b/>
        </w:rPr>
        <w:t>Individual customers have the highest</w:t>
      </w:r>
      <w:r>
        <w:t xml:space="preserve"> average order value at ₹53,541 — higher than Enterpri</w:t>
      </w:r>
      <w:r>
        <w:t>se (₹51,587) and SME (₹47,268). Bulk discounts in Enterprise deals likely suppress per-order value.</w:t>
      </w:r>
    </w:p>
    <w:p w:rsidR="008141B7" w:rsidRDefault="00F0064C" w:rsidP="00F0064C">
      <w:pPr>
        <w:pStyle w:val="ListBullet"/>
        <w:jc w:val="both"/>
      </w:pPr>
      <w:r>
        <w:rPr>
          <w:b/>
        </w:rPr>
        <w:t>Cash is the most used payment method</w:t>
      </w:r>
      <w:r>
        <w:t xml:space="preserve"> (213 orders), followed closely by EMI (208). UPI adoption is relatively low at 193 orders for a B2B business.</w:t>
      </w:r>
    </w:p>
    <w:p w:rsidR="008141B7" w:rsidRDefault="008141B7" w:rsidP="00F0064C">
      <w:pPr>
        <w:jc w:val="both"/>
      </w:pPr>
    </w:p>
    <w:p w:rsidR="008141B7" w:rsidRDefault="00F0064C" w:rsidP="00F0064C">
      <w:pPr>
        <w:pStyle w:val="Heading1"/>
        <w:jc w:val="both"/>
      </w:pPr>
      <w:r>
        <w:rPr>
          <w:color w:val="1F497D"/>
        </w:rPr>
        <w:t>6. Custo</w:t>
      </w:r>
      <w:r>
        <w:rPr>
          <w:color w:val="1F497D"/>
        </w:rPr>
        <w:t>mer Satisfaction</w:t>
      </w:r>
    </w:p>
    <w:p w:rsidR="008141B7" w:rsidRDefault="00F0064C" w:rsidP="00F0064C">
      <w:pPr>
        <w:pStyle w:val="ListBullet"/>
        <w:jc w:val="both"/>
      </w:pPr>
      <w:r>
        <w:rPr>
          <w:b/>
        </w:rPr>
        <w:t>Overall average rating is 3.01/5</w:t>
      </w:r>
      <w:r>
        <w:t xml:space="preserve"> — mediocre. Significant room for improvement across all categories and cities.</w:t>
      </w:r>
    </w:p>
    <w:p w:rsidR="008141B7" w:rsidRDefault="00F0064C" w:rsidP="00F0064C">
      <w:pPr>
        <w:pStyle w:val="ListBullet"/>
        <w:jc w:val="both"/>
      </w:pPr>
      <w:r>
        <w:rPr>
          <w:b/>
        </w:rPr>
        <w:t>Bangalore has the lowest city rating</w:t>
      </w:r>
      <w:r>
        <w:t xml:space="preserve"> at 2.85 — delivery reliability, product quality, or after-sales service issues should be i</w:t>
      </w:r>
      <w:r>
        <w:t>nvestigated.</w:t>
      </w:r>
    </w:p>
    <w:p w:rsidR="008141B7" w:rsidRDefault="00F0064C" w:rsidP="00F0064C">
      <w:pPr>
        <w:pStyle w:val="ListBullet"/>
        <w:jc w:val="both"/>
      </w:pPr>
      <w:r>
        <w:rPr>
          <w:b/>
        </w:rPr>
        <w:t>Pune has the highest rating</w:t>
      </w:r>
      <w:r>
        <w:t xml:space="preserve"> at 3.18, followed by Mumbai at 3.13.</w:t>
      </w:r>
    </w:p>
    <w:p w:rsidR="008141B7" w:rsidRDefault="00F0064C" w:rsidP="00F0064C">
      <w:pPr>
        <w:pStyle w:val="ListBullet"/>
        <w:jc w:val="both"/>
      </w:pPr>
      <w:r>
        <w:rPr>
          <w:b/>
        </w:rPr>
        <w:lastRenderedPageBreak/>
        <w:t>Correlation between discount percentage</w:t>
      </w:r>
      <w:r>
        <w:t xml:space="preserve"> and customer rating is near zero (0.02) — higher discounts do not lead to better customer satisfaction.</w:t>
      </w:r>
    </w:p>
    <w:p w:rsidR="008141B7" w:rsidRDefault="008141B7" w:rsidP="00F0064C">
      <w:pPr>
        <w:jc w:val="both"/>
      </w:pPr>
    </w:p>
    <w:p w:rsidR="008141B7" w:rsidRDefault="00F0064C" w:rsidP="00F0064C">
      <w:pPr>
        <w:pStyle w:val="Heading1"/>
        <w:jc w:val="both"/>
      </w:pPr>
      <w:r>
        <w:rPr>
          <w:color w:val="1F497D"/>
        </w:rPr>
        <w:t>7. Recommendations</w:t>
      </w:r>
    </w:p>
    <w:p w:rsidR="008141B7" w:rsidRDefault="00F0064C" w:rsidP="00F0064C">
      <w:pPr>
        <w:jc w:val="both"/>
      </w:pPr>
      <w:r>
        <w:t>Based on the a</w:t>
      </w:r>
      <w:r>
        <w:t>nalysis, the following actions are recommended for Q1 FY2025:</w:t>
      </w:r>
    </w:p>
    <w:p w:rsidR="008141B7" w:rsidRDefault="008141B7" w:rsidP="00F0064C">
      <w:pPr>
        <w:jc w:val="both"/>
      </w:pPr>
    </w:p>
    <w:p w:rsidR="008141B7" w:rsidRDefault="00F0064C" w:rsidP="00F0064C">
      <w:pPr>
        <w:pStyle w:val="ListNumber"/>
        <w:jc w:val="both"/>
      </w:pPr>
      <w:r>
        <w:rPr>
          <w:b/>
        </w:rPr>
        <w:t>Reduce blanket discounting.</w:t>
      </w:r>
      <w:r>
        <w:t xml:space="preserve"> Discounts are not driving proportional revenue or satisfaction gains. Cap discounts at 10% and run targeted promotions only during Q3 (Jul–Sep) to address the season</w:t>
      </w:r>
      <w:r>
        <w:t>al dip.</w:t>
      </w:r>
    </w:p>
    <w:p w:rsidR="008141B7" w:rsidRDefault="00F0064C" w:rsidP="00F0064C">
      <w:pPr>
        <w:pStyle w:val="ListNumber"/>
        <w:jc w:val="both"/>
      </w:pPr>
      <w:r>
        <w:rPr>
          <w:b/>
        </w:rPr>
        <w:t>Reduce dependency on Laptop Pro 15.</w:t>
      </w:r>
      <w:r>
        <w:t xml:space="preserve"> A single product driving 45% of revenue is a business risk. Actively promote Standing Desk and Monitor 24 inch — both are in the top 5 and have growth potential.</w:t>
      </w:r>
    </w:p>
    <w:p w:rsidR="008141B7" w:rsidRDefault="00F0064C" w:rsidP="00F0064C">
      <w:pPr>
        <w:pStyle w:val="ListNumber"/>
        <w:jc w:val="both"/>
      </w:pPr>
      <w:r>
        <w:rPr>
          <w:b/>
        </w:rPr>
        <w:t>Invest in the South region and investigate Delhi.</w:t>
      </w:r>
      <w:r>
        <w:t xml:space="preserve"> </w:t>
      </w:r>
      <w:r>
        <w:t>South already leads — double down with dedicated sales resources. Delhi underperforms for its market size — assign a focused sales rep and run a targeted B2B outreach campaign.</w:t>
      </w:r>
    </w:p>
    <w:p w:rsidR="008141B7" w:rsidRDefault="00F0064C" w:rsidP="00F0064C">
      <w:pPr>
        <w:pStyle w:val="ListNumber"/>
        <w:jc w:val="both"/>
      </w:pPr>
      <w:r>
        <w:rPr>
          <w:b/>
        </w:rPr>
        <w:t>Improve customer satisfaction in Bangalore.</w:t>
      </w:r>
      <w:r>
        <w:t xml:space="preserve"> With the lowest rating of 2.85, Ban</w:t>
      </w:r>
      <w:r>
        <w:t>galore needs a service quality audit — check delivery timelines, return processing speed, and product quality for that city specifically.</w:t>
      </w:r>
    </w:p>
    <w:p w:rsidR="008141B7" w:rsidRDefault="00F0064C" w:rsidP="00F0064C">
      <w:pPr>
        <w:pStyle w:val="ListNumber"/>
        <w:jc w:val="both"/>
      </w:pPr>
      <w:r>
        <w:rPr>
          <w:b/>
        </w:rPr>
        <w:t>Re-evaluate the Stationery category.</w:t>
      </w:r>
      <w:r>
        <w:t xml:space="preserve"> Stationery contributes less than 2% of total revenue (₹5.6 lakh) and has the high</w:t>
      </w:r>
      <w:r>
        <w:t>est return rate. Consider reducing SKUs to only high-margin items and dropping slow movers like Whiteboard Marker Set.</w:t>
      </w:r>
    </w:p>
    <w:p w:rsidR="008141B7" w:rsidRDefault="008141B7" w:rsidP="00F0064C">
      <w:pPr>
        <w:jc w:val="both"/>
      </w:pPr>
    </w:p>
    <w:p w:rsidR="008141B7" w:rsidRDefault="00F0064C" w:rsidP="00F0064C">
      <w:pPr>
        <w:pStyle w:val="Heading1"/>
        <w:jc w:val="both"/>
      </w:pPr>
      <w:r>
        <w:rPr>
          <w:color w:val="1F497D"/>
        </w:rPr>
        <w:t>8. Conclusion</w:t>
      </w:r>
    </w:p>
    <w:p w:rsidR="008141B7" w:rsidRDefault="00F0064C" w:rsidP="00F0064C">
      <w:pPr>
        <w:jc w:val="both"/>
      </w:pPr>
      <w:r>
        <w:t>FY2024 showed solid overall performance with ₹5.08 crore in revenue across 1,000 orders. However, the business faces key r</w:t>
      </w:r>
      <w:r>
        <w:t>isks: over-reliance on a single product, an ineffective discount strategy, geographic revenue concentration, and below-average customer satisfaction. Addressing these through focused regional expansion, smarter pricing, and service quality improvements can</w:t>
      </w:r>
      <w:r>
        <w:t xml:space="preserve"> meaningfully improve FY2025 performance.</w:t>
      </w:r>
    </w:p>
    <w:p w:rsidR="008141B7" w:rsidRDefault="008141B7" w:rsidP="00F0064C">
      <w:pPr>
        <w:jc w:val="both"/>
      </w:pPr>
    </w:p>
    <w:p w:rsidR="008141B7" w:rsidRDefault="00F0064C" w:rsidP="00F0064C">
      <w:pPr>
        <w:jc w:val="both"/>
      </w:pPr>
      <w:r>
        <w:rPr>
          <w:sz w:val="20"/>
        </w:rPr>
        <w:t>Tools Used: Python (Pandas, Matplotlib, Seaborn) | Dataset: 1,000 rows, 18 columns</w:t>
      </w:r>
    </w:p>
    <w:sectPr w:rsidR="008141B7" w:rsidSect="00F0064C">
      <w:pgSz w:w="12240" w:h="15840"/>
      <w:pgMar w:top="1440" w:right="1728" w:bottom="1440" w:left="172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1B7"/>
    <w:rsid w:val="00AA1D8D"/>
    <w:rsid w:val="00B47730"/>
    <w:rsid w:val="00CB0664"/>
    <w:rsid w:val="00F00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00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6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006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6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89EE7E-9D30-4125-A1E7-F65035DD2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2026-06-07T05:38:00Z</dcterms:modified>
  <cp:category/>
</cp:coreProperties>
</file>