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20"/>
      </w:pPr>
      <w:r>
        <w:rPr>
          <w:rFonts w:ascii="Calibri" w:cs="Calibri" w:eastAsia="Calibri" w:hAnsi="Calibri"/>
          <w:b/>
          <w:bCs/>
          <w:sz w:val="32"/>
          <w:szCs w:val="32"/>
        </w:rPr>
        <w:t xml:space="preserve">3.4–3.9 DETAILED COMPONENT DESIGN (Revised)</w:t>
      </w:r>
    </w:p>
    <w:p>
      <w:pPr>
        <w:spacing w:after="160" w:line="276"/>
      </w:pPr>
      <w:r>
        <w:rPr>
          <w:rFonts w:ascii="Calibri" w:cs="Calibri" w:eastAsia="Calibri" w:hAnsi="Calibri"/>
          <w:sz w:val="22"/>
          <w:szCs w:val="22"/>
        </w:rPr>
        <w:t xml:space="preserve">This section replaces Sections 3.4–3.9 of the Chapter 3 Methodology draft. Each subsystem now follows a consistent structure: requirement → options considered → selection with justification → verification cross-reference. New or substantially expanded material is in the ESC design subsection (3.7.2, previously missing) and the alternatives comparisons added to the shaft, bearing, motor, and coupling subsections.</w:t>
      </w:r>
    </w:p>
    <w:p>
      <w:pPr>
        <w:pStyle w:val="Heading2"/>
        <w:spacing w:after="150" w:before="300"/>
      </w:pPr>
      <w:r>
        <w:rPr>
          <w:rFonts w:ascii="Calibri" w:cs="Calibri" w:eastAsia="Calibri" w:hAnsi="Calibri"/>
          <w:b/>
          <w:bCs/>
          <w:sz w:val="26"/>
          <w:szCs w:val="26"/>
        </w:rPr>
        <w:t xml:space="preserve">3.4 Flywheel Design</w:t>
      </w:r>
    </w:p>
    <w:p>
      <w:pPr>
        <w:spacing w:after="160" w:line="276"/>
      </w:pPr>
      <w:r>
        <w:rPr>
          <w:rFonts w:ascii="Calibri" w:cs="Calibri" w:eastAsia="Calibri" w:hAnsi="Calibri"/>
          <w:sz w:val="22"/>
          <w:szCs w:val="22"/>
        </w:rPr>
        <w:t xml:space="preserve">The flywheel is the most critical mechanical component. Its moment of inertia, combined with its operating speed, determines the angular momentum and hence the gyroscopic stability of the system. Its redesign directly addresses Deficiency 1 and Deficiency 2 in Section 1.2.</w:t>
      </w:r>
    </w:p>
    <w:p>
      <w:pPr>
        <w:pStyle w:val="Heading3"/>
        <w:spacing w:after="120" w:before="220"/>
      </w:pPr>
      <w:r>
        <w:rPr>
          <w:rFonts w:ascii="Calibri" w:cs="Calibri" w:eastAsia="Calibri" w:hAnsi="Calibri"/>
          <w:b/>
          <w:bCs/>
          <w:sz w:val="23"/>
          <w:szCs w:val="23"/>
        </w:rPr>
        <w:t xml:space="preserve">3.4.1 Design Requirements</w:t>
      </w:r>
    </w:p>
    <w:p>
      <w:pPr>
        <w:pStyle w:val="ListParagraph"/>
        <w:numPr>
          <w:ilvl w:val="0"/>
          <w:numId w:val="1"/>
        </w:numPr>
        <w:spacing w:after="100"/>
      </w:pPr>
      <w:r>
        <w:rPr>
          <w:rFonts w:ascii="Calibri" w:cs="Calibri" w:eastAsia="Calibri" w:hAnsi="Calibri"/>
          <w:sz w:val="22"/>
          <w:szCs w:val="22"/>
        </w:rPr>
        <w:t xml:space="preserve">Moment of inertia I ≥ 0.004 kg·m² (from stability analysis)</w:t>
      </w:r>
    </w:p>
    <w:p>
      <w:pPr>
        <w:pStyle w:val="ListParagraph"/>
        <w:numPr>
          <w:ilvl w:val="0"/>
          <w:numId w:val="1"/>
        </w:numPr>
        <w:spacing w:after="100"/>
      </w:pPr>
      <w:r>
        <w:rPr>
          <w:rFonts w:ascii="Calibri" w:cs="Calibri" w:eastAsia="Calibri" w:hAnsi="Calibri"/>
          <w:sz w:val="22"/>
          <w:szCs w:val="22"/>
        </w:rPr>
        <w:t xml:space="preserve">Geometrically symmetric to minimise initial dynamic imbalance</w:t>
      </w:r>
    </w:p>
    <w:p>
      <w:pPr>
        <w:pStyle w:val="ListParagraph"/>
        <w:numPr>
          <w:ilvl w:val="0"/>
          <w:numId w:val="1"/>
        </w:numPr>
        <w:spacing w:after="100"/>
      </w:pPr>
      <w:r>
        <w:rPr>
          <w:rFonts w:ascii="Calibri" w:cs="Calibri" w:eastAsia="Calibri" w:hAnsi="Calibri"/>
          <w:sz w:val="22"/>
          <w:szCs w:val="22"/>
        </w:rPr>
        <w:t xml:space="preserve">Machinable from locally available mild steel stock on CBU's CNC lathe</w:t>
      </w:r>
    </w:p>
    <w:p>
      <w:pPr>
        <w:pStyle w:val="ListParagraph"/>
        <w:numPr>
          <w:ilvl w:val="0"/>
          <w:numId w:val="1"/>
        </w:numPr>
        <w:spacing w:after="100"/>
      </w:pPr>
      <w:r>
        <w:rPr>
          <w:rFonts w:ascii="Calibri" w:cs="Calibri" w:eastAsia="Calibri" w:hAnsi="Calibri"/>
          <w:sz w:val="22"/>
          <w:szCs w:val="22"/>
        </w:rPr>
        <w:t xml:space="preserve">Balance achievable to ISO G6.3 grade using the CBU balancing rig</w:t>
      </w:r>
    </w:p>
    <w:p>
      <w:pPr>
        <w:pStyle w:val="ListParagraph"/>
        <w:numPr>
          <w:ilvl w:val="0"/>
          <w:numId w:val="1"/>
        </w:numPr>
        <w:spacing w:after="100"/>
      </w:pPr>
      <w:r>
        <w:rPr>
          <w:rFonts w:ascii="Calibri" w:cs="Calibri" w:eastAsia="Calibri" w:hAnsi="Calibri"/>
          <w:sz w:val="22"/>
          <w:szCs w:val="22"/>
        </w:rPr>
        <w:t xml:space="preserve">Structural integrity with safety factor ≥ 2.0 at 10 000 RPM (25% overspeed)</w:t>
      </w:r>
    </w:p>
    <w:p>
      <w:pPr>
        <w:pStyle w:val="ListParagraph"/>
        <w:numPr>
          <w:ilvl w:val="0"/>
          <w:numId w:val="1"/>
        </w:numPr>
        <w:spacing w:after="100"/>
      </w:pPr>
      <w:r>
        <w:rPr>
          <w:rFonts w:ascii="Calibri" w:cs="Calibri" w:eastAsia="Calibri" w:hAnsi="Calibri"/>
          <w:sz w:val="22"/>
          <w:szCs w:val="22"/>
        </w:rPr>
        <w:t xml:space="preserve">Mass ≤ 1.2 kg to remain within the bearing load capacity calculations</w:t>
      </w:r>
    </w:p>
    <w:p>
      <w:pPr>
        <w:pStyle w:val="Heading3"/>
        <w:spacing w:after="120" w:before="220"/>
      </w:pPr>
      <w:r>
        <w:rPr>
          <w:rFonts w:ascii="Calibri" w:cs="Calibri" w:eastAsia="Calibri" w:hAnsi="Calibri"/>
          <w:b/>
          <w:bCs/>
          <w:sz w:val="23"/>
          <w:szCs w:val="23"/>
        </w:rPr>
        <w:t xml:space="preserve">3.4.2 Geometry</w:t>
      </w:r>
    </w:p>
    <w:p>
      <w:pPr>
        <w:spacing w:after="160" w:line="276"/>
      </w:pPr>
      <w:r>
        <w:rPr>
          <w:rFonts w:ascii="Calibri" w:cs="Calibri" w:eastAsia="Calibri" w:hAnsi="Calibri"/>
          <w:sz w:val="22"/>
          <w:szCs w:val="22"/>
        </w:rPr>
        <w:t xml:space="preserve">The flywheel was designed as a solid mild steel disk: diameter 215.8 mm, thickness 20 mm. Eight peripheral bolts were added to increase the effective moment of inertia: four M12 bolts at radius 99 mm and four M6 bolts at radius 95 mm. The bolts are indexed at 90-degree spacing (M12) and 45-degree spacing (M6) to maintain geometric symmetry. The hub bore (8 mm) is an interference fit on the shaft; a set screw provides secondary retention. Total design mass including bolts: 0.8606 kg. Replacing the previous wooden flywheel with a homogeneous, precision-machined steel disk directly removes the mass inconsistency that made the original impossible to balance.</w:t>
      </w:r>
    </w:p>
    <w:p>
      <w:pPr>
        <w:spacing w:after="60" w:line="276"/>
      </w:pPr>
      <w:r>
        <w:rPr>
          <w:rFonts w:ascii="Calibri" w:cs="Calibri" w:eastAsia="Calibri" w:hAnsi="Calibri"/>
          <w:i/>
          <w:iCs/>
          <w:sz w:val="22"/>
          <w:szCs w:val="22"/>
        </w:rPr>
        <w:t xml:space="preserve">[ INSERT FIGURE HERE ]</w:t>
      </w:r>
    </w:p>
    <w:p>
      <w:pPr>
        <w:spacing w:after="160" w:line="276"/>
      </w:pPr>
      <w:r>
        <w:rPr>
          <w:rFonts w:ascii="Calibri" w:cs="Calibri" w:eastAsia="Calibri" w:hAnsi="Calibri"/>
          <w:sz w:val="22"/>
          <w:szCs w:val="22"/>
        </w:rPr>
        <w:t xml:space="preserve">Figure 3.1: Flywheel engineering drawing — all dimensions in mm</w:t>
      </w:r>
    </w:p>
    <w:p>
      <w:pPr>
        <w:spacing w:after="60" w:line="276"/>
      </w:pPr>
      <w:r>
        <w:rPr>
          <w:rFonts w:ascii="Calibri" w:cs="Calibri" w:eastAsia="Calibri" w:hAnsi="Calibri"/>
          <w:i/>
          <w:iCs/>
          <w:sz w:val="22"/>
          <w:szCs w:val="22"/>
        </w:rPr>
        <w:t xml:space="preserve">[ INSERT FIGURE HERE ]</w:t>
      </w:r>
    </w:p>
    <w:p>
      <w:pPr>
        <w:spacing w:after="160" w:line="276"/>
      </w:pPr>
      <w:r>
        <w:rPr>
          <w:rFonts w:ascii="Calibri" w:cs="Calibri" w:eastAsia="Calibri" w:hAnsi="Calibri"/>
          <w:sz w:val="22"/>
          <w:szCs w:val="22"/>
        </w:rPr>
        <w:t xml:space="preserve">Figure 3.2: Mass distribution diagram showing bolt positions and radii used in inertia calculation</w:t>
      </w:r>
    </w:p>
    <w:p>
      <w:pPr>
        <w:pStyle w:val="Heading2"/>
        <w:spacing w:after="150" w:before="300"/>
      </w:pPr>
      <w:r>
        <w:rPr>
          <w:rFonts w:ascii="Calibri" w:cs="Calibri" w:eastAsia="Calibri" w:hAnsi="Calibri"/>
          <w:b/>
          <w:bCs/>
          <w:sz w:val="26"/>
          <w:szCs w:val="26"/>
        </w:rPr>
        <w:t xml:space="preserve">3.5 Shaft Design</w:t>
      </w:r>
    </w:p>
    <w:p>
      <w:pPr>
        <w:spacing w:after="160" w:line="276"/>
      </w:pPr>
      <w:r>
        <w:rPr>
          <w:rFonts w:ascii="Calibri" w:cs="Calibri" w:eastAsia="Calibri" w:hAnsi="Calibri"/>
          <w:sz w:val="22"/>
          <w:szCs w:val="22"/>
        </w:rPr>
        <w:t xml:space="preserve">The main shaft is EN3B mild steel, 8 mm diameter, 120 mm long. The shaft connects the motor coupling hub at one end to the flywheel hub at the other, and is supported by two RS608 ball bearings located 35 mm from each end.</w:t>
      </w:r>
    </w:p>
    <w:p>
      <w:pPr>
        <w:spacing w:after="160" w:line="276"/>
      </w:pPr>
      <w:r>
        <w:rPr>
          <w:rFonts w:ascii="Calibri" w:cs="Calibri" w:eastAsia="Calibri" w:hAnsi="Calibri"/>
          <w:sz w:val="22"/>
          <w:szCs w:val="22"/>
        </w:rPr>
        <w:t xml:space="preserve">The shaft diameter was not sized independently; it was set to 8 mm to match the bore of the RS608 bearings already fixed by the inherited frame geometry (Section 3.6), since re-boring the existing bearing housings to accept a larger-diameter shaft and bearing pair would have required rebuilding the frame outside the scope of this improvement project. EN3B mild steel was selected over an alloy steel (e.g. EN8) or stainless shaft stock because it is readily available from CBU's workshop stock, is straightforward to turn and polish to the bearing fit tolerance on the available lathes, and — as confirmed retrospectively by the structural analysis in Section 3.13 — carries safety factors of 49.6 (combined von Mises stress) at the design load, an order of magnitude beyond what the higher-cost alloy alternative would have been needed for. Given this margin, the lower-cost, more workable material was the appropriate choice rather than over-specifying for a load case the shaft was never close to reaching.</w:t>
      </w:r>
    </w:p>
    <w:p>
      <w:pPr>
        <w:spacing w:after="160" w:line="276"/>
      </w:pPr>
      <w:r>
        <w:rPr>
          <w:rFonts w:ascii="Calibri" w:cs="Calibri" w:eastAsia="Calibri" w:hAnsi="Calibri"/>
          <w:sz w:val="22"/>
          <w:szCs w:val="22"/>
        </w:rPr>
        <w:t xml:space="preserve">The bearing spacing of 50 mm was determined by the frame geometry inherited from the previous team. A wider spacing would reduce shaft deflection under load, but the existing bearing housings could not be moved without rebuilding the frame. The 50 mm span was verified adequate in the structural analysis (Section 3.13), which found bending stress of only 1.31 MPa against a safety factor of 328 — confirming the inherited span was never a limiting constraint.</w:t>
      </w:r>
    </w:p>
    <w:p>
      <w:pPr>
        <w:spacing w:after="60" w:line="276"/>
      </w:pPr>
      <w:r>
        <w:rPr>
          <w:rFonts w:ascii="Calibri" w:cs="Calibri" w:eastAsia="Calibri" w:hAnsi="Calibri"/>
          <w:i/>
          <w:iCs/>
          <w:sz w:val="22"/>
          <w:szCs w:val="22"/>
        </w:rPr>
        <w:t xml:space="preserve">[ INSERT FIGURE HERE ]</w:t>
      </w:r>
    </w:p>
    <w:p>
      <w:pPr>
        <w:spacing w:after="160" w:line="276"/>
      </w:pPr>
      <w:r>
        <w:rPr>
          <w:rFonts w:ascii="Calibri" w:cs="Calibri" w:eastAsia="Calibri" w:hAnsi="Calibri"/>
          <w:sz w:val="22"/>
          <w:szCs w:val="22"/>
        </w:rPr>
        <w:t xml:space="preserve">Figure 3.3: Shaft and bearing sub-assembly — exploded view showing shaft, inner and outer bearing races, and flywheel hub</w:t>
      </w:r>
    </w:p>
    <w:p>
      <w:pPr>
        <w:pStyle w:val="Heading2"/>
        <w:spacing w:after="150" w:before="300"/>
      </w:pPr>
      <w:r>
        <w:rPr>
          <w:rFonts w:ascii="Calibri" w:cs="Calibri" w:eastAsia="Calibri" w:hAnsi="Calibri"/>
          <w:b/>
          <w:bCs/>
          <w:sz w:val="26"/>
          <w:szCs w:val="26"/>
        </w:rPr>
        <w:t xml:space="preserve">3.6 Bearing Selection</w:t>
      </w:r>
    </w:p>
    <w:p>
      <w:pPr>
        <w:spacing w:after="160" w:line="276"/>
      </w:pPr>
      <w:r>
        <w:rPr>
          <w:rFonts w:ascii="Calibri" w:cs="Calibri" w:eastAsia="Calibri" w:hAnsi="Calibri"/>
          <w:sz w:val="22"/>
          <w:szCs w:val="22"/>
        </w:rPr>
        <w:t xml:space="preserve">The bearing bore was fixed at 8 mm by the shaft diameter (Section 3.5), which narrowed the search to standard 8 mm-bore deep-groove ball bearings available through CBU's regional suppliers. Among the available options, RS608 shielded deep-groove ball bearings were selected over an open (unshielded) equivalent and over a 2RS (double rubber-sealed) variant for two reasons: the shielded type is factory-packed with grease sufficient for the bearing's rated life without the added running friction of contact seals, and it was the variant in stock locally without an import lead time the project's timeline could not absorb. Key parameters are given in Table 3.1.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Parameter</w:t>
            </w:r>
          </w:p>
        </w:tc>
        <w:tc>
          <w:tcPr>
            <w:tcW w:type="dxa" w:w="48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Value</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Bore diameter</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8 mm</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Outer diameter</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22 mm</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Width</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7 mm</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Dynamic load rating C</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3450 N</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Static load rating C0</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1560 N</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Max speed (grease lube)</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32 000 RPM</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Operating temperature</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-20 to +120 °C</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Lubrication</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Grease — sealed, no maintenance</w:t>
            </w:r>
          </w:p>
        </w:tc>
      </w:tr>
    </w:tbl>
    <w:p>
      <w:pPr>
        <w:spacing w:after="160"/>
      </w:pPr>
    </w:p>
    <w:p>
      <w:pPr>
        <w:spacing w:after="160" w:line="276"/>
      </w:pPr>
      <w:r>
        <w:rPr>
          <w:rFonts w:ascii="Calibri" w:cs="Calibri" w:eastAsia="Calibri" w:hAnsi="Calibri"/>
          <w:sz w:val="22"/>
          <w:szCs w:val="22"/>
        </w:rPr>
        <w:t xml:space="preserve">Table 3.1: RS608 Bearing Parameters</w:t>
      </w:r>
    </w:p>
    <w:p>
      <w:pPr>
        <w:spacing w:after="160" w:line="276"/>
      </w:pPr>
      <w:r>
        <w:rPr>
          <w:rFonts w:ascii="Calibri" w:cs="Calibri" w:eastAsia="Calibri" w:hAnsi="Calibri"/>
          <w:sz w:val="22"/>
          <w:szCs w:val="22"/>
        </w:rPr>
        <w:t xml:space="preserve">The dynamic load rating was verified adequate — not merely assumed — in the bearing life calculation of Section 3.11: at the applied radial load of 4.22 N and an operating speed of 8000 RPM, the calculated L10 life is 2371 hours, a 98.8× margin over the 24-hour continuous-operation target. This margin is intentional rather than wasteful over-specification: because the RS608 is a stocked, no-maintenance part shared with the shaft-bore constraint above, standardising on it avoids introducing a second bearing size purely to trim an already-inexpensive component, at the cost of negligible extra mass or cost.</w:t>
      </w:r>
    </w:p>
    <w:p>
      <w:pPr>
        <w:pStyle w:val="Heading2"/>
        <w:spacing w:after="150" w:before="300"/>
      </w:pPr>
      <w:r>
        <w:rPr>
          <w:rFonts w:ascii="Calibri" w:cs="Calibri" w:eastAsia="Calibri" w:hAnsi="Calibri"/>
          <w:b/>
          <w:bCs/>
          <w:sz w:val="26"/>
          <w:szCs w:val="26"/>
        </w:rPr>
        <w:t xml:space="preserve">3.7 Motor and ESC Selection</w:t>
      </w:r>
    </w:p>
    <w:p>
      <w:pPr>
        <w:pStyle w:val="Heading3"/>
        <w:spacing w:after="120" w:before="220"/>
      </w:pPr>
      <w:r>
        <w:rPr>
          <w:rFonts w:ascii="Calibri" w:cs="Calibri" w:eastAsia="Calibri" w:hAnsi="Calibri"/>
          <w:b/>
          <w:bCs/>
          <w:sz w:val="23"/>
          <w:szCs w:val="23"/>
        </w:rPr>
        <w:t xml:space="preserve">3.7.1 Motor Selection</w:t>
      </w:r>
    </w:p>
    <w:p>
      <w:pPr>
        <w:spacing w:after="160" w:line="276"/>
      </w:pPr>
      <w:r>
        <w:rPr>
          <w:rFonts w:ascii="Calibri" w:cs="Calibri" w:eastAsia="Calibri" w:hAnsi="Calibri"/>
          <w:sz w:val="22"/>
          <w:szCs w:val="22"/>
        </w:rPr>
        <w:t xml:space="preserve">The 2200 KV BLDC motor was chosen based on the speed-voltage relationship n = KV·V calculated in Section 3.10. At the design supply voltage of 4.84 V, the no-load speed is approximately 8000 RPM, matching the operating speed assumed in the stability and inertia calculations of Section 3.10.</w:t>
      </w:r>
    </w:p>
    <w:p>
      <w:pPr>
        <w:spacing w:after="160" w:line="276"/>
      </w:pPr>
      <w:r>
        <w:rPr>
          <w:rFonts w:ascii="Calibri" w:cs="Calibri" w:eastAsia="Calibri" w:hAnsi="Calibri"/>
          <w:sz w:val="22"/>
          <w:szCs w:val="22"/>
        </w:rPr>
        <w:t xml:space="preserve">KV rating was not the only free variable available — for a fixed target speed of 8000 RPM, a lower-KV motor requires a higher supply voltage and a higher-KV motor requires a lower one, while the torque constant kt (which sets available torque per amp) scales inversely with KV. Table 3.2 compares the selected 2200 KV motor against two commercially available alternatives at the same target speed, using the same n = KV·V and kt ∝ 1/KV relationships.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Motor Option</w:t>
            </w:r>
          </w:p>
        </w:tc>
        <w:tc>
          <w:tcPr>
            <w:tcW w:type="dxa" w:w="24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Required Voltage for 8000 RPM</w:t>
            </w:r>
          </w:p>
        </w:tc>
        <w:tc>
          <w:tcPr>
            <w:tcW w:type="dxa" w:w="24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Relative Torque Constant kt</w:t>
            </w:r>
          </w:p>
        </w:tc>
        <w:tc>
          <w:tcPr>
            <w:tcW w:type="dxa" w:w="24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Suitability</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1400 KV (alternative)</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≈5.71 V</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Higher (~1.57× baseline)</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Rejected — exceeds the regulated 5 V-class supply rail available on the project's power budget, forcing an extra buck/boost stage</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2200 KV (chosen)</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4.84 V</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Baseline (kt = 0.00434 N·m/A)</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Selected — matches the available 5 V-class supply within margin and gives adequate stall torque (0.0434 N·m at the 10 A current limit) for spin-up</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3200 KV (alternative)</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≈2.50 V</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Lower (~0.69× baseline)</w:t>
            </w:r>
          </w:p>
        </w:tc>
        <w:tc>
          <w:tcPr>
            <w:tcW w:type="dxa" w:w="2400"/>
            <w:tcMar>
              <w:top w:type="dxa" w:w="80"/>
              <w:left w:type="dxa" w:w="100"/>
              <w:bottom w:type="dxa" w:w="80"/>
              <w:right w:type="dxa" w:w="100"/>
            </w:tcMar>
            <w:vAlign w:val="center"/>
          </w:tcPr>
          <w:p>
            <w:pPr>
              <w:jc w:val="left"/>
            </w:pPr>
            <w:r>
              <w:rPr>
                <w:rFonts w:ascii="Calibri" w:cs="Calibri" w:eastAsia="Calibri" w:hAnsi="Calibri"/>
                <w:sz w:val="20"/>
                <w:szCs w:val="20"/>
              </w:rPr>
              <w:t xml:space="preserve">Rejected — supply voltage would be impractically low relative to wiring and connector drop, and reduced kt cuts spin-up torque margin</w:t>
            </w:r>
          </w:p>
        </w:tc>
      </w:tr>
    </w:tbl>
    <w:p>
      <w:pPr>
        <w:spacing w:after="160"/>
      </w:pPr>
    </w:p>
    <w:p>
      <w:pPr>
        <w:spacing w:after="160" w:line="276"/>
      </w:pPr>
      <w:r>
        <w:rPr>
          <w:rFonts w:ascii="Calibri" w:cs="Calibri" w:eastAsia="Calibri" w:hAnsi="Calibri"/>
          <w:sz w:val="22"/>
          <w:szCs w:val="22"/>
        </w:rPr>
        <w:t xml:space="preserve">Table 3.2: Motor KV Selection — Trade-off Against Alternatives at Fixed 8000 RPM Target</w:t>
      </w:r>
    </w:p>
    <w:p>
      <w:pPr>
        <w:spacing w:after="160" w:line="276"/>
      </w:pPr>
      <w:r>
        <w:rPr>
          <w:rFonts w:ascii="Calibri" w:cs="Calibri" w:eastAsia="Calibri" w:hAnsi="Calibri"/>
          <w:sz w:val="22"/>
          <w:szCs w:val="22"/>
        </w:rPr>
        <w:t xml:space="preserve">Full electrical parameters for the selected motor are given in Table 3.3.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Parameter</w:t>
            </w:r>
          </w:p>
        </w:tc>
        <w:tc>
          <w:tcPr>
            <w:tcW w:type="dxa" w:w="48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Value</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KV rating</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2200 RPM/V</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No-load current I0</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1.5 A</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Maximum current</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10 A</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Stator resistance R</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0.12 Ω</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Number of poles</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12 (6 pole pairs)</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Mass</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45 g</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Shaft diameter</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3 mm</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Back-EMF constant ke</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0.00434 V·s/rad</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Torque constant kt</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0.00434 N·m/A</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Stall torque</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0.0434 N·m at 10 A</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Running torque</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~0.013 N·m at 3 A steady-state</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Electrical power</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48.4 W at full load</w:t>
            </w:r>
          </w:p>
        </w:tc>
      </w:tr>
      <w:tr>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Mechanical efficiency</w:t>
            </w:r>
          </w:p>
        </w:tc>
        <w:tc>
          <w:tcPr>
            <w:tcW w:type="dxa" w:w="4800"/>
            <w:tcMar>
              <w:top w:type="dxa" w:w="80"/>
              <w:left w:type="dxa" w:w="100"/>
              <w:bottom w:type="dxa" w:w="80"/>
              <w:right w:type="dxa" w:w="100"/>
            </w:tcMar>
            <w:vAlign w:val="center"/>
          </w:tcPr>
          <w:p>
            <w:pPr>
              <w:jc w:val="left"/>
            </w:pPr>
            <w:r>
              <w:rPr>
                <w:rFonts w:ascii="Calibri" w:cs="Calibri" w:eastAsia="Calibri" w:hAnsi="Calibri"/>
                <w:sz w:val="20"/>
                <w:szCs w:val="20"/>
              </w:rPr>
              <w:t xml:space="preserve">86.6%</w:t>
            </w:r>
          </w:p>
        </w:tc>
      </w:tr>
    </w:tbl>
    <w:p>
      <w:pPr>
        <w:spacing w:after="160"/>
      </w:pPr>
    </w:p>
    <w:p>
      <w:pPr>
        <w:spacing w:after="160" w:line="276"/>
      </w:pPr>
      <w:r>
        <w:rPr>
          <w:rFonts w:ascii="Calibri" w:cs="Calibri" w:eastAsia="Calibri" w:hAnsi="Calibri"/>
          <w:sz w:val="22"/>
          <w:szCs w:val="22"/>
        </w:rPr>
        <w:t xml:space="preserve">Table 3.3: Motor Electrical and Mechanical Parameters</w:t>
      </w:r>
    </w:p>
    <w:p>
      <w:pPr>
        <w:pStyle w:val="Heading3"/>
        <w:spacing w:after="120" w:before="220"/>
      </w:pPr>
      <w:r>
        <w:rPr>
          <w:rFonts w:ascii="Calibri" w:cs="Calibri" w:eastAsia="Calibri" w:hAnsi="Calibri"/>
          <w:b/>
          <w:bCs/>
          <w:sz w:val="23"/>
          <w:szCs w:val="23"/>
        </w:rPr>
        <w:t xml:space="preserve">3.7.2 ESC Design and Selection</w:t>
      </w:r>
    </w:p>
    <w:p>
      <w:pPr>
        <w:spacing w:after="160" w:line="276"/>
      </w:pPr>
      <w:r>
        <w:rPr>
          <w:rFonts w:ascii="Calibri" w:cs="Calibri" w:eastAsia="Calibri" w:hAnsi="Calibri"/>
          <w:sz w:val="22"/>
          <w:szCs w:val="22"/>
        </w:rPr>
        <w:t xml:space="preserve">The motor is driven by a custom-built three-phase ESC rather than a commercial hobby-grade ESC module. This decision was made for one reason specific to this project's requirements: a sealed commercial ESC exposes no internal signals, whereas the monitoring and control architecture described in Section 3.14 depends on real-time current feedback to drive the dashboard's power and load telemetry, and on direct access to the commutation drive stage for the PID loop implemented on the ESP32. A commercial ESC would have made both of these black-box, so a custom module was designed and verified in Proteus before being built.</w:t>
      </w:r>
    </w:p>
    <w:p>
      <w:pPr>
        <w:spacing w:after="160" w:line="276"/>
      </w:pPr>
      <w:r>
        <w:rPr>
          <w:rFonts w:ascii="Calibri" w:cs="Calibri" w:eastAsia="Calibri" w:hAnsi="Calibri"/>
          <w:sz w:val="22"/>
          <w:szCs w:val="22"/>
        </w:rPr>
        <w:t xml:space="preserve">Commercial hobby-grade BLDC ESCs accept a 50 Hz PWM signal with pulse width between 1000 and 2000 microseconds — a 1000 µs pulse commands minimum throttle and 2000 µs commands maximum — and internally run a six-step trapezoidal commutation sequence, sensing rotor position from the back-EMF of the undriven winding. The custom ESC follows this same standard topology so that it remains compatible with the ESP32's LEDC-generated PWM command signal (Section 3.14), while adding the current-sensing and protection stages needed for monitoring. Its main components are:</w:t>
      </w:r>
    </w:p>
    <w:p>
      <w:pPr>
        <w:pStyle w:val="ListParagraph"/>
        <w:numPr>
          <w:ilvl w:val="0"/>
          <w:numId w:val="1"/>
        </w:numPr>
        <w:spacing w:after="100"/>
      </w:pPr>
      <w:r>
        <w:rPr>
          <w:rFonts w:ascii="Calibri" w:cs="Calibri" w:eastAsia="Calibri" w:hAnsi="Calibri"/>
          <w:sz w:val="22"/>
          <w:szCs w:val="22"/>
        </w:rPr>
        <w:t xml:space="preserve">Three half-bridge circuits using IRFZ44N N-channel power MOSFETs (55 V, 49 A, Rds(on) = 17.5 mΩ) — six devices total, two per phase leg.</w:t>
      </w:r>
    </w:p>
    <w:p>
      <w:pPr>
        <w:pStyle w:val="ListParagraph"/>
        <w:numPr>
          <w:ilvl w:val="0"/>
          <w:numId w:val="1"/>
        </w:numPr>
        <w:spacing w:after="100"/>
      </w:pPr>
      <w:r>
        <w:rPr>
          <w:rFonts w:ascii="Calibri" w:cs="Calibri" w:eastAsia="Calibri" w:hAnsi="Calibri"/>
          <w:sz w:val="22"/>
          <w:szCs w:val="22"/>
        </w:rPr>
        <w:t xml:space="preserve">IR2101 half-bridge gate driver ICs, one per phase leg, providing 100 mA peak gate drive current and managing the high-side bootstrap charge.</w:t>
      </w:r>
    </w:p>
    <w:p>
      <w:pPr>
        <w:pStyle w:val="ListParagraph"/>
        <w:numPr>
          <w:ilvl w:val="0"/>
          <w:numId w:val="1"/>
        </w:numPr>
        <w:spacing w:after="100"/>
      </w:pPr>
      <w:r>
        <w:rPr>
          <w:rFonts w:ascii="Calibri" w:cs="Calibri" w:eastAsia="Calibri" w:hAnsi="Calibri"/>
          <w:sz w:val="22"/>
          <w:szCs w:val="22"/>
        </w:rPr>
        <w:t xml:space="preserve">0.01 Ω shunt resistors on each low-side leg for current sensing, feeding the motor current reading shown on the dashboard.</w:t>
      </w:r>
    </w:p>
    <w:p>
      <w:pPr>
        <w:pStyle w:val="ListParagraph"/>
        <w:numPr>
          <w:ilvl w:val="0"/>
          <w:numId w:val="1"/>
        </w:numPr>
        <w:spacing w:after="100"/>
      </w:pPr>
      <w:r>
        <w:rPr>
          <w:rFonts w:ascii="Calibri" w:cs="Calibri" w:eastAsia="Calibri" w:hAnsi="Calibri"/>
          <w:sz w:val="22"/>
          <w:szCs w:val="22"/>
        </w:rPr>
        <w:t xml:space="preserve">A 1.5KE33A bidirectional TVS diode across the motor supply rails to clamp inductive kickback from motor commutation.</w:t>
      </w:r>
    </w:p>
    <w:p>
      <w:pPr>
        <w:pStyle w:val="ListParagraph"/>
        <w:numPr>
          <w:ilvl w:val="0"/>
          <w:numId w:val="1"/>
        </w:numPr>
        <w:spacing w:after="100"/>
      </w:pPr>
      <w:r>
        <w:rPr>
          <w:rFonts w:ascii="Calibri" w:cs="Calibri" w:eastAsia="Calibri" w:hAnsi="Calibri"/>
          <w:sz w:val="22"/>
          <w:szCs w:val="22"/>
        </w:rPr>
        <w:t xml:space="preserve">A 3 A fast-blow fuse in series with the motor supply positive rail.</w:t>
      </w:r>
    </w:p>
    <w:p>
      <w:pPr>
        <w:pStyle w:val="ListParagraph"/>
        <w:numPr>
          <w:ilvl w:val="0"/>
          <w:numId w:val="1"/>
        </w:numPr>
        <w:spacing w:after="100"/>
      </w:pPr>
      <w:r>
        <w:rPr>
          <w:rFonts w:ascii="Calibri" w:cs="Calibri" w:eastAsia="Calibri" w:hAnsi="Calibri"/>
          <w:sz w:val="22"/>
          <w:szCs w:val="22"/>
        </w:rPr>
        <w:t xml:space="preserve">100 µF + 100 nF decoupling on the motor supply bus.</w:t>
      </w:r>
    </w:p>
    <w:p>
      <w:pPr>
        <w:spacing w:after="160" w:line="276"/>
      </w:pPr>
      <w:r>
        <w:rPr>
          <w:rFonts w:ascii="Calibri" w:cs="Calibri" w:eastAsia="Calibri" w:hAnsi="Calibri"/>
          <w:sz w:val="22"/>
          <w:szCs w:val="22"/>
        </w:rPr>
        <w:t xml:space="preserve">The custom design was verified in Proteus before hardware was built: simulation confirmed correct gate drive timing across all six MOSFETs, correct back-EMF sensing waveforms, and the absence of noise coupling from the motor drive traces into the sensor supply lines. One design iteration was required during this verification — the initial 100 nF bootstrap capacitor gave insufficient high-side gate voltage above 4 kHz switching frequency, so the bootstrap capacitor was increased to 220 nF and gate drive dead time increased from 0.5 µs to 1.0 µs, after which correct high-side gate voltages were confirmed at all operating speeds. Full simulation and hardware test results are reported in Sections 3.16 and 5.2 respectively.</w:t>
      </w:r>
    </w:p>
    <w:p>
      <w:pPr>
        <w:spacing w:after="60" w:line="276"/>
      </w:pPr>
      <w:r>
        <w:rPr>
          <w:rFonts w:ascii="Calibri" w:cs="Calibri" w:eastAsia="Calibri" w:hAnsi="Calibri"/>
          <w:i/>
          <w:iCs/>
          <w:sz w:val="22"/>
          <w:szCs w:val="22"/>
        </w:rPr>
        <w:t xml:space="preserve">[ INSERT FIGURE HERE ]</w:t>
      </w:r>
    </w:p>
    <w:p>
      <w:pPr>
        <w:spacing w:after="160" w:line="276"/>
      </w:pPr>
      <w:r>
        <w:rPr>
          <w:rFonts w:ascii="Calibri" w:cs="Calibri" w:eastAsia="Calibri" w:hAnsi="Calibri"/>
          <w:sz w:val="22"/>
          <w:szCs w:val="22"/>
        </w:rPr>
        <w:t xml:space="preserve">Figure 3.4: Custom ESC circuit schematic — half-bridge MOSFETs, IR2101 gate drivers, and current-sense shunts</w:t>
      </w:r>
    </w:p>
    <w:p>
      <w:pPr>
        <w:spacing w:after="60" w:line="276"/>
      </w:pPr>
      <w:r>
        <w:rPr>
          <w:rFonts w:ascii="Calibri" w:cs="Calibri" w:eastAsia="Calibri" w:hAnsi="Calibri"/>
          <w:i/>
          <w:iCs/>
          <w:sz w:val="22"/>
          <w:szCs w:val="22"/>
        </w:rPr>
        <w:t xml:space="preserve">[ INSERT FIGURE HERE ]</w:t>
      </w:r>
    </w:p>
    <w:p>
      <w:pPr>
        <w:spacing w:after="160" w:line="276"/>
      </w:pPr>
      <w:r>
        <w:rPr>
          <w:rFonts w:ascii="Calibri" w:cs="Calibri" w:eastAsia="Calibri" w:hAnsi="Calibri"/>
          <w:sz w:val="22"/>
          <w:szCs w:val="22"/>
        </w:rPr>
        <w:t xml:space="preserve">Figure 3.5: Proteus simulation waveforms — ESC gate drive signals for all six MOSFETs, showing dead-time and bootstrap charge intervals</w:t>
      </w:r>
    </w:p>
    <w:p>
      <w:pPr>
        <w:pStyle w:val="Heading2"/>
        <w:spacing w:after="150" w:before="300"/>
      </w:pPr>
      <w:r>
        <w:rPr>
          <w:rFonts w:ascii="Calibri" w:cs="Calibri" w:eastAsia="Calibri" w:hAnsi="Calibri"/>
          <w:b/>
          <w:bCs/>
          <w:sz w:val="26"/>
          <w:szCs w:val="26"/>
        </w:rPr>
        <w:t xml:space="preserve">3.8 Coupling Design</w:t>
      </w:r>
    </w:p>
    <w:p>
      <w:pPr>
        <w:spacing w:after="160" w:line="276"/>
      </w:pPr>
      <w:r>
        <w:rPr>
          <w:rFonts w:ascii="Calibri" w:cs="Calibri" w:eastAsia="Calibri" w:hAnsi="Calibri"/>
          <w:sz w:val="22"/>
          <w:szCs w:val="22"/>
        </w:rPr>
        <w:t xml:space="preserve">A rubber spider (jaw) coupling connects the motor shaft to the flywheel shaft, replacing the rigid, in-line coupling used in the previous prototype (Deficiency 3, Section 1.2). Three alternatives were considered against the requirement to isolate motor commutation vibration from the precision-balanced flywheel shaft while tolerating the small misalignment inevitable in a hand-assembled frame:</w:t>
      </w:r>
    </w:p>
    <w:p>
      <w:pPr>
        <w:pStyle w:val="ListParagraph"/>
        <w:numPr>
          <w:ilvl w:val="0"/>
          <w:numId w:val="1"/>
        </w:numPr>
        <w:spacing w:after="100"/>
      </w:pPr>
      <w:r>
        <w:rPr>
          <w:rFonts w:ascii="Calibri" w:cs="Calibri" w:eastAsia="Calibri" w:hAnsi="Calibri"/>
          <w:sz w:val="22"/>
          <w:szCs w:val="22"/>
        </w:rPr>
        <w:t xml:space="preserve">Rigid (sleeve/set-screw) coupling — the previous design. Rejected: transmits vibration and shock directly into the flywheel shaft and bearings, and has zero misalignment tolerance, which was identified as Deficiency 3.</w:t>
      </w:r>
    </w:p>
    <w:p>
      <w:pPr>
        <w:pStyle w:val="ListParagraph"/>
        <w:numPr>
          <w:ilvl w:val="0"/>
          <w:numId w:val="1"/>
        </w:numPr>
        <w:spacing w:after="100"/>
      </w:pPr>
      <w:r>
        <w:rPr>
          <w:rFonts w:ascii="Calibri" w:cs="Calibri" w:eastAsia="Calibri" w:hAnsi="Calibri"/>
          <w:sz w:val="22"/>
          <w:szCs w:val="22"/>
        </w:rPr>
        <w:t xml:space="preserve">Bellows coupling — precise, near-zero backlash. Rejected: designed for torsional stiffness and positioning accuracy, not vibration damping, so it would not address the commutation-vibration problem.</w:t>
      </w:r>
    </w:p>
    <w:p>
      <w:pPr>
        <w:pStyle w:val="ListParagraph"/>
        <w:numPr>
          <w:ilvl w:val="0"/>
          <w:numId w:val="1"/>
        </w:numPr>
        <w:spacing w:after="100"/>
      </w:pPr>
      <w:r>
        <w:rPr>
          <w:rFonts w:ascii="Calibri" w:cs="Calibri" w:eastAsia="Calibri" w:hAnsi="Calibri"/>
          <w:sz w:val="22"/>
          <w:szCs w:val="22"/>
        </w:rPr>
        <w:t xml:space="preserve">Elastomeric spider (jaw) coupling — chosen. The elastomeric insert absorbs shock during motor engagement with the already-spinning flywheel, isolates commutation vibration from reaching the flywheel shaft and bearings, and tolerates up to 1 degree of angular and 0.2 mm of parallel misalignment — directly matching the assembly tolerances achievable on the available equipment.</w:t>
      </w:r>
    </w:p>
    <w:p>
      <w:pPr>
        <w:spacing w:after="60" w:line="276"/>
      </w:pPr>
      <w:r>
        <w:rPr>
          <w:rFonts w:ascii="Calibri" w:cs="Calibri" w:eastAsia="Calibri" w:hAnsi="Calibri"/>
          <w:i/>
          <w:iCs/>
          <w:sz w:val="22"/>
          <w:szCs w:val="22"/>
        </w:rPr>
        <w:t xml:space="preserve">[ INSERT FIGURE HERE ]</w:t>
      </w:r>
    </w:p>
    <w:p>
      <w:pPr>
        <w:spacing w:after="160" w:line="276"/>
      </w:pPr>
      <w:r>
        <w:rPr>
          <w:rFonts w:ascii="Calibri" w:cs="Calibri" w:eastAsia="Calibri" w:hAnsi="Calibri"/>
          <w:sz w:val="22"/>
          <w:szCs w:val="22"/>
        </w:rPr>
        <w:t xml:space="preserve">Figure 3.6: Spider coupling — exploded view showing motor hub, elastomeric insert, and flywheel hub</w:t>
      </w:r>
    </w:p>
    <w:p>
      <w:pPr>
        <w:pStyle w:val="Heading2"/>
        <w:spacing w:after="150" w:before="300"/>
      </w:pPr>
      <w:r>
        <w:rPr>
          <w:rFonts w:ascii="Calibri" w:cs="Calibri" w:eastAsia="Calibri" w:hAnsi="Calibri"/>
          <w:b/>
          <w:bCs/>
          <w:sz w:val="26"/>
          <w:szCs w:val="26"/>
        </w:rPr>
        <w:t xml:space="preserve">3.9 Frame Design</w:t>
      </w:r>
    </w:p>
    <w:p>
      <w:pPr>
        <w:spacing w:after="160" w:line="276"/>
      </w:pPr>
      <w:r>
        <w:rPr>
          <w:rFonts w:ascii="Calibri" w:cs="Calibri" w:eastAsia="Calibri" w:hAnsi="Calibri"/>
          <w:sz w:val="22"/>
          <w:szCs w:val="22"/>
        </w:rPr>
        <w:t xml:space="preserve">The steel frame was inherited from the previous team and modified rather than rebuilt from scratch, in keeping with the project's improvement-based scope (Section 1.6). The most significant structural change was the introduction of an independent base plate for the motor, separated from the flywheel shaft support structure and connected only through the flexible coupling described in Section 3.8. This decouples the motor's vibration source from the precision-balanced rotating assembly, rather than relying on the rigid, shared mounting used previously.</w:t>
      </w:r>
    </w:p>
    <w:p>
      <w:pPr>
        <w:spacing w:after="160" w:line="276"/>
      </w:pPr>
      <w:r>
        <w:rPr>
          <w:rFonts w:ascii="Calibri" w:cs="Calibri" w:eastAsia="Calibri" w:hAnsi="Calibri"/>
          <w:sz w:val="22"/>
          <w:szCs w:val="22"/>
        </w:rPr>
        <w:t xml:space="preserve">A separate rubber engine-mount isolator for the existing shared plate was considered as a lower-effort alternative to a new base plate, but was rejected: an isolator alone would still leave the motor and flywheel shaft sharing a single structural reference, so any residual base-plate flex under motor torque would still couple into shaft alignment. The independent base plate removes that coupling path entirely rather than only damping it, at a modest fabrication cost within the project's workshop capability.</w:t>
      </w:r>
    </w:p>
    <w:p>
      <w:pPr>
        <w:spacing w:after="160" w:line="276"/>
      </w:pPr>
      <w:r>
        <w:rPr>
          <w:rFonts w:ascii="Calibri" w:cs="Calibri" w:eastAsia="Calibri" w:hAnsi="Calibri"/>
          <w:sz w:val="22"/>
          <w:szCs w:val="22"/>
        </w:rPr>
        <w:t xml:space="preserve">Other modifications: bearing housings redrilled and reamed to accept RS608 bearings; motor mounting plate reinforced with 25 × 3 mm flat bar bracing and relocated onto its own base plate; all surfaces wire-brushed and repainted.</w:t>
      </w:r>
    </w:p>
    <w:p>
      <w:pPr>
        <w:spacing w:after="60" w:line="276"/>
      </w:pPr>
      <w:r>
        <w:rPr>
          <w:rFonts w:ascii="Calibri" w:cs="Calibri" w:eastAsia="Calibri" w:hAnsi="Calibri"/>
          <w:i/>
          <w:iCs/>
          <w:sz w:val="22"/>
          <w:szCs w:val="22"/>
        </w:rPr>
        <w:t xml:space="preserve">[ INSERT FIGURE HERE ]</w:t>
      </w:r>
    </w:p>
    <w:p>
      <w:pPr>
        <w:spacing w:after="160" w:line="276"/>
      </w:pPr>
      <w:r>
        <w:rPr>
          <w:rFonts w:ascii="Calibri" w:cs="Calibri" w:eastAsia="Calibri" w:hAnsi="Calibri"/>
          <w:sz w:val="22"/>
          <w:szCs w:val="22"/>
        </w:rPr>
        <w:t xml:space="preserve">Figure 3.7: Internal component layout — side section view showing frame, bearings, shaft, motor base plate, and coupling positions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2026-07-11T22:17:25.002Z</dcterms:created>
  <dcterms:modified xsi:type="dcterms:W3CDTF">2026-07-11T22:17:25.018Z</dcterms:modified>
</cp:coreProperties>
</file>

<file path=docProps/custom.xml><?xml version="1.0" encoding="utf-8"?>
<Properties xmlns="http://schemas.openxmlformats.org/officeDocument/2006/custom-properties" xmlns:vt="http://schemas.openxmlformats.org/officeDocument/2006/docPropsVTypes"/>
</file>