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3A8A"/>
          <w:sz w:val="44"/>
        </w:rPr>
        <w:t>ApniLeap Mini-Project Cobot v2</w:t>
      </w:r>
    </w:p>
    <w:p>
      <w:pPr>
        <w:spacing w:after="320"/>
      </w:pPr>
      <w:r>
        <w:rPr>
          <w:rFonts w:ascii="Arial" w:hAnsi="Arial"/>
          <w:b/>
          <w:color w:val="0D9488"/>
          <w:sz w:val="26"/>
        </w:rPr>
        <w:t>Executive Summary of System Refinements &amp; RBAC Enhancements</w:t>
      </w:r>
    </w:p>
    <w:p>
      <w:pPr>
        <w:spacing w:after="400"/>
      </w:pPr>
      <w:r>
        <w:rPr>
          <w:rFonts w:ascii="Arial" w:hAnsi="Arial"/>
          <w:i/>
          <w:color w:val="64748B"/>
          <w:sz w:val="19"/>
        </w:rPr>
        <w:t>Date: September 2026  |  Institution: KLE Technological University  |  Scope: Dean, HOD, Faculty, Student RBAC &amp; Ingestion</w:t>
      </w:r>
    </w:p>
    <w:p>
      <w:pPr>
        <w:spacing w:after="320"/>
      </w:pPr>
      <w:r>
        <w:rPr>
          <w:color w:val="CBD5E1"/>
        </w:rPr>
        <w:t>――――――――――――――――――――――――――――――――――――――――――――――――――――――――――――</w:t>
      </w:r>
    </w:p>
    <w:p>
      <w:pPr>
        <w:spacing w:before="280" w:after="120"/>
      </w:pPr>
      <w:r>
        <w:rPr>
          <w:rFonts w:ascii="Arial" w:hAnsi="Arial"/>
          <w:b/>
          <w:color w:val="1E3A8A"/>
          <w:sz w:val="28"/>
        </w:rPr>
        <w:t>1. Faculty Mentor Dashboard &amp; Role-Based Isolation</w:t>
      </w:r>
    </w:p>
    <w:p>
      <w:pPr>
        <w:pStyle w:val="ListBullet"/>
        <w:spacing w:before="40" w:after="60"/>
      </w:pPr>
      <w:r>
        <w:rPr>
          <w:rFonts w:ascii="Arial" w:hAnsi="Arial"/>
          <w:b/>
          <w:color w:val="1E293B"/>
          <w:sz w:val="21"/>
        </w:rPr>
        <w:t xml:space="preserve">Exclusive Project Access: </w:t>
      </w:r>
      <w:r>
        <w:rPr>
          <w:rFonts w:ascii="Arial" w:hAnsi="Arial"/>
          <w:color w:val="1E293B"/>
          <w:sz w:val="20"/>
        </w:rPr>
        <w:t>Faculty Mentors are now strictly restricted to view only the projects where they are assigned as the mentor (or associated student projects). They no longer have unrestricted access to all departmental projects.</w:t>
      </w:r>
    </w:p>
    <w:p>
      <w:pPr>
        <w:pStyle w:val="ListBullet"/>
        <w:spacing w:before="40" w:after="60"/>
      </w:pPr>
      <w:r>
        <w:rPr>
          <w:rFonts w:ascii="Arial" w:hAnsi="Arial"/>
          <w:b/>
          <w:color w:val="1E293B"/>
          <w:sz w:val="21"/>
        </w:rPr>
        <w:t xml:space="preserve">Removed Departmental View: </w:t>
      </w:r>
      <w:r>
        <w:rPr>
          <w:rFonts w:ascii="Arial" w:hAnsi="Arial"/>
          <w:color w:val="1E293B"/>
          <w:sz w:val="20"/>
        </w:rPr>
        <w:t>Removed department-wide browsing options and 'View Mode' toggle bars from the Faculty portal. Faculty dashboards now load exclusively their assigned project portfolio.</w:t>
      </w:r>
    </w:p>
    <w:p>
      <w:pPr>
        <w:spacing w:before="280" w:after="120"/>
      </w:pPr>
      <w:r>
        <w:rPr>
          <w:rFonts w:ascii="Arial" w:hAnsi="Arial"/>
          <w:b/>
          <w:color w:val="1E3A8A"/>
          <w:sz w:val="28"/>
        </w:rPr>
        <w:t>2. Dean Dashboard (KLE Dual-Department Drilldown)</w:t>
      </w:r>
    </w:p>
    <w:p>
      <w:pPr>
        <w:pStyle w:val="ListBullet"/>
        <w:spacing w:before="40" w:after="60"/>
      </w:pPr>
      <w:r>
        <w:rPr>
          <w:rFonts w:ascii="Arial" w:hAnsi="Arial"/>
          <w:b/>
          <w:color w:val="1E293B"/>
          <w:sz w:val="21"/>
        </w:rPr>
        <w:t xml:space="preserve">Multi-Department Oversight: </w:t>
      </w:r>
      <w:r>
        <w:rPr>
          <w:rFonts w:ascii="Arial" w:hAnsi="Arial"/>
          <w:color w:val="1E293B"/>
          <w:sz w:val="20"/>
        </w:rPr>
        <w:t>Configured the Dean's scope for KLE Technological University to manage both Computer Science &amp; Engineering (CSE) and CSE (Artificial Intelligence).</w:t>
      </w:r>
    </w:p>
    <w:p>
      <w:pPr>
        <w:pStyle w:val="ListBullet"/>
        <w:spacing w:before="40" w:after="60"/>
      </w:pPr>
      <w:r>
        <w:rPr>
          <w:rFonts w:ascii="Arial" w:hAnsi="Arial"/>
          <w:b/>
          <w:color w:val="1E293B"/>
          <w:sz w:val="21"/>
        </w:rPr>
        <w:t xml:space="preserve">Clean 3-Level Drilldown Hierarchy: </w:t>
      </w:r>
      <w:r>
        <w:rPr>
          <w:rFonts w:ascii="Arial" w:hAnsi="Arial"/>
          <w:color w:val="1E293B"/>
          <w:sz w:val="20"/>
        </w:rPr>
        <w:t>Restructured the UI to eliminate data clutter:</w:t>
        <w:br/>
        <w:t xml:space="preserve">  • Level 1: Clean Department Choice Cards (CSE [20 projects] and CSE-AI [5 projects]).</w:t>
        <w:br/>
        <w:t xml:space="preserve">  • Level 2: Department Themes associated with the selected department.</w:t>
        <w:br/>
        <w:t xml:space="preserve">  • Level 3: Individual Projects under the selected theme.</w:t>
      </w:r>
    </w:p>
    <w:p>
      <w:pPr>
        <w:pStyle w:val="ListBullet"/>
        <w:spacing w:before="40" w:after="60"/>
      </w:pPr>
      <w:r>
        <w:rPr>
          <w:rFonts w:ascii="Arial" w:hAnsi="Arial"/>
          <w:b/>
          <w:color w:val="1E293B"/>
          <w:sz w:val="21"/>
        </w:rPr>
        <w:t xml:space="preserve">Simplified Department Cards: </w:t>
      </w:r>
      <w:r>
        <w:rPr>
          <w:rFonts w:ascii="Arial" w:hAnsi="Arial"/>
          <w:color w:val="1E293B"/>
          <w:sz w:val="20"/>
        </w:rPr>
        <w:t>Removed RAG color status pills (Red, Yellow, Green status chips) from the top-level department cards, displaying a neat project count alongside the department card.</w:t>
      </w:r>
    </w:p>
    <w:p>
      <w:pPr>
        <w:spacing w:before="280" w:after="120"/>
      </w:pPr>
      <w:r>
        <w:rPr>
          <w:rFonts w:ascii="Arial" w:hAnsi="Arial"/>
          <w:b/>
          <w:color w:val="1E3A8A"/>
          <w:sz w:val="28"/>
        </w:rPr>
        <w:t>3. Head of Department (HOD) Dashboard Architecture</w:t>
      </w:r>
    </w:p>
    <w:p>
      <w:pPr>
        <w:pStyle w:val="ListBullet"/>
        <w:spacing w:before="40" w:after="60"/>
      </w:pPr>
      <w:r>
        <w:rPr>
          <w:rFonts w:ascii="Arial" w:hAnsi="Arial"/>
          <w:b/>
          <w:color w:val="1E293B"/>
          <w:sz w:val="21"/>
        </w:rPr>
        <w:t xml:space="preserve">Themes-First Progression: </w:t>
      </w:r>
      <w:r>
        <w:rPr>
          <w:rFonts w:ascii="Arial" w:hAnsi="Arial"/>
          <w:color w:val="1E293B"/>
          <w:sz w:val="20"/>
        </w:rPr>
        <w:t>The HOD dashboard now organizes projects by theme: clicking the department presents Department Themes first, and selecting a theme reveals the projects under that theme.</w:t>
      </w:r>
    </w:p>
    <w:p>
      <w:pPr>
        <w:pStyle w:val="ListBullet"/>
        <w:spacing w:before="40" w:after="60"/>
      </w:pPr>
      <w:r>
        <w:rPr>
          <w:rFonts w:ascii="Arial" w:hAnsi="Arial"/>
          <w:b/>
          <w:color w:val="1E293B"/>
          <w:sz w:val="21"/>
        </w:rPr>
        <w:t xml:space="preserve">Removed Redundant Toggle Controls: </w:t>
      </w:r>
      <w:r>
        <w:rPr>
          <w:rFonts w:ascii="Arial" w:hAnsi="Arial"/>
          <w:color w:val="1E293B"/>
          <w:sz w:val="20"/>
        </w:rPr>
        <w:t>Completely stripped out the 'View Mode' toggle cards and 'All Department Projects' buttons across HOD, Dean, and Admin dashboards for an intuitive, structured experience.</w:t>
      </w:r>
    </w:p>
    <w:p>
      <w:pPr>
        <w:spacing w:before="280" w:after="120"/>
      </w:pPr>
      <w:r>
        <w:rPr>
          <w:rFonts w:ascii="Arial" w:hAnsi="Arial"/>
          <w:b/>
          <w:color w:val="1E3A8A"/>
          <w:sz w:val="28"/>
        </w:rPr>
        <w:t>4. Project Action Permissions &amp; Tracking Security</w:t>
      </w:r>
    </w:p>
    <w:p>
      <w:pPr>
        <w:pStyle w:val="ListBullet"/>
        <w:spacing w:before="40" w:after="60"/>
      </w:pPr>
      <w:r>
        <w:rPr>
          <w:rFonts w:ascii="Arial" w:hAnsi="Arial"/>
          <w:b/>
          <w:color w:val="1E293B"/>
          <w:sz w:val="21"/>
        </w:rPr>
        <w:t xml:space="preserve">Edit Status Button (#btnUpdateStatus): </w:t>
      </w:r>
      <w:r>
        <w:rPr>
          <w:rFonts w:ascii="Arial" w:hAnsi="Arial"/>
          <w:color w:val="1E293B"/>
          <w:sz w:val="20"/>
        </w:rPr>
        <w:t>Strictly restricted to Faculty Mentors (Guides) and HODs. Dean, Reviewers, Stakeholders, and Students are blocked both in the UI and enforced with HTTP 403 Forbidden in the backend (POST /api/projects/:id/status).</w:t>
      </w:r>
    </w:p>
    <w:p>
      <w:pPr>
        <w:pStyle w:val="ListBullet"/>
        <w:spacing w:before="40" w:after="60"/>
      </w:pPr>
      <w:r>
        <w:rPr>
          <w:rFonts w:ascii="Arial" w:hAnsi="Arial"/>
          <w:b/>
          <w:color w:val="1E293B"/>
          <w:sz w:val="21"/>
        </w:rPr>
        <w:t xml:space="preserve">Project Definition Edit Button (#btnEditDefinition): </w:t>
      </w:r>
      <w:r>
        <w:rPr>
          <w:rFonts w:ascii="Arial" w:hAnsi="Arial"/>
          <w:color w:val="1E293B"/>
          <w:sz w:val="20"/>
        </w:rPr>
        <w:t>Strictly reserved for Faculty Mentors (Guides) and Students. HODs, Deans, and Reviewers cannot alter project definitions.</w:t>
      </w:r>
    </w:p>
    <w:p>
      <w:pPr>
        <w:spacing w:before="280" w:after="120"/>
      </w:pPr>
      <w:r>
        <w:rPr>
          <w:rFonts w:ascii="Arial" w:hAnsi="Arial"/>
          <w:b/>
          <w:color w:val="1E3A8A"/>
          <w:sz w:val="28"/>
        </w:rPr>
        <w:t>5. Data Ingestion &amp; Database Confirmation</w:t>
      </w:r>
    </w:p>
    <w:p>
      <w:pPr>
        <w:pStyle w:val="ListBullet"/>
        <w:spacing w:before="40" w:after="60"/>
      </w:pPr>
      <w:r>
        <w:rPr>
          <w:rFonts w:ascii="Arial" w:hAnsi="Arial"/>
          <w:b/>
          <w:color w:val="1E293B"/>
          <w:sz w:val="21"/>
        </w:rPr>
        <w:t xml:space="preserve">CSE-AI Department Projects: </w:t>
      </w:r>
      <w:r>
        <w:rPr>
          <w:rFonts w:ascii="Arial" w:hAnsi="Arial"/>
          <w:color w:val="1E293B"/>
          <w:sz w:val="20"/>
        </w:rPr>
        <w:t>Successfully ingested and linked 3 project teams under CSE-AI (Department ID = 2):</w:t>
        <w:br/>
        <w:t xml:space="preserve">  • AL-KLE-023: Adaptive video streaming and buffer management engine (Mentor: Amit Kachavimath | 4 Students)</w:t>
        <w:br/>
        <w:t xml:space="preserve">  • AL-KLE-024: Resilient Multi Peer File Distribution and Recovery Engine (Mentor: Pooja Shettar | 4 Students)</w:t>
        <w:br/>
        <w:t xml:space="preserve">  • AL-KLE-025: DNS Resolver and Caching Server (Mentor: Dheeraj Kumar | 3 Students)</w:t>
      </w:r>
    </w:p>
    <w:p>
      <w:pPr>
        <w:pStyle w:val="ListBullet"/>
        <w:spacing w:before="40" w:after="60"/>
      </w:pPr>
      <w:r>
        <w:rPr>
          <w:rFonts w:ascii="Arial" w:hAnsi="Arial"/>
          <w:b/>
          <w:color w:val="1E293B"/>
          <w:sz w:val="21"/>
        </w:rPr>
        <w:t xml:space="preserve">User Accounts &amp; Passwords: </w:t>
      </w:r>
      <w:r>
        <w:rPr>
          <w:rFonts w:ascii="Arial" w:hAnsi="Arial"/>
          <w:color w:val="1E293B"/>
          <w:sz w:val="20"/>
        </w:rPr>
        <w:t>Created and verified login accounts for all 11 students with universal password Demo@12345 (logins enabled via SRN or University Email).</w:t>
      </w:r>
    </w:p>
    <w:p>
      <w:pPr>
        <w:pStyle w:val="ListBullet"/>
        <w:spacing w:before="40" w:after="60"/>
      </w:pPr>
      <w:r>
        <w:rPr>
          <w:rFonts w:ascii="Arial" w:hAnsi="Arial"/>
          <w:b/>
          <w:color w:val="1E293B"/>
          <w:sz w:val="21"/>
        </w:rPr>
        <w:t xml:space="preserve">Standardized CSV Template: </w:t>
      </w:r>
      <w:r>
        <w:rPr>
          <w:rFonts w:ascii="Arial" w:hAnsi="Arial"/>
          <w:color w:val="1E293B"/>
          <w:sz w:val="20"/>
        </w:rPr>
        <w:t>Constructed and validated demo_projects_ready_to_upload.csv conforming to the bulk upload specification.</w:t>
      </w:r>
    </w:p>
    <w:p>
      <w:pPr>
        <w:spacing w:before="280" w:after="120"/>
      </w:pPr>
      <w:r>
        <w:rPr>
          <w:rFonts w:ascii="Arial" w:hAnsi="Arial"/>
          <w:b/>
          <w:color w:val="1E3A8A"/>
          <w:sz w:val="28"/>
        </w:rPr>
        <w:t>6. Quick Summary of Permissions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fill="1E3A8A"/>
            <w:tcMar>
              <w:top w:w="140" w:type="dxa"/>
              <w:bottom w:w="140" w:type="dxa"/>
              <w:left w:w="150" w:type="dxa"/>
              <w:right w:w="150" w:type="dxa"/>
            </w:tcMar>
          </w:tcPr>
          <w:p>
            <w:r>
              <w:rPr>
                <w:rFonts w:ascii="Arial" w:hAnsi="Arial"/>
                <w:b/>
                <w:color w:val="FFFFFF"/>
                <w:sz w:val="19"/>
              </w:rPr>
              <w:t>Role</w:t>
            </w:r>
          </w:p>
        </w:tc>
        <w:tc>
          <w:tcPr>
            <w:tcW w:type="dxa" w:w="3888"/>
            <w:shd w:fill="1E3A8A"/>
            <w:tcMar>
              <w:top w:w="140" w:type="dxa"/>
              <w:bottom w:w="140" w:type="dxa"/>
              <w:left w:w="150" w:type="dxa"/>
              <w:right w:w="150" w:type="dxa"/>
            </w:tcMar>
          </w:tcPr>
          <w:p>
            <w:r>
              <w:rPr>
                <w:rFonts w:ascii="Arial" w:hAnsi="Arial"/>
                <w:b/>
                <w:color w:val="FFFFFF"/>
                <w:sz w:val="19"/>
              </w:rPr>
              <w:t>Allowed Views</w:t>
            </w:r>
          </w:p>
        </w:tc>
        <w:tc>
          <w:tcPr>
            <w:tcW w:type="dxa" w:w="1872"/>
            <w:shd w:fill="1E3A8A"/>
            <w:tcMar>
              <w:top w:w="140" w:type="dxa"/>
              <w:bottom w:w="140" w:type="dxa"/>
              <w:left w:w="150" w:type="dxa"/>
              <w:right w:w="150" w:type="dxa"/>
            </w:tcMar>
          </w:tcPr>
          <w:p>
            <w:r>
              <w:rPr>
                <w:rFonts w:ascii="Arial" w:hAnsi="Arial"/>
                <w:b/>
                <w:color w:val="FFFFFF"/>
                <w:sz w:val="19"/>
              </w:rPr>
              <w:t>Status Edit (RAG)</w:t>
            </w:r>
          </w:p>
        </w:tc>
        <w:tc>
          <w:tcPr>
            <w:tcW w:type="dxa" w:w="1728"/>
            <w:shd w:fill="1E3A8A"/>
            <w:tcMar>
              <w:top w:w="140" w:type="dxa"/>
              <w:bottom w:w="140" w:type="dxa"/>
              <w:left w:w="150" w:type="dxa"/>
              <w:right w:w="150" w:type="dxa"/>
            </w:tcMar>
          </w:tcPr>
          <w:p>
            <w:r>
              <w:rPr>
                <w:rFonts w:ascii="Arial" w:hAnsi="Arial"/>
                <w:b/>
                <w:color w:val="FFFFFF"/>
                <w:sz w:val="19"/>
              </w:rPr>
              <w:t>Definition Edit</w:t>
            </w:r>
          </w:p>
        </w:tc>
      </w:tr>
      <w:tr>
        <w:tc>
          <w:tcPr>
            <w:tcW w:type="dxa" w:w="2592"/>
            <w:shd w:fill="FFFFFF"/>
            <w:tcMar>
              <w:top w:w="100" w:type="dxa"/>
              <w:bottom w:w="100" w:type="dxa"/>
              <w:left w:w="150" w:type="dxa"/>
              <w:right w:w="150" w:type="dxa"/>
            </w:tcMar>
          </w:tcPr>
          <w:p>
            <w:r>
              <w:rPr>
                <w:rFonts w:ascii="Arial" w:hAnsi="Arial"/>
                <w:color w:val="1E293B"/>
                <w:sz w:val="18"/>
              </w:rPr>
              <w:t>Dean / Principal</w:t>
            </w:r>
          </w:p>
        </w:tc>
        <w:tc>
          <w:tcPr>
            <w:tcW w:type="dxa" w:w="3888"/>
            <w:shd w:fill="FFFFFF"/>
            <w:tcMar>
              <w:top w:w="100" w:type="dxa"/>
              <w:bottom w:w="100" w:type="dxa"/>
              <w:left w:w="150" w:type="dxa"/>
              <w:right w:w="150" w:type="dxa"/>
            </w:tcMar>
          </w:tcPr>
          <w:p>
            <w:r>
              <w:rPr>
                <w:rFonts w:ascii="Arial" w:hAnsi="Arial"/>
                <w:color w:val="1E293B"/>
                <w:sz w:val="18"/>
              </w:rPr>
              <w:t>CSE &amp; CSE-AI Depts -&gt; Themes -&gt; Projects</w:t>
            </w:r>
          </w:p>
        </w:tc>
        <w:tc>
          <w:tcPr>
            <w:tcW w:type="dxa" w:w="1872"/>
            <w:shd w:fill="FFFFFF"/>
            <w:tcMar>
              <w:top w:w="100" w:type="dxa"/>
              <w:bottom w:w="100" w:type="dxa"/>
              <w:left w:w="150" w:type="dxa"/>
              <w:right w:w="150" w:type="dxa"/>
            </w:tcMar>
          </w:tcPr>
          <w:p>
            <w:r>
              <w:rPr>
                <w:rFonts w:ascii="Arial" w:hAnsi="Arial"/>
                <w:color w:val="1E293B"/>
                <w:sz w:val="18"/>
              </w:rPr>
              <w:t>No (Hidden/403)</w:t>
            </w:r>
          </w:p>
        </w:tc>
        <w:tc>
          <w:tcPr>
            <w:tcW w:type="dxa" w:w="1728"/>
            <w:shd w:fill="FFFFFF"/>
            <w:tcMar>
              <w:top w:w="100" w:type="dxa"/>
              <w:bottom w:w="100" w:type="dxa"/>
              <w:left w:w="150" w:type="dxa"/>
              <w:right w:w="150" w:type="dxa"/>
            </w:tcMar>
          </w:tcPr>
          <w:p>
            <w:r>
              <w:rPr>
                <w:rFonts w:ascii="Arial" w:hAnsi="Arial"/>
                <w:color w:val="1E293B"/>
                <w:sz w:val="18"/>
              </w:rPr>
              <w:t>No (Hidden/403)</w:t>
            </w:r>
          </w:p>
        </w:tc>
      </w:tr>
      <w:tr>
        <w:tc>
          <w:tcPr>
            <w:tcW w:type="dxa" w:w="2592"/>
            <w:shd w:fill="F8FAFC"/>
            <w:tcMar>
              <w:top w:w="100" w:type="dxa"/>
              <w:bottom w:w="100" w:type="dxa"/>
              <w:left w:w="150" w:type="dxa"/>
              <w:right w:w="150" w:type="dxa"/>
            </w:tcMar>
          </w:tcPr>
          <w:p>
            <w:r>
              <w:rPr>
                <w:rFonts w:ascii="Arial" w:hAnsi="Arial"/>
                <w:color w:val="1E293B"/>
                <w:sz w:val="18"/>
              </w:rPr>
              <w:t>HOD</w:t>
            </w:r>
          </w:p>
        </w:tc>
        <w:tc>
          <w:tcPr>
            <w:tcW w:type="dxa" w:w="3888"/>
            <w:shd w:fill="F8FAFC"/>
            <w:tcMar>
              <w:top w:w="100" w:type="dxa"/>
              <w:bottom w:w="100" w:type="dxa"/>
              <w:left w:w="150" w:type="dxa"/>
              <w:right w:w="150" w:type="dxa"/>
            </w:tcMar>
          </w:tcPr>
          <w:p>
            <w:r>
              <w:rPr>
                <w:rFonts w:ascii="Arial" w:hAnsi="Arial"/>
                <w:color w:val="1E293B"/>
                <w:sz w:val="18"/>
              </w:rPr>
              <w:t>Department Themes -&gt; Theme Projects</w:t>
            </w:r>
          </w:p>
        </w:tc>
        <w:tc>
          <w:tcPr>
            <w:tcW w:type="dxa" w:w="1872"/>
            <w:shd w:fill="F8FAFC"/>
            <w:tcMar>
              <w:top w:w="100" w:type="dxa"/>
              <w:bottom w:w="100" w:type="dxa"/>
              <w:left w:w="150" w:type="dxa"/>
              <w:right w:w="150" w:type="dxa"/>
            </w:tcMar>
          </w:tcPr>
          <w:p>
            <w:r>
              <w:rPr>
                <w:rFonts w:ascii="Arial" w:hAnsi="Arial"/>
                <w:color w:val="1E293B"/>
                <w:sz w:val="18"/>
              </w:rPr>
              <w:t>Yes (Guide &amp; HOD)</w:t>
            </w:r>
          </w:p>
        </w:tc>
        <w:tc>
          <w:tcPr>
            <w:tcW w:type="dxa" w:w="1728"/>
            <w:shd w:fill="F8FAFC"/>
            <w:tcMar>
              <w:top w:w="100" w:type="dxa"/>
              <w:bottom w:w="100" w:type="dxa"/>
              <w:left w:w="150" w:type="dxa"/>
              <w:right w:w="150" w:type="dxa"/>
            </w:tcMar>
          </w:tcPr>
          <w:p>
            <w:r>
              <w:rPr>
                <w:rFonts w:ascii="Arial" w:hAnsi="Arial"/>
                <w:color w:val="1E293B"/>
                <w:sz w:val="18"/>
              </w:rPr>
              <w:t>No (Guide &amp; Student only)</w:t>
            </w:r>
          </w:p>
        </w:tc>
      </w:tr>
      <w:tr>
        <w:tc>
          <w:tcPr>
            <w:tcW w:type="dxa" w:w="2592"/>
            <w:shd w:fill="FFFFFF"/>
            <w:tcMar>
              <w:top w:w="100" w:type="dxa"/>
              <w:bottom w:w="100" w:type="dxa"/>
              <w:left w:w="150" w:type="dxa"/>
              <w:right w:w="150" w:type="dxa"/>
            </w:tcMar>
          </w:tcPr>
          <w:p>
            <w:r>
              <w:rPr>
                <w:rFonts w:ascii="Arial" w:hAnsi="Arial"/>
                <w:color w:val="1E293B"/>
                <w:sz w:val="18"/>
              </w:rPr>
              <w:t>Faculty Mentor</w:t>
            </w:r>
          </w:p>
        </w:tc>
        <w:tc>
          <w:tcPr>
            <w:tcW w:type="dxa" w:w="3888"/>
            <w:shd w:fill="FFFFFF"/>
            <w:tcMar>
              <w:top w:w="100" w:type="dxa"/>
              <w:bottom w:w="100" w:type="dxa"/>
              <w:left w:w="150" w:type="dxa"/>
              <w:right w:w="150" w:type="dxa"/>
            </w:tcMar>
          </w:tcPr>
          <w:p>
            <w:r>
              <w:rPr>
                <w:rFonts w:ascii="Arial" w:hAnsi="Arial"/>
                <w:color w:val="1E293B"/>
                <w:sz w:val="18"/>
              </w:rPr>
              <w:t>Only Assigned Projects (No Dept view)</w:t>
            </w:r>
          </w:p>
        </w:tc>
        <w:tc>
          <w:tcPr>
            <w:tcW w:type="dxa" w:w="1872"/>
            <w:shd w:fill="FFFFFF"/>
            <w:tcMar>
              <w:top w:w="100" w:type="dxa"/>
              <w:bottom w:w="100" w:type="dxa"/>
              <w:left w:w="150" w:type="dxa"/>
              <w:right w:w="150" w:type="dxa"/>
            </w:tcMar>
          </w:tcPr>
          <w:p>
            <w:r>
              <w:rPr>
                <w:rFonts w:ascii="Arial" w:hAnsi="Arial"/>
                <w:color w:val="1E293B"/>
                <w:sz w:val="18"/>
              </w:rPr>
              <w:t>Yes (Guide &amp; HOD)</w:t>
            </w:r>
          </w:p>
        </w:tc>
        <w:tc>
          <w:tcPr>
            <w:tcW w:type="dxa" w:w="1728"/>
            <w:shd w:fill="FFFFFF"/>
            <w:tcMar>
              <w:top w:w="100" w:type="dxa"/>
              <w:bottom w:w="100" w:type="dxa"/>
              <w:left w:w="150" w:type="dxa"/>
              <w:right w:w="150" w:type="dxa"/>
            </w:tcMar>
          </w:tcPr>
          <w:p>
            <w:r>
              <w:rPr>
                <w:rFonts w:ascii="Arial" w:hAnsi="Arial"/>
                <w:color w:val="1E293B"/>
                <w:sz w:val="18"/>
              </w:rPr>
              <w:t>Yes (Guide &amp; Student)</w:t>
            </w:r>
          </w:p>
        </w:tc>
      </w:tr>
      <w:tr>
        <w:tc>
          <w:tcPr>
            <w:tcW w:type="dxa" w:w="2592"/>
            <w:shd w:fill="F8FAFC"/>
            <w:tcMar>
              <w:top w:w="100" w:type="dxa"/>
              <w:bottom w:w="100" w:type="dxa"/>
              <w:left w:w="150" w:type="dxa"/>
              <w:right w:w="150" w:type="dxa"/>
            </w:tcMar>
          </w:tcPr>
          <w:p>
            <w:r>
              <w:rPr>
                <w:rFonts w:ascii="Arial" w:hAnsi="Arial"/>
                <w:color w:val="1E293B"/>
                <w:sz w:val="18"/>
              </w:rPr>
              <w:t>Student</w:t>
            </w:r>
          </w:p>
        </w:tc>
        <w:tc>
          <w:tcPr>
            <w:tcW w:type="dxa" w:w="3888"/>
            <w:shd w:fill="F8FAFC"/>
            <w:tcMar>
              <w:top w:w="100" w:type="dxa"/>
              <w:bottom w:w="100" w:type="dxa"/>
              <w:left w:w="150" w:type="dxa"/>
              <w:right w:w="150" w:type="dxa"/>
            </w:tcMar>
          </w:tcPr>
          <w:p>
            <w:r>
              <w:rPr>
                <w:rFonts w:ascii="Arial" w:hAnsi="Arial"/>
                <w:color w:val="1E293B"/>
                <w:sz w:val="18"/>
              </w:rPr>
              <w:t>Assigned Project Team Dashboard</w:t>
            </w:r>
          </w:p>
        </w:tc>
        <w:tc>
          <w:tcPr>
            <w:tcW w:type="dxa" w:w="1872"/>
            <w:shd w:fill="F8FAFC"/>
            <w:tcMar>
              <w:top w:w="100" w:type="dxa"/>
              <w:bottom w:w="100" w:type="dxa"/>
              <w:left w:w="150" w:type="dxa"/>
              <w:right w:w="150" w:type="dxa"/>
            </w:tcMar>
          </w:tcPr>
          <w:p>
            <w:r>
              <w:rPr>
                <w:rFonts w:ascii="Arial" w:hAnsi="Arial"/>
                <w:color w:val="1E293B"/>
                <w:sz w:val="18"/>
              </w:rPr>
              <w:t>No (Hidden/403)</w:t>
            </w:r>
          </w:p>
        </w:tc>
        <w:tc>
          <w:tcPr>
            <w:tcW w:type="dxa" w:w="1728"/>
            <w:shd w:fill="F8FAFC"/>
            <w:tcMar>
              <w:top w:w="100" w:type="dxa"/>
              <w:bottom w:w="100" w:type="dxa"/>
              <w:left w:w="150" w:type="dxa"/>
              <w:right w:w="150" w:type="dxa"/>
            </w:tcMar>
          </w:tcPr>
          <w:p>
            <w:r>
              <w:rPr>
                <w:rFonts w:ascii="Arial" w:hAnsi="Arial"/>
                <w:color w:val="1E293B"/>
                <w:sz w:val="18"/>
              </w:rPr>
              <w:t>Yes (Guide &amp; Student)</w:t>
            </w:r>
          </w:p>
        </w:tc>
      </w:tr>
      <w:tr>
        <w:tc>
          <w:tcPr>
            <w:tcW w:type="dxa" w:w="2592"/>
            <w:shd w:fill="FFFFFF"/>
            <w:tcMar>
              <w:top w:w="100" w:type="dxa"/>
              <w:bottom w:w="100" w:type="dxa"/>
              <w:left w:w="150" w:type="dxa"/>
              <w:right w:w="150" w:type="dxa"/>
            </w:tcMar>
          </w:tcPr>
          <w:p>
            <w:r>
              <w:rPr>
                <w:rFonts w:ascii="Arial" w:hAnsi="Arial"/>
                <w:color w:val="1E293B"/>
                <w:sz w:val="18"/>
              </w:rPr>
              <w:t>Reviewer</w:t>
            </w:r>
          </w:p>
        </w:tc>
        <w:tc>
          <w:tcPr>
            <w:tcW w:type="dxa" w:w="3888"/>
            <w:shd w:fill="FFFFFF"/>
            <w:tcMar>
              <w:top w:w="100" w:type="dxa"/>
              <w:bottom w:w="100" w:type="dxa"/>
              <w:left w:w="150" w:type="dxa"/>
              <w:right w:w="150" w:type="dxa"/>
            </w:tcMar>
          </w:tcPr>
          <w:p>
            <w:r>
              <w:rPr>
                <w:rFonts w:ascii="Arial" w:hAnsi="Arial"/>
                <w:color w:val="1E293B"/>
                <w:sz w:val="18"/>
              </w:rPr>
              <w:t>Assigned Cohort / Reviewing Evaluation</w:t>
            </w:r>
          </w:p>
        </w:tc>
        <w:tc>
          <w:tcPr>
            <w:tcW w:type="dxa" w:w="1872"/>
            <w:shd w:fill="FFFFFF"/>
            <w:tcMar>
              <w:top w:w="100" w:type="dxa"/>
              <w:bottom w:w="100" w:type="dxa"/>
              <w:left w:w="150" w:type="dxa"/>
              <w:right w:w="150" w:type="dxa"/>
            </w:tcMar>
          </w:tcPr>
          <w:p>
            <w:r>
              <w:rPr>
                <w:rFonts w:ascii="Arial" w:hAnsi="Arial"/>
                <w:color w:val="1E293B"/>
                <w:sz w:val="18"/>
              </w:rPr>
              <w:t>No (Hidden/403)</w:t>
            </w:r>
          </w:p>
        </w:tc>
        <w:tc>
          <w:tcPr>
            <w:tcW w:type="dxa" w:w="1728"/>
            <w:shd w:fill="FFFFFF"/>
            <w:tcMar>
              <w:top w:w="100" w:type="dxa"/>
              <w:bottom w:w="100" w:type="dxa"/>
              <w:left w:w="150" w:type="dxa"/>
              <w:right w:w="150" w:type="dxa"/>
            </w:tcMar>
          </w:tcPr>
          <w:p>
            <w:r>
              <w:rPr>
                <w:rFonts w:ascii="Arial" w:hAnsi="Arial"/>
                <w:color w:val="1E293B"/>
                <w:sz w:val="18"/>
              </w:rPr>
              <w:t>No (Hidden/403)</w:t>
            </w:r>
          </w:p>
        </w:tc>
      </w:tr>
    </w:tbl>
    <w:p>
      <w:pPr>
        <w:spacing w:before="400"/>
      </w:pPr>
      <w:r>
        <w:rPr>
          <w:rFonts w:ascii="Arial" w:hAnsi="Arial"/>
          <w:i/>
          <w:color w:val="64748B"/>
          <w:sz w:val="17"/>
        </w:rPr>
        <w:t>Generated by ApniLeap Cobot v2 System Assistant | All changes tested and verified live in PostgreSQL &amp; Node.js backend.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