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{{reference_no}}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CERTIFICATE OF GOOD MORAL CHARACTER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{{full_name}}</w:t>
      </w:r>
      <w:r>
        <w:rPr>
          <w:sz w:val="24"/>
          <w:szCs w:val="24"/>
        </w:rPr>
        <w:t xml:space="preserve">, a resident of </w:t>
      </w:r>
      <w:r>
        <w:rPr>
          <w:b/>
          <w:bCs/>
          <w:sz w:val="24"/>
          <w:szCs w:val="24"/>
        </w:rPr>
        <w:t xml:space="preserve">{{address}}</w:t>
      </w:r>
      <w:r>
        <w:rPr>
          <w:sz w:val="24"/>
          <w:szCs w:val="24"/>
        </w:rPr>
        <w:t xml:space="preserve">, Barangay Sampaguita, is known to this office to be of good moral character and has no derogatory record on file as of this date.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 xml:space="preserve">{{purpose}}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{{official_name}}</w:t>
      </w:r>
    </w:p>
    <w:p>
      <w:pPr>
        <w:jc w:val="right"/>
      </w:pPr>
      <w:r>
        <w:rPr>
          <w:i/>
          <w:iCs/>
          <w:sz w:val="22"/>
          <w:szCs w:val="22"/>
        </w:rPr>
        <w:t xml:space="preserve">{{official_position}}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2026-07-24T08:10:17.258Z</dcterms:created>
  <dcterms:modified xsi:type="dcterms:W3CDTF">2026-07-24T08:10:17.258Z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