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BEA" w:rsidRDefault="006E0D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Брокер: Банк ВТБ (ПАО), ИНН 7702070139/783501001, 997950001</w:t>
      </w:r>
    </w:p>
    <w:p w:rsidR="00DA1BEA" w:rsidRDefault="006E0D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Клиент: Лебедев Виталий Николаевич (10NC48,10PCA8)</w:t>
      </w:r>
    </w:p>
    <w:p w:rsidR="00DA1BEA" w:rsidRDefault="006E0D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ИНН760300001620</w:t>
      </w:r>
    </w:p>
    <w:p w:rsidR="00DA1BEA" w:rsidRDefault="00DA1B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A1BEA" w:rsidRDefault="006E0DF5">
      <w:pPr>
        <w:widowControl w:val="0"/>
        <w:autoSpaceDE w:val="0"/>
        <w:autoSpaceDN w:val="0"/>
        <w:adjustRightInd w:val="0"/>
        <w:spacing w:after="0" w:line="240" w:lineRule="auto"/>
        <w:ind w:left="2000" w:right="200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Расчет налога на доходы физического лица по операциям с ценными бумагами и производными финансовыми инструментами за </w:t>
      </w:r>
      <w:r>
        <w:rPr>
          <w:rFonts w:ascii="Arial" w:hAnsi="Arial" w:cs="Arial"/>
          <w:b/>
          <w:bCs/>
          <w:sz w:val="24"/>
          <w:szCs w:val="24"/>
        </w:rPr>
        <w:t>период с 01.01.2022 по 31.12.2022(в рублях).</w:t>
      </w:r>
    </w:p>
    <w:p w:rsidR="00DA1BEA" w:rsidRDefault="006E0DF5">
      <w:pPr>
        <w:widowControl w:val="0"/>
        <w:autoSpaceDE w:val="0"/>
        <w:autoSpaceDN w:val="0"/>
        <w:adjustRightInd w:val="0"/>
        <w:spacing w:after="0" w:line="240" w:lineRule="auto"/>
        <w:ind w:left="1000" w:right="100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(в случае если отчет предоставляется на дату, отличную от даты последнего вывода с брокерского счета клиентом денежных средств (ценных бумаг), окончания налогового периода (года), прекращения действия договора, </w:t>
      </w:r>
      <w:r>
        <w:rPr>
          <w:rFonts w:ascii="Arial" w:hAnsi="Arial" w:cs="Arial"/>
          <w:sz w:val="20"/>
          <w:szCs w:val="20"/>
        </w:rPr>
        <w:t>то информация в отчете является справочной)</w:t>
      </w:r>
    </w:p>
    <w:p w:rsidR="00DA1BEA" w:rsidRDefault="00DA1BEA">
      <w:pPr>
        <w:widowControl w:val="0"/>
        <w:autoSpaceDE w:val="0"/>
        <w:autoSpaceDN w:val="0"/>
        <w:adjustRightInd w:val="0"/>
        <w:spacing w:after="0" w:line="240" w:lineRule="auto"/>
        <w:ind w:left="1000" w:right="1000"/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2400"/>
      </w:tblGrid>
      <w:tr w:rsidR="00DA1BEA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DA1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DA1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Доходы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DA1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Расходы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Транзактные затраты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Нетранзактные затраты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Прочие</w:t>
            </w:r>
          </w:p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затраты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Результат от операций с ЦБ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Сальдирование убытков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Результат с учетом сальдирования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Налогооблагаемая база с учетом сальдирования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footnoteReference w:id="1"/>
            </w:r>
          </w:p>
        </w:tc>
      </w:tr>
      <w:tr w:rsidR="00DA1BEA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ИТОГО ПО ЦЕННЫМ БУМАГАМ, обращающимся на ОРЦБ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405,244.04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359,366.88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253.04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0.00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0.00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45,624.12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DA1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45,624.12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45,624.12</w:t>
            </w:r>
          </w:p>
        </w:tc>
      </w:tr>
      <w:tr w:rsidR="00DA1BEA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Купонный доход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38,750.40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38,750.40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DA1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DA1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DA1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A1BEA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Основной рынок 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366,493.64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359,366.88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253.04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6,873.72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DA1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DA1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DA1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A1BEA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Доходы по долевым ЦБ (дивиденды)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5,617.70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0.00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0.00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0.00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0.00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5,617.70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DA1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5,617.70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5,617.70</w:t>
            </w:r>
          </w:p>
        </w:tc>
      </w:tr>
      <w:tr w:rsidR="00DA1BEA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Основной рынок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5,617.70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6E0D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5,617.70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DA1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DA1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BEA" w:rsidRDefault="00DA1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A1BEA" w:rsidRDefault="00DA1B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A1BEA" w:rsidRDefault="006E0D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Итого налогооблагаемый доход, руб: 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  <w:u w:val="single"/>
        </w:rPr>
        <w:tab/>
        <w:t xml:space="preserve">51,241.82 </w:t>
      </w:r>
      <w:r>
        <w:rPr>
          <w:rFonts w:ascii="Arial" w:hAnsi="Arial" w:cs="Arial"/>
          <w:sz w:val="16"/>
          <w:szCs w:val="16"/>
          <w:u w:val="single"/>
        </w:rPr>
        <w:tab/>
      </w:r>
    </w:p>
    <w:p w:rsidR="00DA1BEA" w:rsidRDefault="006E0D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в том числе:</w:t>
      </w:r>
    </w:p>
    <w:p w:rsidR="00DA1BEA" w:rsidRDefault="006E0D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по ставке 13.00%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  <w:u w:val="single"/>
        </w:rPr>
        <w:tab/>
        <w:t xml:space="preserve">51,241.82 </w:t>
      </w:r>
      <w:r>
        <w:rPr>
          <w:rFonts w:ascii="Arial" w:hAnsi="Arial" w:cs="Arial"/>
          <w:sz w:val="16"/>
          <w:szCs w:val="16"/>
          <w:u w:val="single"/>
        </w:rPr>
        <w:tab/>
      </w:r>
    </w:p>
    <w:p w:rsidR="00DA1BEA" w:rsidRDefault="006E0D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Начисленный налог, руб.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  <w:u w:val="single"/>
        </w:rPr>
        <w:tab/>
        <w:t xml:space="preserve">6,662 </w:t>
      </w:r>
      <w:r>
        <w:rPr>
          <w:rFonts w:ascii="Arial" w:hAnsi="Arial" w:cs="Arial"/>
          <w:sz w:val="16"/>
          <w:szCs w:val="16"/>
          <w:u w:val="single"/>
        </w:rPr>
        <w:tab/>
      </w:r>
    </w:p>
    <w:p w:rsidR="00DA1BEA" w:rsidRDefault="006E0D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Уплаченный налог, руб.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  <w:u w:val="single"/>
        </w:rPr>
        <w:tab/>
        <w:t xml:space="preserve">6,408 </w:t>
      </w:r>
      <w:r>
        <w:rPr>
          <w:rFonts w:ascii="Arial" w:hAnsi="Arial" w:cs="Arial"/>
          <w:sz w:val="16"/>
          <w:szCs w:val="16"/>
          <w:u w:val="single"/>
        </w:rPr>
        <w:tab/>
      </w:r>
    </w:p>
    <w:p w:rsidR="00DA1BEA" w:rsidRDefault="006E0D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Налог к удержанию, руб.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  <w:u w:val="single"/>
        </w:rPr>
        <w:tab/>
        <w:t xml:space="preserve">254 </w:t>
      </w:r>
      <w:r>
        <w:rPr>
          <w:rFonts w:ascii="Arial" w:hAnsi="Arial" w:cs="Arial"/>
          <w:sz w:val="16"/>
          <w:szCs w:val="16"/>
          <w:u w:val="single"/>
        </w:rPr>
        <w:tab/>
      </w:r>
    </w:p>
    <w:p w:rsidR="00DA1BEA" w:rsidRDefault="006E0D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Нетранзакционные расходы текущего периода, неучтенные в расходах, ру</w:t>
      </w:r>
      <w:r>
        <w:rPr>
          <w:rFonts w:ascii="Arial" w:hAnsi="Arial" w:cs="Arial"/>
          <w:b/>
          <w:bCs/>
          <w:sz w:val="16"/>
          <w:szCs w:val="16"/>
        </w:rPr>
        <w:t>б.</w:t>
      </w:r>
      <w:r>
        <w:rPr>
          <w:rFonts w:ascii="Arial" w:hAnsi="Arial" w:cs="Arial"/>
          <w:b/>
          <w:bCs/>
          <w:sz w:val="16"/>
          <w:szCs w:val="16"/>
        </w:rPr>
        <w:footnoteReference w:id="2"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  <w:u w:val="single"/>
        </w:rPr>
        <w:tab/>
        <w:t xml:space="preserve">0.00 </w:t>
      </w:r>
      <w:r>
        <w:rPr>
          <w:rFonts w:ascii="Arial" w:hAnsi="Arial" w:cs="Arial"/>
          <w:sz w:val="16"/>
          <w:szCs w:val="16"/>
          <w:u w:val="single"/>
        </w:rPr>
        <w:tab/>
      </w:r>
    </w:p>
    <w:p w:rsidR="00DA1BEA" w:rsidRDefault="00DA1B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DA1BEA" w:rsidRDefault="00DA1B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DA1BEA" w:rsidRDefault="006E0D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по ставке 15.00%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  <w:u w:val="single"/>
        </w:rPr>
        <w:tab/>
        <w:t xml:space="preserve">0.00 </w:t>
      </w:r>
      <w:r>
        <w:rPr>
          <w:rFonts w:ascii="Arial" w:hAnsi="Arial" w:cs="Arial"/>
          <w:sz w:val="16"/>
          <w:szCs w:val="16"/>
          <w:u w:val="single"/>
        </w:rPr>
        <w:tab/>
      </w:r>
    </w:p>
    <w:p w:rsidR="00DA1BEA" w:rsidRDefault="006E0D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Начисленный налог, руб.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  <w:u w:val="single"/>
        </w:rPr>
        <w:tab/>
        <w:t xml:space="preserve">0 </w:t>
      </w:r>
      <w:r>
        <w:rPr>
          <w:rFonts w:ascii="Arial" w:hAnsi="Arial" w:cs="Arial"/>
          <w:sz w:val="16"/>
          <w:szCs w:val="16"/>
          <w:u w:val="single"/>
        </w:rPr>
        <w:tab/>
      </w:r>
    </w:p>
    <w:p w:rsidR="00DA1BEA" w:rsidRDefault="006E0D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Уплаченный налог, руб.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  <w:u w:val="single"/>
        </w:rPr>
        <w:tab/>
        <w:t xml:space="preserve">0 </w:t>
      </w:r>
      <w:r>
        <w:rPr>
          <w:rFonts w:ascii="Arial" w:hAnsi="Arial" w:cs="Arial"/>
          <w:sz w:val="16"/>
          <w:szCs w:val="16"/>
          <w:u w:val="single"/>
        </w:rPr>
        <w:tab/>
      </w:r>
    </w:p>
    <w:p w:rsidR="00DA1BEA" w:rsidRDefault="006E0D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Налог к удержанию, руб.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  <w:u w:val="single"/>
        </w:rPr>
        <w:tab/>
        <w:t xml:space="preserve">0 </w:t>
      </w:r>
      <w:r>
        <w:rPr>
          <w:rFonts w:ascii="Arial" w:hAnsi="Arial" w:cs="Arial"/>
          <w:sz w:val="16"/>
          <w:szCs w:val="16"/>
          <w:u w:val="single"/>
        </w:rPr>
        <w:tab/>
      </w:r>
    </w:p>
    <w:p w:rsidR="00DA1BEA" w:rsidRDefault="006E0D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Нетранзакционные расходы текущего периода, неучтенные в расходах, руб.</w:t>
      </w:r>
      <w:r>
        <w:rPr>
          <w:rFonts w:ascii="Arial" w:hAnsi="Arial" w:cs="Arial"/>
          <w:b/>
          <w:bCs/>
          <w:sz w:val="16"/>
          <w:szCs w:val="16"/>
        </w:rPr>
        <w:footnoteReference w:id="3"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  <w:u w:val="single"/>
        </w:rPr>
        <w:tab/>
        <w:t xml:space="preserve">0.00 </w:t>
      </w:r>
      <w:r>
        <w:rPr>
          <w:rFonts w:ascii="Arial" w:hAnsi="Arial" w:cs="Arial"/>
          <w:sz w:val="16"/>
          <w:szCs w:val="16"/>
          <w:u w:val="single"/>
        </w:rPr>
        <w:tab/>
      </w:r>
    </w:p>
    <w:p w:rsidR="00DA1BEA" w:rsidRDefault="00DA1B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DA1BEA" w:rsidRDefault="00DA1B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A1BEA" w:rsidRDefault="00DA1B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A1BEA" w:rsidRDefault="00DA1B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DA1BEA" w:rsidRDefault="00DA1B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DA1BEA" w:rsidRDefault="006E0D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Уважаемые клиенты! </w:t>
      </w:r>
    </w:p>
    <w:p w:rsidR="00DA1BEA" w:rsidRDefault="006E0D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По возникающим вопросам относительно указанной в отчете информации просьба обращаться в Отдел клиентских менеджеров по e-mail адресу broker@vtb.ru. </w:t>
      </w:r>
    </w:p>
    <w:p w:rsidR="00DA1BEA" w:rsidRDefault="006E0D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При обращении на broker@vtb.ru просьба указывать номер Вашего соглашения с Банком. </w:t>
      </w:r>
    </w:p>
    <w:p w:rsidR="00DA1BEA" w:rsidRDefault="00DA1B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DA1BEA" w:rsidRDefault="006E0D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С уважением, Отдел клиентских менеджеров Департамента брокерского обслуживания. </w:t>
      </w:r>
    </w:p>
    <w:p w:rsidR="00DA1BEA" w:rsidRDefault="006E0DF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16"/>
          <w:szCs w:val="16"/>
        </w:rPr>
        <w:t>Тел. (495) 980-46-86 или 8-800-333-24-24 (для звонков по России бесплатно).</w:t>
      </w:r>
    </w:p>
    <w:sectPr w:rsidR="00DA1BEA">
      <w:footerReference w:type="default" r:id="rId6"/>
      <w:pgSz w:w="16840" w:h="11907" w:orient="landscape"/>
      <w:pgMar w:top="200" w:right="200" w:bottom="200" w:left="850" w:header="709" w:footer="709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1BEA" w:rsidRDefault="006E0DF5">
      <w:pPr>
        <w:spacing w:after="0" w:line="240" w:lineRule="auto"/>
      </w:pPr>
      <w:r>
        <w:separator/>
      </w:r>
    </w:p>
  </w:endnote>
  <w:endnote w:type="continuationSeparator" w:id="0">
    <w:p w:rsidR="00DA1BEA" w:rsidRDefault="006E0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1BEA" w:rsidRDefault="006E0DF5"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 xml:space="preserve">Стр. 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PAGE  </w:instrText>
    </w:r>
    <w:r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1BEA" w:rsidRDefault="006E0DF5">
      <w:r>
        <w:rPr>
          <w:rFonts w:ascii="Arial" w:hAnsi="Arial" w:cs="Arial"/>
          <w:sz w:val="24"/>
          <w:szCs w:val="24"/>
        </w:rPr>
        <w:separator/>
      </w:r>
    </w:p>
  </w:footnote>
  <w:footnote w:type="continuationSeparator" w:id="0">
    <w:p w:rsidR="00DA1BEA" w:rsidRDefault="006E0DF5">
      <w:pPr>
        <w:spacing w:after="0" w:line="240" w:lineRule="auto"/>
      </w:pPr>
      <w:r>
        <w:continuationSeparator/>
      </w:r>
    </w:p>
  </w:footnote>
  <w:footnote w:id="1">
    <w:p w:rsidR="00DA1BEA" w:rsidRDefault="006E0D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24"/>
          <w:szCs w:val="24"/>
        </w:rPr>
        <w:footnoteRef/>
      </w:r>
      <w:r>
        <w:rPr>
          <w:rFonts w:ascii="Arial" w:hAnsi="Arial" w:cs="Arial"/>
          <w:sz w:val="14"/>
          <w:szCs w:val="14"/>
        </w:rPr>
        <w:t xml:space="preserve">Налогооблагаемая база, </w:t>
      </w:r>
      <w:r>
        <w:rPr>
          <w:rFonts w:ascii="Arial" w:hAnsi="Arial" w:cs="Arial"/>
          <w:sz w:val="14"/>
          <w:szCs w:val="14"/>
        </w:rPr>
        <w:t xml:space="preserve">начисленный налог и налог к удержанию рассчитываются на следующие даты: дата последнего вывода с брокерского счета клиентом денежных средств (ценных бумаг), окончание налогового периода (года), прекращение действия договора. Если эти суммы отображаются за </w:t>
      </w:r>
      <w:r>
        <w:rPr>
          <w:rFonts w:ascii="Arial" w:hAnsi="Arial" w:cs="Arial"/>
          <w:sz w:val="14"/>
          <w:szCs w:val="14"/>
        </w:rPr>
        <w:t>иную дату, то эта информация не является расчетом налоговой базы, начисленного налога и налога к удержанию в соответствии с требованиями Налогового Кодекса, а приводятся лишь, как ориентировочные (справочные) суммы на последнюю дату периода отчета.</w:t>
      </w:r>
    </w:p>
  </w:footnote>
  <w:footnote w:id="2">
    <w:p w:rsidR="00DA1BEA" w:rsidRDefault="006E0D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24"/>
          <w:szCs w:val="24"/>
        </w:rPr>
        <w:footnoteRef/>
      </w:r>
      <w:r>
        <w:rPr>
          <w:rFonts w:ascii="Arial" w:hAnsi="Arial" w:cs="Arial"/>
          <w:sz w:val="14"/>
          <w:szCs w:val="14"/>
        </w:rPr>
        <w:t>Депози</w:t>
      </w:r>
      <w:r>
        <w:rPr>
          <w:rFonts w:ascii="Arial" w:hAnsi="Arial" w:cs="Arial"/>
          <w:sz w:val="14"/>
          <w:szCs w:val="14"/>
        </w:rPr>
        <w:t>тарная комиссия Банка, а также иные комиссии Банка, не связанные непосредственно с заключением сделок</w:t>
      </w:r>
    </w:p>
  </w:footnote>
  <w:footnote w:id="3">
    <w:p w:rsidR="00DA1BEA" w:rsidRDefault="006E0D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24"/>
          <w:szCs w:val="24"/>
        </w:rPr>
        <w:footnoteRef/>
      </w:r>
      <w:r>
        <w:rPr>
          <w:rFonts w:ascii="Arial" w:hAnsi="Arial" w:cs="Arial"/>
          <w:sz w:val="14"/>
          <w:szCs w:val="14"/>
        </w:rPr>
        <w:t>Депозитарная комиссия Банка, а также иные комиссии Банка, не связанные непосредственно с заключением сделок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EA"/>
    <w:rsid w:val="006E0DF5"/>
    <w:rsid w:val="00DA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efaultImageDpi w14:val="0"/>
  <w15:docId w15:val="{B78CB830-CB25-4C58-8659-402BEE2D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rPr>
      <w:b/>
      <w:bCs/>
      <w:sz w:val="16"/>
      <w:szCs w:val="16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01litaal@gmail.com</cp:lastModifiedBy>
  <cp:revision>2</cp:revision>
  <dcterms:created xsi:type="dcterms:W3CDTF">2023-01-10T07:32:00Z</dcterms:created>
  <dcterms:modified xsi:type="dcterms:W3CDTF">2023-01-10T07:32:00Z</dcterms:modified>
</cp:coreProperties>
</file>