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08B" w:rsidRDefault="00CC418C">
      <w:pPr>
        <w:spacing w:after="40" w:line="276" w:lineRule="auto"/>
        <w:jc w:val="center"/>
      </w:pPr>
      <w:r>
        <w:rPr>
          <w:b/>
          <w:bCs/>
        </w:rPr>
        <w:t>МИНИСТЕРСТВО ПРОМЫШЛЕННОСТИ И СТРОИТЕЛЬСТВА РЕСПУБЛИКИ КАЗАХСТАН</w:t>
      </w:r>
    </w:p>
    <w:p w:rsidR="008E608B" w:rsidRDefault="00CC418C">
      <w:pPr>
        <w:spacing w:after="40" w:line="276" w:lineRule="auto"/>
        <w:jc w:val="center"/>
      </w:pPr>
      <w:r>
        <w:rPr>
          <w:b/>
          <w:bCs/>
        </w:rPr>
        <w:t>КОМИТЕТ ГЕОЛОГИИ</w:t>
      </w:r>
    </w:p>
    <w:p w:rsidR="008E608B" w:rsidRDefault="00CC418C">
      <w:pPr>
        <w:spacing w:after="40" w:line="276" w:lineRule="auto"/>
        <w:jc w:val="center"/>
      </w:pPr>
      <w:r>
        <w:rPr>
          <w:b/>
          <w:bCs/>
        </w:rPr>
        <w:t>АО «НАЦИОНАЛЬНАЯ ГЕОЛОГИЧЕСКАЯ СЛУЖБА»</w:t>
      </w:r>
    </w:p>
    <w:p w:rsidR="008E608B" w:rsidRDefault="00CC418C">
      <w:pPr>
        <w:spacing w:after="40" w:line="276" w:lineRule="auto"/>
        <w:jc w:val="center"/>
      </w:pPr>
      <w:r>
        <w:t>Департамент геолого-геофизических исследований недр</w:t>
      </w:r>
    </w:p>
    <w:p w:rsidR="008E608B" w:rsidRDefault="008E608B">
      <w:pPr>
        <w:spacing w:after="1600"/>
      </w:pPr>
    </w:p>
    <w:p w:rsidR="008E608B" w:rsidRPr="00DC3C98" w:rsidRDefault="00CC418C">
      <w:pPr>
        <w:spacing w:after="80" w:line="276" w:lineRule="auto"/>
        <w:jc w:val="center"/>
        <w:rPr>
          <w:b/>
          <w:bCs/>
          <w:sz w:val="28"/>
          <w:szCs w:val="28"/>
        </w:rPr>
      </w:pPr>
      <w:r w:rsidRPr="00DC3C98">
        <w:rPr>
          <w:b/>
          <w:bCs/>
          <w:sz w:val="28"/>
          <w:szCs w:val="28"/>
        </w:rPr>
        <w:t>ОТЧЁТ</w:t>
      </w:r>
    </w:p>
    <w:p w:rsidR="008E608B" w:rsidRPr="00DC3C98" w:rsidRDefault="00CC418C" w:rsidP="00DC3C98">
      <w:pPr>
        <w:spacing w:after="80" w:line="276" w:lineRule="auto"/>
        <w:jc w:val="center"/>
        <w:rPr>
          <w:b/>
          <w:bCs/>
          <w:sz w:val="28"/>
          <w:szCs w:val="28"/>
        </w:rPr>
      </w:pPr>
      <w:r w:rsidRPr="00DC3C98">
        <w:rPr>
          <w:b/>
          <w:bCs/>
          <w:sz w:val="28"/>
          <w:szCs w:val="28"/>
        </w:rPr>
        <w:t>о результатах опережающих работ по дистанционному зондированию Земли</w:t>
      </w:r>
    </w:p>
    <w:p w:rsidR="008E608B" w:rsidRPr="00DC3C98" w:rsidRDefault="00CC418C" w:rsidP="00DC3C98">
      <w:pPr>
        <w:spacing w:after="80" w:line="276" w:lineRule="auto"/>
        <w:jc w:val="center"/>
        <w:rPr>
          <w:b/>
          <w:bCs/>
          <w:sz w:val="28"/>
          <w:szCs w:val="28"/>
        </w:rPr>
      </w:pPr>
      <w:r w:rsidRPr="00DC3C98">
        <w:rPr>
          <w:b/>
          <w:bCs/>
          <w:sz w:val="28"/>
          <w:szCs w:val="28"/>
        </w:rPr>
        <w:t>ЭТАП 1. СОЗДАНИЕ ГЕОЛОГО-ГЕНЕТИЧЕСКОЙ МОДЕЛИ</w:t>
      </w:r>
    </w:p>
    <w:p w:rsidR="008E608B" w:rsidRPr="00DC3C98" w:rsidRDefault="00CC418C" w:rsidP="00DC3C98">
      <w:pPr>
        <w:spacing w:after="80" w:line="276" w:lineRule="auto"/>
        <w:jc w:val="center"/>
        <w:rPr>
          <w:b/>
          <w:bCs/>
          <w:sz w:val="28"/>
          <w:szCs w:val="28"/>
        </w:rPr>
      </w:pPr>
      <w:r w:rsidRPr="00DC3C98">
        <w:rPr>
          <w:b/>
          <w:bCs/>
          <w:sz w:val="28"/>
          <w:szCs w:val="28"/>
        </w:rPr>
        <w:t>по объекту «Проведение геологической съёмки масштаба 1:50 000 (второго поколения) с общими поисками по листам M-42-98-А, M-42-98-Б, M-42-98-В,</w:t>
      </w:r>
      <w:r w:rsidRPr="00DC3C98">
        <w:rPr>
          <w:b/>
          <w:bCs/>
          <w:sz w:val="28"/>
          <w:szCs w:val="28"/>
        </w:rPr>
        <w:t xml:space="preserve"> M-42-98-Г, M-42-99-А, M-42-99-В, M-42-110-А, M-42-110-Б, M-42-110-В, M-42-110-Г, M-42-111-А, M-42-111-В, M-42-122-А, M-42-122-Б, M-42-123-А, M-42-123-Б» (область Ұлытау</w:t>
      </w:r>
      <w:r w:rsidR="00DC3C98" w:rsidRPr="00DC3C98">
        <w:rPr>
          <w:b/>
          <w:bCs/>
          <w:sz w:val="28"/>
          <w:szCs w:val="28"/>
        </w:rPr>
        <w:t xml:space="preserve"> 5429 км²</w:t>
      </w:r>
      <w:r w:rsidRPr="00DC3C98">
        <w:rPr>
          <w:b/>
          <w:bCs/>
          <w:sz w:val="28"/>
          <w:szCs w:val="28"/>
        </w:rPr>
        <w:t>)</w:t>
      </w:r>
    </w:p>
    <w:p w:rsidR="008E608B" w:rsidRPr="00DC3C98" w:rsidRDefault="00CC418C" w:rsidP="00DC3C98">
      <w:pPr>
        <w:spacing w:after="8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УЧАСТОК № 2</w:t>
      </w:r>
    </w:p>
    <w:p w:rsidR="008E608B" w:rsidRPr="00DC3C98" w:rsidRDefault="00CC418C" w:rsidP="00DC3C98">
      <w:pPr>
        <w:spacing w:after="80" w:line="276" w:lineRule="auto"/>
        <w:jc w:val="center"/>
        <w:rPr>
          <w:b/>
          <w:bCs/>
          <w:sz w:val="28"/>
          <w:szCs w:val="28"/>
        </w:rPr>
      </w:pPr>
      <w:r w:rsidRPr="00DC3C98">
        <w:rPr>
          <w:b/>
          <w:bCs/>
          <w:sz w:val="28"/>
          <w:szCs w:val="28"/>
        </w:rPr>
        <w:t>площадь 5429 км², 16 номенклатурных листов масштаба 1:50 000</w:t>
      </w:r>
    </w:p>
    <w:p w:rsidR="008E608B" w:rsidRDefault="008E608B">
      <w:pPr>
        <w:spacing w:after="1200"/>
      </w:pPr>
    </w:p>
    <w:p w:rsidR="008E608B" w:rsidRDefault="00CC418C">
      <w:pPr>
        <w:spacing w:after="40" w:line="276" w:lineRule="auto"/>
      </w:pPr>
      <w:r>
        <w:t>Ответственн</w:t>
      </w:r>
      <w:r>
        <w:t xml:space="preserve">ый исполнитель:               </w:t>
      </w:r>
      <w:r w:rsidR="00DC3C98">
        <w:t xml:space="preserve">                                                        </w:t>
      </w:r>
      <w:r>
        <w:t xml:space="preserve"> З.Д. Адилова</w:t>
      </w:r>
    </w:p>
    <w:p w:rsidR="008E608B" w:rsidRDefault="00CC418C">
      <w:pPr>
        <w:spacing w:after="1600" w:line="276" w:lineRule="auto"/>
      </w:pPr>
      <w:r>
        <w:t xml:space="preserve">Руководитель ДЗЗ, проверил:                </w:t>
      </w:r>
      <w:r w:rsidR="00DC3C98">
        <w:t xml:space="preserve">                                                       </w:t>
      </w:r>
      <w:r>
        <w:t>Н.Ж. Дүйсенбай</w:t>
      </w:r>
    </w:p>
    <w:p w:rsidR="008E608B" w:rsidRDefault="00CC418C">
      <w:r>
        <w:br w:type="page"/>
      </w: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lastRenderedPageBreak/>
        <w:t>ВВЕДЕНИЕ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Настоящий отчёт составлен по результатам работ, выполненных АО «Национальная геологическая служба» в рамках Этапа 1 «Создание геолого-генетичес</w:t>
      </w:r>
      <w:r>
        <w:t>кой модели» опережающих работ по дистанционному зондированию Земли (далее — ДЗЗ), проводимых в качестве составной части государственного геологического до</w:t>
      </w:r>
      <w:r w:rsidR="00DC3C98">
        <w:t xml:space="preserve"> </w:t>
      </w:r>
      <w:r>
        <w:t>изучения площадей масштаба 1:50 000 (ГДП-50) по объекту «Проведение геологической съёмки масштаба 1:50</w:t>
      </w:r>
      <w:r>
        <w:t xml:space="preserve"> 000 (второго поколения) с общими п</w:t>
      </w:r>
      <w:r w:rsidR="00DC3C98">
        <w:t>оисками» на территории области У</w:t>
      </w:r>
      <w:r>
        <w:t>лытау.</w:t>
      </w:r>
    </w:p>
    <w:p w:rsidR="008E608B" w:rsidRDefault="00CC418C">
      <w:pPr>
        <w:spacing w:after="160" w:line="276" w:lineRule="auto"/>
        <w:jc w:val="both"/>
      </w:pPr>
      <w:r>
        <w:t>Работы выполнены в соответствии с Техническим заданием, согласованным Комитетом геологии Министерства промышленности и строительства Республики Казахстан, и утверждённой Методикой пр</w:t>
      </w:r>
      <w:r>
        <w:t>оведения работ по дистанционному зондированию Земли (2026 г., Комитет геологии), определяющей состав, содержание и последовательность этапов дешифрирования и интерпретации данных ДЗЗ при геологическом картировании масштаба 1:50 000.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Объектом настоящего отч</w:t>
      </w:r>
      <w:r>
        <w:t xml:space="preserve">ёта является участок №2 общей площадью 5429 км², охватывающий 16 номенклатурных листов масштаба 1:50 000: M-42-98-А, M-42-98-Б, M-42-98-В, M-42-98-Г, M-42-99-А, M-42-99-В, M-42-110-А, M-42-110-Б, M-42-110-В, M-42-110-Г, M-42-111-А, M-42-111-В, M-42-122-А, </w:t>
      </w:r>
      <w:r>
        <w:t>M-42-122-Б, M-42-123-А, M-42-123-Б.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 xml:space="preserve">Целью Этапа 1 является создание предварительной геолого-генетической модели участка путём систематизации, приведения в единое координатное пространство и оцифровки в среде ГИС явных геологических признаков и полигональных объектов, содержащихся в архивных </w:t>
      </w:r>
      <w:r>
        <w:t>картографических материалах геологического содержания масштаба 1:200 000, с последующим составлением предварительных геологических интерпретационных карт-схем. Результаты Этапа 1 являются исходной основой для последующего дешифрирования и тематической обра</w:t>
      </w:r>
      <w:r>
        <w:t>ботки космических снимков на Этапе 2 (мультиспектральный анализ) и Этапе 3 (анализ цифровой модели рельефа, геоморфологическое и структурно-линеаментное картирование).</w:t>
      </w: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t>1. ОБЩИЕ СВЕДЕНИЯ ОБ УЧАСТКЕ №2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Участок №2 ра</w:t>
      </w:r>
      <w:r w:rsidR="00DC3C98">
        <w:t>сположен на территории области У</w:t>
      </w:r>
      <w:r>
        <w:t>лытау Респу</w:t>
      </w:r>
      <w:r>
        <w:t>блики Казахстан. Площадь участка составляет 5429 км², территория охватывается 15 номенклатурными листами топографической карты масштаба 1:50 000, перечисленными во введении к настоящему отчёту.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Картографической основой работ принята государственная система</w:t>
      </w:r>
      <w:r>
        <w:t xml:space="preserve"> координат СК-42 (Пулково 1942), проекция Гаусса — Крюгера, зона 12N, что обеспечивает совместимость всех создаваемых пространственных данных с картографическими материалами предшествующих исследований и действующей нормативной базой геологического картиро</w:t>
      </w:r>
      <w:r>
        <w:t>вания Республики Казахстан.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Административно участ</w:t>
      </w:r>
      <w:r w:rsidR="00DC3C98">
        <w:t xml:space="preserve">ок расположен в пределах </w:t>
      </w:r>
      <w:r>
        <w:t>области</w:t>
      </w:r>
      <w:r w:rsidR="00DC3C98" w:rsidRPr="00DC3C98">
        <w:t xml:space="preserve"> </w:t>
      </w:r>
      <w:r w:rsidR="00DC3C98">
        <w:t>Улытау</w:t>
      </w:r>
      <w:r>
        <w:t xml:space="preserve">; геологическая изученность территории на предшествующих этапах характеризуется наличием государственной геологической съёмки и геологического </w:t>
      </w:r>
      <w:r w:rsidR="00DC3C98">
        <w:t>до изучения</w:t>
      </w:r>
      <w:r>
        <w:t xml:space="preserve"> площадей м</w:t>
      </w:r>
      <w:r>
        <w:t xml:space="preserve">асштаба </w:t>
      </w:r>
      <w:r>
        <w:lastRenderedPageBreak/>
        <w:t>1:200 000 (ГДП-200), материалы которых использованы в настоящей работе в качестве архивной основы для дешифрирования и оцифровки (раздел 5).</w:t>
      </w: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t>2. ДИСТАНЦИОННОЕ ЗОНДИРОВАНИЕ ЗЕМЛИ КАК МЕТОД ГЕОЛОГИЧЕСКИХ ИССЛЕДОВАНИЙ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Дистанционное зондирование Земли (</w:t>
      </w:r>
      <w:r>
        <w:t>ДЗЗ) представляет собой совокупность методов получения информации о поверхности Земли и приповерхностных геологических образованиях без непосредственного физического контакта с объектом исследования, путём регистрации отражённого либо собственного электром</w:t>
      </w:r>
      <w:r>
        <w:t>агнитного излучения специализированной аппаратурой, установленной на космических или воздушных носителях. В геологическом картировании данные ДЗЗ используются для выявления и прослеживания разрывных нарушений и линеаментов, дешифрирования литолого-петрогра</w:t>
      </w:r>
      <w:r>
        <w:t>фических разностей горных пород, оконтуривания площадей развития гидротермально-измененных пород и зон повышенной трещиноватости, а также для уточнения границ структурно-формационных комплексов, что существенно повышает эффективность и обоснованность после</w:t>
      </w:r>
      <w:r>
        <w:t>дующих полевых геолого-съёмочных и поисковых работ.</w:t>
      </w:r>
    </w:p>
    <w:p w:rsidR="008E608B" w:rsidRDefault="00CC418C" w:rsidP="00DC3C98">
      <w:pPr>
        <w:spacing w:after="160" w:line="276" w:lineRule="auto"/>
        <w:ind w:firstLine="567"/>
        <w:jc w:val="both"/>
      </w:pPr>
      <w:r>
        <w:t>В соответствии с утверждённой Комитетом геологии Методикой применения методик анализа спутниковых снимков (ДЗЗ) (2026 г.), работы по дистанционному зондированию Земли на объекте выполняются по пяти послед</w:t>
      </w:r>
      <w:r>
        <w:t>овательным этапам, завершение каждого из которых сопровождается предоставлением заказчику отдельного отчёта:</w:t>
      </w:r>
    </w:p>
    <w:p w:rsidR="008E608B" w:rsidRDefault="00CC418C">
      <w:pPr>
        <w:spacing w:after="100" w:line="276" w:lineRule="auto"/>
        <w:ind w:left="567"/>
        <w:jc w:val="both"/>
      </w:pPr>
      <w:r>
        <w:t>— Этап 1 — создание геолого-генетической модели участка, основанной на ранее полученной геологической информации, структурированной и прописанной в</w:t>
      </w:r>
      <w:r>
        <w:t xml:space="preserve"> прогнозных критериях (систематизация архивных материалов геологического содержания, приведение их в единую систему координат и оцифровка в среде ГИС явных геологических признаков и полигональных объектов с составлением предварительных геологических интерп</w:t>
      </w:r>
      <w:r>
        <w:t>ретационных карт-схем);</w:t>
      </w:r>
    </w:p>
    <w:p w:rsidR="008E608B" w:rsidRDefault="00CC418C">
      <w:pPr>
        <w:spacing w:after="100" w:line="276" w:lineRule="auto"/>
        <w:ind w:left="567"/>
        <w:jc w:val="both"/>
      </w:pPr>
      <w:r>
        <w:t>— Этап 2 — мультиспектральный анализ космических снимков разрешающей способностью до 10 м, предполагающий как отображение прогнозных критериев в спектрах отражения, так и создание алгоритмов распознавания спектральных образов на осн</w:t>
      </w:r>
      <w:r>
        <w:t>ове индексных изображений;</w:t>
      </w:r>
    </w:p>
    <w:p w:rsidR="008E608B" w:rsidRDefault="00CC418C">
      <w:pPr>
        <w:spacing w:after="100" w:line="276" w:lineRule="auto"/>
        <w:ind w:left="567"/>
        <w:jc w:val="both"/>
      </w:pPr>
      <w:r>
        <w:t>— Этап 3 — построение цифровой модели рельефа (ЦМР), геоморфологической карты (схемы) и морфометрический анализ, позволяющие выделить морфоструктуры, этапность их формирования и тектонические процессы, проявляющиеся на площади ка</w:t>
      </w:r>
      <w:r>
        <w:t>к в прошлом, так и в настоящем;</w:t>
      </w:r>
    </w:p>
    <w:p w:rsidR="008E608B" w:rsidRDefault="00CC418C">
      <w:pPr>
        <w:spacing w:after="100" w:line="276" w:lineRule="auto"/>
        <w:ind w:left="567"/>
        <w:jc w:val="both"/>
      </w:pPr>
      <w:r>
        <w:t>— Этап 4 — анализ космических снимков в инфракрасном и тепловом диапазонах, позволяющий использовать тепловые спектры как индикатор генезиса оруденения;</w:t>
      </w:r>
    </w:p>
    <w:p w:rsidR="008E608B" w:rsidRDefault="00CC418C">
      <w:pPr>
        <w:spacing w:after="100" w:line="276" w:lineRule="auto"/>
        <w:ind w:left="567"/>
        <w:jc w:val="both"/>
      </w:pPr>
      <w:r>
        <w:t>— Этап 5 — выделение на площади участков, отвечающих прогнозным критериям, по степени их детальности, с определением поисковых признаков для каждого участка и рекомендациями по расположению буровых скважин по результатам дешифрирования данных ДЗЗ.</w:t>
      </w:r>
    </w:p>
    <w:p w:rsidR="008E608B" w:rsidRDefault="00CC418C" w:rsidP="00DC3C98">
      <w:pPr>
        <w:spacing w:after="160" w:line="276" w:lineRule="auto"/>
        <w:ind w:firstLine="567"/>
        <w:jc w:val="both"/>
      </w:pPr>
      <w:r>
        <w:lastRenderedPageBreak/>
        <w:t>Настоящи</w:t>
      </w:r>
      <w:r>
        <w:t>й отчёт освещает результаты работ Этапа 1 по участку №2. Методика Этапа 1 не предусматривает применения методов автоматизированной спектральной классификации космических снимков (в том числе кластеризации методом k-средних) и анализа тепловых каналов — дан</w:t>
      </w:r>
      <w:r>
        <w:t>ные методы относятся к специализированной обработке многозональных материалов и применяются на Этапах 2 и 4 в сочетании с результатами настоящего этапа. Содержанием Этапа 1 является исключительно дешифрирование и оцифровка явных (однозначно читаемых) геоло</w:t>
      </w:r>
      <w:r>
        <w:t>гических объектов, отображённых на архивных картографических материалах предшествующих исследований, и формирование на их основе структурированных прогнозных критериев.</w:t>
      </w: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t>3. ХАРАКТЕРИСТИКА КОСМИЧЕСКИХ СИСТЕМ ДИСТАНЦИОННОГО ЗОНДИРОВАНИЯ, ИСПОЛЬЗОВАННЫХ В РАБО</w:t>
      </w:r>
      <w:r w:rsidRPr="00DC3C98">
        <w:rPr>
          <w:b/>
          <w:bCs/>
          <w:caps/>
          <w:color w:val="auto"/>
          <w:sz w:val="28"/>
          <w:szCs w:val="28"/>
        </w:rPr>
        <w:t>ТЕ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Для решения задач Этапа 1, а также для подготовки схем покрытия проектной территории под последующие этапы дешифрирования, использованы архивные и актуальные материалы трёх космических систем — Landsat (КА Landsat 8/9), Terra/ASTER и Sentinel-2, являющи</w:t>
      </w:r>
      <w:r>
        <w:t>хся наиболее широко применяемыми источниками мультиспектральных данных для геологических целей благодаря оптимальному сочетанию пространственного, спектрального и временного разрешения, а также открытому доступу к архивам.</w:t>
      </w:r>
    </w:p>
    <w:p w:rsidR="008E608B" w:rsidRPr="00DC3C98" w:rsidRDefault="00CC418C">
      <w:pPr>
        <w:pStyle w:val="2"/>
        <w:spacing w:before="280" w:after="160"/>
        <w:rPr>
          <w:color w:val="auto"/>
        </w:rPr>
      </w:pPr>
      <w:r w:rsidRPr="00DC3C98">
        <w:rPr>
          <w:b/>
          <w:bCs/>
          <w:color w:val="auto"/>
        </w:rPr>
        <w:t xml:space="preserve">3.1. Космическая система Landsat </w:t>
      </w:r>
      <w:r w:rsidRPr="00DC3C98">
        <w:rPr>
          <w:b/>
          <w:bCs/>
          <w:color w:val="auto"/>
        </w:rPr>
        <w:t>(Landsat 8/9)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Программа Landsat реализуется Национальным управлением по аэронавтике и исследованию космического пространства США (NASA) совместно с Геологической службой США (USGS) с 1972 года и является старейшей непрерывно действующей программой съёмки з</w:t>
      </w:r>
      <w:r>
        <w:t>емной поверхности из космоса. Действующие на сегодняшний день космические аппараты Landsat 8 (запуск 11.02.2013 г.) и Landsat 9 (запуск 27.09.2021 г.) выведены на солнечно-синхронную орбиту высотой около 705 км и оснащены двумя типами съёмочной аппаратуры:</w:t>
      </w:r>
      <w:r>
        <w:t xml:space="preserve"> оптико-электронным сканером OLI (Operational Land Imager) и тепловым инфракрасным радиометром TIRS (Thermal InfraRed Sensor). Основные технические характеристики аппаратуры Landsat 8/9 приведены в таблице 3.1.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2800"/>
        <w:gridCol w:w="2200"/>
      </w:tblGrid>
      <w:tr w:rsidR="008E608B" w:rsidTr="00DC3C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Канал</w:t>
            </w:r>
          </w:p>
        </w:tc>
        <w:tc>
          <w:tcPr>
            <w:tcW w:w="28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Спектральный диапазон, мкм</w:t>
            </w:r>
          </w:p>
        </w:tc>
        <w:tc>
          <w:tcPr>
            <w:tcW w:w="22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Пространстве</w:t>
            </w:r>
            <w:r>
              <w:rPr>
                <w:b/>
                <w:bCs/>
                <w:sz w:val="20"/>
                <w:szCs w:val="20"/>
              </w:rPr>
              <w:t>нное разрешение, м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 — прибрежные аэрозоли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0,43–0,45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 — синий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0,45–0,51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 — зелёный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0,53–0,59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4 — красный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0,64–0,67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5 — ближний ИК (NIR)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0,85–0,88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6 — SWIR 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1,57–1,65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7 — SWIR 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2,11–2,29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8 — панхроматический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0,50–0,68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lastRenderedPageBreak/>
              <w:t>9 — перистые облака (Cirrus)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1,36–1,38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10 — тепловой ИК (TIRS-1)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10,60–11,19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11 — тепловой ИК (TIRS-2)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11,50–12,51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</w:tr>
    </w:tbl>
    <w:p w:rsidR="008E608B" w:rsidRDefault="00CC418C">
      <w:pPr>
        <w:spacing w:before="120" w:after="300"/>
        <w:jc w:val="center"/>
      </w:pPr>
      <w:r>
        <w:rPr>
          <w:b/>
          <w:bCs/>
          <w:sz w:val="20"/>
          <w:szCs w:val="20"/>
        </w:rPr>
        <w:t>Таблица 3.1 — Технические характеристики съёмочной аппаратуры КА Landsat 8/9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Ширина полосы захвата составляет 185 км, период повторной съёмки одного участка — 16 суток (при совместном использовании двух аппаратов — 8 суток). Для целей настоящей работы использованы материалы уровня обработки Level-2 (поверхностное отражение/температ</w:t>
      </w:r>
      <w:r>
        <w:t>ура, атмосферно скорректированные производителем).</w:t>
      </w:r>
    </w:p>
    <w:p w:rsidR="008E608B" w:rsidRPr="00DC3C98" w:rsidRDefault="00CC418C">
      <w:pPr>
        <w:pStyle w:val="2"/>
        <w:spacing w:before="280" w:after="160"/>
        <w:rPr>
          <w:color w:val="auto"/>
        </w:rPr>
      </w:pPr>
      <w:r w:rsidRPr="00DC3C98">
        <w:rPr>
          <w:b/>
          <w:bCs/>
          <w:color w:val="auto"/>
        </w:rPr>
        <w:t>3.2. Космическая система Terra/ASTER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Космический аппарат TERRA запущен NASA 18.12.1999 г. и выведен на гелиосинхронную полярную орбиту высотой 705 км. На</w:t>
      </w:r>
      <w:bookmarkStart w:id="0" w:name="_GoBack"/>
      <w:bookmarkEnd w:id="0"/>
      <w:r>
        <w:t xml:space="preserve"> борту установлен радиометр ASTER (Advanced Spacebor</w:t>
      </w:r>
      <w:r>
        <w:t>ne Thermal Emission and Reflection Radiometer), разработанный в рамках сотрудничества NASA, Министерства экономики, торговли и промышленности Японии (METI) и японского Центра анализа данных ДЗЗ (ERSDAC). Комплекс ASTER включает три независимых телескопа, р</w:t>
      </w:r>
      <w:r>
        <w:t>аботающих в различных спектральных диапазонах и с различным пространственным разрешением, что обеспечивает широкие возможности для геологического дешифрирования, включая построение стереопар для целей построения цифровой модели рельефа. Технические характе</w:t>
      </w:r>
      <w:r>
        <w:t>ристики аппаратуры ASTER приведены в таблице 3.2.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2150"/>
      </w:tblGrid>
      <w:tr w:rsidR="008E608B" w:rsidTr="00DC3C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Диапазон</w:t>
            </w:r>
          </w:p>
        </w:tc>
        <w:tc>
          <w:tcPr>
            <w:tcW w:w="42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Спектральные каналы, мкм</w:t>
            </w:r>
          </w:p>
        </w:tc>
        <w:tc>
          <w:tcPr>
            <w:tcW w:w="21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Пространственное разрешение, м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VNIR (видимый и ближний ИК)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1: 0,52–0,60; 2: 0,63–0,69; 3N/3B: 0,76–0,86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SWIR (коротковолновый ИК)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4–9: 1,600–2,430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TIR (тепловой ИК)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10–14: 8,125–11,65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90</w:t>
            </w:r>
          </w:p>
        </w:tc>
      </w:tr>
    </w:tbl>
    <w:p w:rsidR="008E608B" w:rsidRDefault="00CC418C">
      <w:pPr>
        <w:spacing w:before="120" w:after="300"/>
        <w:jc w:val="center"/>
      </w:pPr>
      <w:r>
        <w:rPr>
          <w:b/>
          <w:bCs/>
          <w:sz w:val="20"/>
          <w:szCs w:val="20"/>
        </w:rPr>
        <w:t>Таблица 3.2 — Технические характеристики съёмочной аппаратуры Terra/ASTER</w:t>
      </w:r>
    </w:p>
    <w:p w:rsidR="008E608B" w:rsidRDefault="00CC418C">
      <w:pPr>
        <w:spacing w:after="160" w:line="276" w:lineRule="auto"/>
        <w:jc w:val="both"/>
      </w:pPr>
      <w:r>
        <w:t>Ширина полосы захвата составляет 60 км. По участку №2 использован архив сцен ASTER 2007 года (уровень обработки поверхностной отражательной с</w:t>
      </w:r>
      <w:r>
        <w:t>пособности), в полном объёме перекрывающий территорию участка.</w:t>
      </w:r>
    </w:p>
    <w:p w:rsidR="008E608B" w:rsidRPr="00DC3C98" w:rsidRDefault="00CC418C">
      <w:pPr>
        <w:pStyle w:val="2"/>
        <w:spacing w:before="280" w:after="160"/>
        <w:rPr>
          <w:color w:val="auto"/>
        </w:rPr>
      </w:pPr>
      <w:r w:rsidRPr="00DC3C98">
        <w:rPr>
          <w:b/>
          <w:bCs/>
          <w:color w:val="auto"/>
        </w:rPr>
        <w:t>3.3. Космическая система Sentinel-2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Sentinel-2 — программа Европейского космического агентства (ESA) в составе группировки Copernicus, реализуемая парой идентичных космических аппаратов Sentine</w:t>
      </w:r>
      <w:r>
        <w:t>l-2A и Sentinel-2B (запуски 23.06.2015 г. и 07.03.2017 г. соответственно), выведенных на солнечно-синхронную орбиту высотой 786 км со сдвигом по фазе 180°, что обеспечивает повторную съёмку территории с периодичностью 5 суток. Съёмочная аппаратура — мульти</w:t>
      </w:r>
      <w:r>
        <w:t>спектральный сканер MSI (MultiSpectral Instrument) — регистрирует излучение в 13 спектральных каналах с пространственным разрешением 10, 20 и 60 м (таблица 3.3), шириной полосы захвата 290 км.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2800"/>
        <w:gridCol w:w="2200"/>
      </w:tblGrid>
      <w:tr w:rsidR="008E608B" w:rsidTr="00DC3C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Канал</w:t>
            </w:r>
          </w:p>
        </w:tc>
        <w:tc>
          <w:tcPr>
            <w:tcW w:w="28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Центральная длина волны, мкм</w:t>
            </w:r>
          </w:p>
        </w:tc>
        <w:tc>
          <w:tcPr>
            <w:tcW w:w="22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Пространственное разрешение, м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 — прибрежные аэрозоли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0,443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 — синий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0,490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 — зелёный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0,560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4 — красный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0,665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5, 6, 7 — «красный край» (Red Edge)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0,705 / 0,740 / 0,783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8 — ближний ИК (NIR)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0,842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8A — узкий ближний ИК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0,865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9 — водяной пар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0,945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10 — перистые облака (Cirrus)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1,375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11, 12 — SWIR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1,610 / 2,190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</w:tbl>
    <w:p w:rsidR="008E608B" w:rsidRDefault="00CC418C">
      <w:pPr>
        <w:spacing w:before="120" w:after="300"/>
        <w:jc w:val="center"/>
      </w:pPr>
      <w:r>
        <w:rPr>
          <w:b/>
          <w:bCs/>
          <w:sz w:val="20"/>
          <w:szCs w:val="20"/>
        </w:rPr>
        <w:t>Таблица 3.3 — Технические характеристики съёмочной аппаратуры Sentinel-2 (MSI)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Для целей работы использованы материалы уровня обработки L2A (поверхностное отражение, атмосферно скорректированные алгоритмом Sen2Cor), распространяемые через сервис Copernicus Browser. Материалы Sentinel-2 L2A загружаются в географической системе координ</w:t>
      </w:r>
      <w:r>
        <w:t>ат WGS-84 (EPSG:4326) и в обязательном порядке подвергаются перепроецированию в проекцию UTM (зона 42N, EPSG:32642) с последующим приведением к принятой системе координат СК-42 на этапе геопривязки.</w:t>
      </w: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t>4. ПОДБОР И ПЕРВИЧНАЯ ОБРАБОТКА КОСМИЧЕСКИХ МАТЕРИАЛОВ</w:t>
      </w:r>
    </w:p>
    <w:p w:rsidR="008E608B" w:rsidRPr="00DC3C98" w:rsidRDefault="00CC418C">
      <w:pPr>
        <w:pStyle w:val="2"/>
        <w:spacing w:before="280" w:after="160"/>
        <w:rPr>
          <w:color w:val="auto"/>
        </w:rPr>
      </w:pPr>
      <w:r w:rsidRPr="00DC3C98">
        <w:rPr>
          <w:b/>
          <w:bCs/>
          <w:color w:val="auto"/>
        </w:rPr>
        <w:t>4.</w:t>
      </w:r>
      <w:r w:rsidRPr="00DC3C98">
        <w:rPr>
          <w:b/>
          <w:bCs/>
          <w:color w:val="auto"/>
        </w:rPr>
        <w:t>1. Критерии и результаты подбора космических материалов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Подбор космических материалов на площадь участка №2 выполнен по следующим критериям: полное (100 %) покрытие территории участка; минимальная облачность сцен (безоблачные либо с облачностью, не препятствующей дешифрированию); оптимальный для геологических з</w:t>
      </w:r>
      <w:r>
        <w:t>адач уровень обработки данных (Level-2 / L2A — поверхностное отражение); максимальная доступная детальность съёмочной системы. По результатам поиска в открытых архивах NASA Earthdata и Copernicus Browser по территории участка №2 отобрано 8 сцен/гранул трёх</w:t>
      </w:r>
      <w:r>
        <w:t xml:space="preserve"> космических систем, полностью перекрывающих площадь участка (таблица 4.1).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"/>
        <w:gridCol w:w="4667"/>
        <w:gridCol w:w="1487"/>
        <w:gridCol w:w="1143"/>
        <w:gridCol w:w="989"/>
        <w:gridCol w:w="635"/>
      </w:tblGrid>
      <w:tr w:rsidR="008E608B" w:rsidTr="00DC3C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2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Идентификатор сцены / гранулы</w:t>
            </w:r>
          </w:p>
        </w:tc>
        <w:tc>
          <w:tcPr>
            <w:tcW w:w="19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КА / сенсор, уровень обработки</w:t>
            </w:r>
          </w:p>
        </w:tc>
        <w:tc>
          <w:tcPr>
            <w:tcW w:w="12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Дата съёмки</w:t>
            </w:r>
          </w:p>
        </w:tc>
        <w:tc>
          <w:tcPr>
            <w:tcW w:w="7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Path/Tile</w:t>
            </w:r>
          </w:p>
        </w:tc>
        <w:tc>
          <w:tcPr>
            <w:tcW w:w="7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Row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LC08_L2SP_157026_20260514_20260520_02_T1_SR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Landsat 8 (OLI/TIRS, L2)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14.05.2026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026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AST_L1T_00408152007063256_20250617072712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Terra/ASTER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15.08.2007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AST_L1T_00408072005064412_20250519233929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Terra/ASTER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07.08.2005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AST_L1T_00408222004063152_20250331005038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Terra/ASTER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22.08.2004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AST_L1T_00409232007063842_20250618035305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Terra/ASTER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23.09.2007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AST_L1T_00409232007063851_20250618035309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Terra/ASTER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23.09.2007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T42UUU_20260809T062631_TCI_10m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Sentinel-2 (MSI, TCI)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09.08.2026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T42UUU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T42UUV_20260812T063621_TCI_10m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Sentinel-2 (MSI, TCI)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12.08.2026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T42UUV</w:t>
            </w:r>
          </w:p>
        </w:tc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8E608B" w:rsidRDefault="00CC418C">
      <w:pPr>
        <w:spacing w:before="120" w:after="300"/>
        <w:jc w:val="center"/>
      </w:pPr>
      <w:r>
        <w:rPr>
          <w:b/>
          <w:bCs/>
          <w:sz w:val="20"/>
          <w:szCs w:val="20"/>
        </w:rPr>
        <w:t>Таблица 4.1 — Реестр использованных космических материалов по участку №2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Схемы покрытия проектной территории участка №2 отобранными материалами Landsat, Terra/ASTER и Sentinel-2 включены в состав приложений к настоящему отчёту (Приложение 1).</w:t>
      </w:r>
    </w:p>
    <w:p w:rsidR="008E608B" w:rsidRPr="00DC3C98" w:rsidRDefault="00CC418C">
      <w:pPr>
        <w:pStyle w:val="2"/>
        <w:spacing w:before="280" w:after="160"/>
        <w:rPr>
          <w:color w:val="auto"/>
        </w:rPr>
      </w:pPr>
      <w:r w:rsidRPr="00DC3C98">
        <w:rPr>
          <w:b/>
          <w:bCs/>
          <w:color w:val="auto"/>
        </w:rPr>
        <w:t>4.2. Первичная обработка космических материалов</w:t>
      </w:r>
    </w:p>
    <w:p w:rsidR="008E608B" w:rsidRDefault="00CC418C" w:rsidP="00DC3C98">
      <w:pPr>
        <w:spacing w:after="160" w:line="276" w:lineRule="auto"/>
        <w:ind w:firstLine="567"/>
        <w:jc w:val="both"/>
      </w:pPr>
      <w:r>
        <w:t>Первичная обработка отобранных космических материалов выполнена с целью устранения систематических радиометрических и геометрических искажений и приведения разновременных и разносенсорных данных к единому вид</w:t>
      </w:r>
      <w:r>
        <w:t>у, пригодному для визуального дешифрирования и последующей тематической обработки. Первичная обработка включала следующие процедуры:</w:t>
      </w:r>
    </w:p>
    <w:p w:rsidR="008E608B" w:rsidRDefault="00CC418C">
      <w:pPr>
        <w:spacing w:after="100" w:line="276" w:lineRule="auto"/>
        <w:ind w:left="567"/>
        <w:jc w:val="both"/>
      </w:pPr>
      <w:r>
        <w:t>— радиометрическая коррекция — приведение цифровых значений пикселей (DN) к физическим величинам излучения (спектральная яр</w:t>
      </w:r>
      <w:r>
        <w:t>кость, коэффициент отражения) с учётом калибровочных параметров сенсора и компенсацией деградации измерительной аппаратуры за время эксплуатации;</w:t>
      </w:r>
    </w:p>
    <w:p w:rsidR="008E608B" w:rsidRDefault="00CC418C">
      <w:pPr>
        <w:spacing w:after="100" w:line="276" w:lineRule="auto"/>
        <w:ind w:left="567"/>
        <w:jc w:val="both"/>
      </w:pPr>
      <w:r>
        <w:t>— геометрическая коррекция (ортотрансформирование) — устранение искажений, связанных с рельефом местности, угл</w:t>
      </w:r>
      <w:r>
        <w:t>ом визирования и пространственным положением съёмочной платформы, геокодирование по орбитальным данным и опорным точкам;</w:t>
      </w:r>
    </w:p>
    <w:p w:rsidR="008E608B" w:rsidRDefault="00CC418C">
      <w:pPr>
        <w:spacing w:after="100" w:line="276" w:lineRule="auto"/>
        <w:ind w:left="567"/>
        <w:jc w:val="both"/>
      </w:pPr>
      <w:r>
        <w:t>— атмосферная коррекция — устранение влияния рассеяния и поглощения излучения атмосферой (водяной пар, аэрозоли) для получения значений</w:t>
      </w:r>
      <w:r>
        <w:t xml:space="preserve"> поверхностного отражения; для материалов Sentinel-2 выполнена по алгоритму Sen2Cor (продукт L2A), для материалов Landsat 8/9 и Terra/ASTER использованы стандартные продукты поверхностного отражения (Surface Reflectance, Level-2);</w:t>
      </w:r>
    </w:p>
    <w:p w:rsidR="008E608B" w:rsidRDefault="00CC418C">
      <w:pPr>
        <w:spacing w:after="100" w:line="276" w:lineRule="auto"/>
        <w:ind w:left="567"/>
        <w:jc w:val="both"/>
      </w:pPr>
      <w:r>
        <w:t>— приведение к единой сис</w:t>
      </w:r>
      <w:r>
        <w:t>теме координат — перепроецирование всех материалов в проекцию Гаусса — Крюгера, зона 12N, система координат СК-42 (Пулково 1942); материалы Sentinel-2 L2A, изначально распространяемые в географических координатах WGS-84 (EPSG:4326), предварительно перепрое</w:t>
      </w:r>
      <w:r>
        <w:t>цированы в UTM (зона 42N, EPSG:32642) с последующим приведением к СК-42;</w:t>
      </w:r>
    </w:p>
    <w:p w:rsidR="008E608B" w:rsidRDefault="00CC418C">
      <w:pPr>
        <w:spacing w:after="100" w:line="276" w:lineRule="auto"/>
        <w:ind w:left="567"/>
        <w:jc w:val="both"/>
      </w:pPr>
      <w:r>
        <w:t>— контрастно-яркостное улучшение изображений — гистограммное растяжение и синтез многоканальных цветовых композитов для повышения визуального дешифрирования геологических объектов.</w:t>
      </w:r>
    </w:p>
    <w:p w:rsidR="008E608B" w:rsidRDefault="00CC418C">
      <w:pPr>
        <w:spacing w:after="160" w:line="276" w:lineRule="auto"/>
        <w:jc w:val="both"/>
      </w:pPr>
      <w:r>
        <w:lastRenderedPageBreak/>
        <w:t>Об</w:t>
      </w:r>
      <w:r>
        <w:t>работка выполнена в программном комплексе QGIS 3.44 с использованием инструментов пакета GDAL (gdalwarp, gdal_translate, gdalbuildvrt). Результатом первичной обработки являются приведённые к единой системе координат растровые мозаики по каждой из трёх косм</w:t>
      </w:r>
      <w:r>
        <w:t>ических систем, использованные в качестве подложки при дешифрировании и сверке архивных геологических материалов на площади участка №2.</w:t>
      </w: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t>5. ИСХОДНЫЕ АРХИВНЫЕ МАТЕРИАЛЫ И ИХ ОЦИФРОВКА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В соответствии с методикой Этапа 1, в качестве исходной основы для создани</w:t>
      </w:r>
      <w:r>
        <w:t>я предварительной геолого-генетической модели участка №2 использован комплект архивных картографических материалов геологического содержания, включающий схему рудовмещающих отложений, схему разрывных нарушений и прогноза полезных ископаемых, составленные п</w:t>
      </w:r>
      <w:r>
        <w:t>о материалам отчёта о проведении геологического доизучения площади масштаба 1:200 000 (ГДП-200) на площади листов М-42-XXV, M-42-XXXI на территории Жезказганского рудного района (Антонюк Р.М., 2006–2008 гг.).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Оцифровка выполнена методом дешифрирования (векторизации) явных геологических признаков и полигональных объектов, однозначно читаемых на исходных архивных материалах: границ структурно-формационных зон (рудовмещающих отложений), разрывных нарушений, контур</w:t>
      </w:r>
      <w:r>
        <w:t>ов рудных полей по стадиям прогноза и видам полезных ископаемых, точечных объектов полезных ископаемых (проявления, пункты минерализации), перспективных площадей и площадей, рекомендуемых для первоочередного геолого-минерагенического картирования.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Векториз</w:t>
      </w:r>
      <w:r>
        <w:t>ация выполнена в среде ГИС (QGIS 3.44) с точным соблюдением контуров исходных материалов, без содержательной генерализации или интерпретационного домысливания за пределами явно отображённой на архивных картах информации. Все создаваемые слои приведены к си</w:t>
      </w:r>
      <w:r>
        <w:t>стеме координат СК-42 (Пулково 1942), проекция Гаусса — Крюгера, зона 12N, и сохранены в формате shp/gdb с сопутствующей атрибутивной базой данных.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Необходимо отметить, что материалы масштаба 1:200 000 использованы на Этапе 1 исключительно в качестве источ</w:t>
      </w:r>
      <w:r>
        <w:t>ника содержательной (геологической) информации для построения предварительной модели участка и не рассматриваются как основа для линеаментного дешифрирования масштаба 1:50 000 ввиду недостаточной позиционной точности исходных карт данного масштаба (порядка</w:t>
      </w:r>
      <w:r>
        <w:t xml:space="preserve"> ±100–200 м) для решения задач детального картирования.</w:t>
      </w: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t>6. РЕЗУЛЬТАТЫ РАБОТ ЭТАПА 1: ПРЕДВАРИТЕЛЬНАЯ ИНТЕРПРЕТАЦИОННАЯ КАРТА-СХЕМА УЧАСТКА №2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По результатам систематизации, приведения в ГИС-формат и оцифровки исходных архивных материалов составлена предвар</w:t>
      </w:r>
      <w:r>
        <w:t>ительная геологическая интерпретационная карта-схема участка №2 (Приложение 2), охватывающая западную и центральную части участка в пределах 16 номенклатурных листов масштаба 1:50 000, входящих в состав участка. Карта-схема составлена в системе координат P</w:t>
      </w:r>
      <w:r>
        <w:t>ulkovo 1942, проекция Гаусса — Крюгера, зона 12N.</w:t>
      </w:r>
    </w:p>
    <w:p w:rsidR="008E608B" w:rsidRDefault="00CC418C">
      <w:pPr>
        <w:spacing w:after="160" w:line="276" w:lineRule="auto"/>
        <w:jc w:val="both"/>
      </w:pPr>
      <w:r>
        <w:lastRenderedPageBreak/>
        <w:t>В содержание карты-схемы включены следующие тематические слои:</w:t>
      </w:r>
    </w:p>
    <w:p w:rsidR="008E608B" w:rsidRDefault="00CC418C">
      <w:pPr>
        <w:spacing w:after="100" w:line="276" w:lineRule="auto"/>
        <w:ind w:left="567"/>
        <w:jc w:val="both"/>
      </w:pPr>
      <w:r>
        <w:t>— рудовмещающие отложения — представлены детальной литолого-стратиграфической легендой (более 20 подразделений): пестроцветные конгломераты, пе</w:t>
      </w:r>
      <w:r>
        <w:t>счаники и алевролиты с флорой; кварцеполевошпатовые песчаники и андезибазальты; толща порфиритоидов, амфиболитов и зелёных сланцев; кварц-серитицитовые сланцы и кварциты с прослоями железистых кварцитов; кристаллические известняки; красноцветные алевролиты</w:t>
      </w:r>
      <w:r>
        <w:t xml:space="preserve"> и конгломераты; серицит-кварцевые сланцы по туфам; биотит-амфиболовые гранодиориты и амфибол-биотитовые граниты; белеутинский интрузивный комплекс (габбро, габбро-диабазы); известняки окремнённые и марганценосные; бластопсаммитовые и порфиробластовые слан</w:t>
      </w:r>
      <w:r>
        <w:t>цы и гнейсы; красноцветные и сероцветные конгломераты с прослоями базальтов (635 м); слюдяные сланцы и гнейсы (1000 м); пироксен-амфиболовые кварцевые диориты; слюдяно-кварцевые сланцы и порфироиды (3760 м); гранодиориты средне-крупнозернистые; субщелочные</w:t>
      </w:r>
      <w:r>
        <w:t xml:space="preserve"> лейкограниты и граносиениты; серпентинизированные пироксениты, перидотиты, габбро-амфиболиты с асбестовой минерализацией; красноцветные песчаники с турмалиновым цементом и залежами марганцевых руд (150–575 м); сульцифёрова и симоринская свиты (350–400 м);</w:t>
      </w:r>
      <w:r>
        <w:t xml:space="preserve"> субвулканические образования кислого и среднего-основного состава;</w:t>
      </w:r>
    </w:p>
    <w:p w:rsidR="008E608B" w:rsidRDefault="00CC418C">
      <w:pPr>
        <w:spacing w:after="100" w:line="276" w:lineRule="auto"/>
        <w:ind w:left="567"/>
        <w:jc w:val="both"/>
      </w:pPr>
      <w:r>
        <w:t>— разрывные нарушения (тектонические разломы);</w:t>
      </w:r>
    </w:p>
    <w:p w:rsidR="008E608B" w:rsidRDefault="00CC418C">
      <w:pPr>
        <w:spacing w:after="100" w:line="276" w:lineRule="auto"/>
        <w:ind w:left="567"/>
        <w:jc w:val="both"/>
      </w:pPr>
      <w:r>
        <w:t>— перспективные площади;</w:t>
      </w:r>
    </w:p>
    <w:p w:rsidR="008E608B" w:rsidRDefault="00CC418C">
      <w:pPr>
        <w:spacing w:after="100" w:line="276" w:lineRule="auto"/>
        <w:ind w:left="567"/>
        <w:jc w:val="both"/>
      </w:pPr>
      <w:r>
        <w:t>— прогноз полезных ископаемых — оконтурены рудные поля и минерализованные площади по видам: меднорудное поле и медно</w:t>
      </w:r>
      <w:r>
        <w:t>рудная минерализованная площадь, золоторудное поле, полиметаллическо-золоторудная минерализованная площадь, марганцеворудное поле и марганцевая минерализованная площадь, железо-марганцевый рудный район (выделен протяжённой зоной вдоль восточной границы ото</w:t>
      </w:r>
      <w:r>
        <w:t>бражённой территории);</w:t>
      </w:r>
    </w:p>
    <w:p w:rsidR="008E608B" w:rsidRDefault="00CC418C">
      <w:pPr>
        <w:spacing w:after="100" w:line="276" w:lineRule="auto"/>
        <w:ind w:left="567"/>
        <w:jc w:val="both"/>
      </w:pPr>
      <w:r>
        <w:t xml:space="preserve">— точечные объекты полезных ископаемых (металлические ископаемые) — иттрий (Y), цинк (Zn), висмут (Bi), свинец (Pb), кобальт (Co), медь (Cu), бериллий (Be), никель (Ni), ниобий (Nb), марганец (Mn), золото (Au), железо (Fe), молибден </w:t>
      </w:r>
      <w:r>
        <w:t>(Mo), а также неметаллические — пьезокварц (qo), барит (ba), агат (agt);</w:t>
      </w:r>
    </w:p>
    <w:p w:rsidR="008E608B" w:rsidRDefault="00CC418C">
      <w:pPr>
        <w:spacing w:after="100" w:line="276" w:lineRule="auto"/>
        <w:ind w:left="567"/>
        <w:jc w:val="both"/>
      </w:pPr>
      <w:r>
        <w:t>— формы рудных тел — простые жилы, системы сближенных тел, пластовые тела, минерализованные зоны дробления, линзы, россыпи.</w:t>
      </w:r>
    </w:p>
    <w:p w:rsidR="008E608B" w:rsidRDefault="00CC418C" w:rsidP="00DC3C98">
      <w:pPr>
        <w:spacing w:after="160" w:line="276" w:lineRule="auto"/>
        <w:ind w:firstLine="567"/>
        <w:jc w:val="both"/>
      </w:pPr>
      <w:r>
        <w:t>Пространственный анализ карты-схемы показывает, что наиболе</w:t>
      </w:r>
      <w:r>
        <w:t>е плотная концентрация точечных проявлений меди и золота приурочена к западной части отображённой территории, где развиты слюдяно-кварцевые и кварц-серицитовые сланцевые толщи, секущиеся серией субширотных и северо-западных разрывных нарушений; здесь же ок</w:t>
      </w:r>
      <w:r>
        <w:t>онтурены основные меднорудные и золоторудные поля. В центральной части, в пределах массива гранодиоритов и субщелочных лейкогранитов, отмечается ассоциация проявлений золота, серебра, вольфрама и молибдена. Проявления марганца тяготеют к полосе красноцветн</w:t>
      </w:r>
      <w:r>
        <w:t xml:space="preserve">ых песчаников с марганценосными залежами в юго-западной части участка, оконтуренной как марганцеворудная минерализованная площадь. Приведённая пространственная картина носит предварительный характер и </w:t>
      </w:r>
      <w:r>
        <w:lastRenderedPageBreak/>
        <w:t>подлежит уточнению по результатам Этапа 2 (мультиспектр</w:t>
      </w:r>
      <w:r>
        <w:t>альный анализ) и последующих полевых поисково-съёмочных работ.</w:t>
      </w: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t>7. ОБЪЁМ ВЫПОЛНЕННЫХ РАБОТ</w:t>
      </w:r>
    </w:p>
    <w:p w:rsidR="008E608B" w:rsidRDefault="00CC418C">
      <w:pPr>
        <w:spacing w:after="160" w:line="276" w:lineRule="auto"/>
        <w:jc w:val="both"/>
      </w:pPr>
      <w:r>
        <w:t>Перечень картографических и вспомогательных материалов, подготовленных в рамках Этапа 1 по участку №2, приведён в таблице 7.1.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00"/>
        <w:gridCol w:w="1400"/>
        <w:gridCol w:w="1450"/>
      </w:tblGrid>
      <w:tr w:rsidR="008E608B" w:rsidTr="00DC3C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60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материалов</w:t>
            </w:r>
          </w:p>
        </w:tc>
        <w:tc>
          <w:tcPr>
            <w:tcW w:w="140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Ед. изм.</w:t>
            </w:r>
          </w:p>
        </w:tc>
        <w:tc>
          <w:tcPr>
            <w:tcW w:w="1450" w:type="dxa"/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Количество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Схематические геологические карты масштаба 1:50 000 на каждый номенклатурный лист (пространственная привязка, перевод в ГИС-формат)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Карты полезных ископаемых масштаба 1:50 000 на каждый номенклатурный лист (при наличии)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Схема минерагенического районирования масштаба 1:200 000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Условные обозначения к геологическим картам, картам полезных ископаемых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Тектоническая схема масштаба 1:200 000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Карты изолиний аномального магнитного поля (ΔТ)а масштаба 1:50 000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Схемы покрытия проектной территории космическими снимками Landsat 8, Terra/ASTER, Sentinel-2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схема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Предварительные геологические интерпретационные карты-схемы масштаба 1:50 000 на каждый номенклатурный лист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 w:rsidR="008E608B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r>
              <w:rPr>
                <w:sz w:val="20"/>
                <w:szCs w:val="20"/>
              </w:rPr>
              <w:t>Условные обозначения к предварительной геологической интерпретационной карте-схеме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лист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608B" w:rsidRDefault="00CC418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</w:tbl>
    <w:p w:rsidR="008E608B" w:rsidRDefault="00CC418C">
      <w:pPr>
        <w:spacing w:before="120" w:after="300"/>
        <w:jc w:val="center"/>
      </w:pPr>
      <w:r>
        <w:rPr>
          <w:b/>
          <w:bCs/>
          <w:sz w:val="20"/>
          <w:szCs w:val="20"/>
        </w:rPr>
        <w:t>Таблица 7.1 — Перечень материалов, подготовленных в рамках Этапа 1 по участку №2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 xml:space="preserve">Объём работ по Этапу 1, выполненный по участку №2, составляет 542,9 км² (10 % от общей площади участка — 5429 км²), что соответствует нормативному объёму опережающих работ по </w:t>
      </w:r>
      <w:r>
        <w:t>дистанционному зондированию Земли, предусмотренному Методикой (2026 г.) для данной стадии исследований.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Полный комплект картографических и вспомогательных материалов Этапа 1 по участку №2 (схематические геологические карты, карты полезных ископаемых, текто</w:t>
      </w:r>
      <w:r>
        <w:t>нические схемы, карты изолиний аномального магнитного поля ΔТа, условные обозначения и прочие материалы по позициям таблицы 7.1, ориентировочно порядка 200 листов/файлов) передаётся заказчику отдельно на цифровом носителе (USB-флеш-накопитель) в форматах G</w:t>
      </w:r>
      <w:r>
        <w:t>eoTIFF/PDF (растровые материалы) и shp/gdb (векторные материалы, включая предварительные интерпретационные карты-схемы). Реестр космических снимков и предварительная интерпретационная карта-схема территории, отображённой на данный момент, включены в состав</w:t>
      </w:r>
      <w:r>
        <w:t xml:space="preserve"> настоящего отчёта в виде приложений 1 и 2.</w:t>
      </w:r>
    </w:p>
    <w:p w:rsidR="00DC3C98" w:rsidRDefault="00DC3C98">
      <w:pPr>
        <w:pStyle w:val="1"/>
        <w:spacing w:before="400" w:after="240"/>
        <w:rPr>
          <w:b/>
          <w:bCs/>
          <w:caps/>
          <w:sz w:val="28"/>
          <w:szCs w:val="28"/>
        </w:rPr>
      </w:pP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lastRenderedPageBreak/>
        <w:t>8. ЗАКЛЮЧЕНИЕ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 xml:space="preserve">В рамках Этапа 1 по участку №2 (область Ұлытау, площадь 5429 км², 16 номенклатурных листов масштаба 1:50 000) выполнены: подбор и первичная обработка космических материалов Landsat 8, Terra/ASTER и </w:t>
      </w:r>
      <w:r>
        <w:t>Sentinel-2 с приведением к единой системе координат СК-42 (Пулково 1942); систематизация и оцифровка в среде ГИС архивных геологических материалов масштаба 1:200 000; составление предварительной геологической интерпретационной карты-схемы участка.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Созданна</w:t>
      </w:r>
      <w:r>
        <w:t>я предварительная геолого-генетическая модель участка №2 отражает пространственное распределение рудовмещающих отложений, разрывных нарушений, рудных полей и точечных проявлений полезных ископаемых по архивным данным на отображённой (западной и центральной</w:t>
      </w:r>
      <w:r>
        <w:t>) части территории участка.</w:t>
      </w:r>
    </w:p>
    <w:p w:rsidR="008E608B" w:rsidRDefault="00CC418C" w:rsidP="00DC3C98">
      <w:pPr>
        <w:spacing w:after="160" w:line="276" w:lineRule="auto"/>
        <w:ind w:firstLine="708"/>
        <w:jc w:val="both"/>
      </w:pPr>
      <w:r>
        <w:t>Результаты Этапа 1 являются исходной основой для дешифрирования данных дистанционного зондирования Земли на Этапе 2 (мультиспектральный анализ космических снимков, спектральные индексы, распознавание спектральных образов прогноз</w:t>
      </w:r>
      <w:r>
        <w:t>ных критериев), Этапе 3 (построение цифровой модели рельефа, геоморфологический и морфометрический анализ) и Этапе 4 (анализ инфракрасных и тепловых каналов как индикатора генезиса оруденения), а также для последующего выделения на Этапе 5 участков, отвеча</w:t>
      </w:r>
      <w:r>
        <w:t>ющих прогнозным критериям, с определением поисковых признаков и рекомендаций по заложению буровых скважин. Материалы Этапа 1 подлежат последующему уточнению по результатам полевых поисково-съёмочных работ на участке №2.</w:t>
      </w: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t>9. ПРИЛОЖЕНИЯ</w:t>
      </w:r>
    </w:p>
    <w:p w:rsidR="008E608B" w:rsidRDefault="00CC418C" w:rsidP="00DC3C98">
      <w:pPr>
        <w:spacing w:after="160" w:line="276" w:lineRule="auto"/>
        <w:ind w:firstLine="567"/>
        <w:jc w:val="both"/>
      </w:pPr>
      <w:r>
        <w:t xml:space="preserve">В состав приложений к </w:t>
      </w:r>
      <w:r>
        <w:t>настоящему отчёту включены графические и табличные материалы, подготовленные в рамках Этапа 1 по участку №2:</w:t>
      </w:r>
    </w:p>
    <w:p w:rsidR="008E608B" w:rsidRDefault="00CC418C">
      <w:pPr>
        <w:spacing w:after="100" w:line="276" w:lineRule="auto"/>
        <w:ind w:left="567"/>
        <w:jc w:val="both"/>
      </w:pPr>
      <w:r>
        <w:t>— Приложение 1. Реестр использованных космических материалов по участку №2 (таблица 4.1) — 8 сцен/гранул Landsat 8, Terra/ASTER, Sentinel-2.</w:t>
      </w:r>
    </w:p>
    <w:p w:rsidR="008E608B" w:rsidRDefault="00CC418C">
      <w:pPr>
        <w:spacing w:after="100" w:line="276" w:lineRule="auto"/>
        <w:ind w:left="567"/>
        <w:jc w:val="both"/>
      </w:pPr>
      <w:r>
        <w:t>— Прил</w:t>
      </w:r>
      <w:r>
        <w:t>ожение 2. Предварительная геологическая интерпретационная карта-схема участка №2 (листы M-42-98-А, M-42-98-Б, M-42-98-В, M-42-98-Г, M-42-99-А, M-42-99-В, M-42-110-А, M-42-110-Б, M-42-110-В, M-42-110-Г, M-42-111-А, M-42-111-В, M-42-122-А, M-42-122-Б, M-42-1</w:t>
      </w:r>
      <w:r>
        <w:t>23-А, M-42-123-Б) — 1 лист.</w:t>
      </w:r>
    </w:p>
    <w:p w:rsidR="008E608B" w:rsidRDefault="00CC418C">
      <w:pPr>
        <w:spacing w:after="100" w:line="276" w:lineRule="auto"/>
        <w:ind w:left="567"/>
        <w:jc w:val="both"/>
      </w:pPr>
      <w:r>
        <w:t>— Приложение 3. Полный комплект картографических и вспомогательных материалов Этапа 1 по участку №2 согласно перечню таблицы 7.1 (схематические геологические карты — 16 листов, карты полезных ископаемых — 16 листов, схема минера</w:t>
      </w:r>
      <w:r>
        <w:t>генического районирования, тектоническая схема, условные обозначения, карты изолиний ΔТа — 16 листов, схемы покрытия снимками, предварительные интерпретационные карты-схемы на номенклатурные листы и др.; ориентировочно порядка 200 листов/файлов) — передаёт</w:t>
      </w:r>
      <w:r>
        <w:t>ся отдельно на цифровом носителе (USB-флеш-накопитель) вместе с настоящим отчётом.</w:t>
      </w:r>
    </w:p>
    <w:p w:rsidR="008E608B" w:rsidRDefault="00CC418C">
      <w:r>
        <w:br w:type="page"/>
      </w:r>
    </w:p>
    <w:p w:rsidR="008E608B" w:rsidRPr="00DC3C98" w:rsidRDefault="00CC418C">
      <w:pPr>
        <w:pStyle w:val="1"/>
        <w:spacing w:before="400" w:after="240"/>
        <w:rPr>
          <w:color w:val="auto"/>
        </w:rPr>
      </w:pPr>
      <w:r w:rsidRPr="00DC3C98">
        <w:rPr>
          <w:b/>
          <w:bCs/>
          <w:caps/>
          <w:color w:val="auto"/>
          <w:sz w:val="28"/>
          <w:szCs w:val="28"/>
        </w:rPr>
        <w:lastRenderedPageBreak/>
        <w:t>ПРИЛОЖЕНИЕ 2</w:t>
      </w:r>
    </w:p>
    <w:p w:rsidR="008E608B" w:rsidRDefault="00CC418C">
      <w:pPr>
        <w:spacing w:after="200" w:line="276" w:lineRule="auto"/>
        <w:jc w:val="center"/>
      </w:pPr>
      <w:r>
        <w:rPr>
          <w:b/>
          <w:bCs/>
        </w:rPr>
        <w:t>Предварительная геологическая интерпретационная карта-схема участка №2</w:t>
      </w:r>
    </w:p>
    <w:p w:rsidR="008E608B" w:rsidRDefault="00CC418C">
      <w:pPr>
        <w:jc w:val="center"/>
      </w:pPr>
      <w:r>
        <w:rPr>
          <w:noProof/>
        </w:rPr>
        <w:drawing>
          <wp:inline distT="0" distB="0" distL="0" distR="0">
            <wp:extent cx="5905500" cy="4429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08B" w:rsidRDefault="00CC418C">
      <w:pPr>
        <w:spacing w:line="276" w:lineRule="auto"/>
        <w:jc w:val="center"/>
      </w:pPr>
      <w:r>
        <w:rPr>
          <w:sz w:val="20"/>
          <w:szCs w:val="20"/>
        </w:rPr>
        <w:t>Составил(а): техник-геолог — З.Д. Адилова. Проверил(а): руководитель ДЗЗ — Н.Ж. Дүйсенбай. Карта составлена по материалам отчёта о проведении ГДП-200 на площади листов М-42-XXV, M-42-XXXI (Жезказганский рудный район, 2006–2008 гг.), Антонюк Р.М.</w:t>
      </w:r>
    </w:p>
    <w:sectPr w:rsidR="008E608B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18C" w:rsidRDefault="00CC418C">
      <w:r>
        <w:separator/>
      </w:r>
    </w:p>
  </w:endnote>
  <w:endnote w:type="continuationSeparator" w:id="0">
    <w:p w:rsidR="00CC418C" w:rsidRDefault="00CC4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608B" w:rsidRDefault="00CC418C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DC3C98">
      <w:rPr>
        <w:sz w:val="20"/>
        <w:szCs w:val="20"/>
      </w:rPr>
      <w:fldChar w:fldCharType="separate"/>
    </w:r>
    <w:r w:rsidR="00DC3C9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18C" w:rsidRDefault="00CC418C">
      <w:r>
        <w:separator/>
      </w:r>
    </w:p>
  </w:footnote>
  <w:footnote w:type="continuationSeparator" w:id="0">
    <w:p w:rsidR="00CC418C" w:rsidRDefault="00CC4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608B" w:rsidRDefault="008E608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C36E7"/>
    <w:multiLevelType w:val="hybridMultilevel"/>
    <w:tmpl w:val="F1CCDD8A"/>
    <w:lvl w:ilvl="0" w:tplc="876EF3FA">
      <w:start w:val="1"/>
      <w:numFmt w:val="bullet"/>
      <w:lvlText w:val="●"/>
      <w:lvlJc w:val="left"/>
      <w:pPr>
        <w:ind w:left="720" w:hanging="360"/>
      </w:pPr>
    </w:lvl>
    <w:lvl w:ilvl="1" w:tplc="418CFBA4">
      <w:start w:val="1"/>
      <w:numFmt w:val="bullet"/>
      <w:lvlText w:val="○"/>
      <w:lvlJc w:val="left"/>
      <w:pPr>
        <w:ind w:left="1440" w:hanging="360"/>
      </w:pPr>
    </w:lvl>
    <w:lvl w:ilvl="2" w:tplc="69820A80">
      <w:start w:val="1"/>
      <w:numFmt w:val="bullet"/>
      <w:lvlText w:val="■"/>
      <w:lvlJc w:val="left"/>
      <w:pPr>
        <w:ind w:left="2160" w:hanging="360"/>
      </w:pPr>
    </w:lvl>
    <w:lvl w:ilvl="3" w:tplc="3F66B97C">
      <w:start w:val="1"/>
      <w:numFmt w:val="bullet"/>
      <w:lvlText w:val="●"/>
      <w:lvlJc w:val="left"/>
      <w:pPr>
        <w:ind w:left="2880" w:hanging="360"/>
      </w:pPr>
    </w:lvl>
    <w:lvl w:ilvl="4" w:tplc="62E8DE74">
      <w:start w:val="1"/>
      <w:numFmt w:val="bullet"/>
      <w:lvlText w:val="○"/>
      <w:lvlJc w:val="left"/>
      <w:pPr>
        <w:ind w:left="3600" w:hanging="360"/>
      </w:pPr>
    </w:lvl>
    <w:lvl w:ilvl="5" w:tplc="8C16BA28">
      <w:start w:val="1"/>
      <w:numFmt w:val="bullet"/>
      <w:lvlText w:val="■"/>
      <w:lvlJc w:val="left"/>
      <w:pPr>
        <w:ind w:left="4320" w:hanging="360"/>
      </w:pPr>
    </w:lvl>
    <w:lvl w:ilvl="6" w:tplc="07D86D98">
      <w:start w:val="1"/>
      <w:numFmt w:val="bullet"/>
      <w:lvlText w:val="●"/>
      <w:lvlJc w:val="left"/>
      <w:pPr>
        <w:ind w:left="5040" w:hanging="360"/>
      </w:pPr>
    </w:lvl>
    <w:lvl w:ilvl="7" w:tplc="C4543EF4">
      <w:start w:val="1"/>
      <w:numFmt w:val="bullet"/>
      <w:lvlText w:val="●"/>
      <w:lvlJc w:val="left"/>
      <w:pPr>
        <w:ind w:left="5760" w:hanging="360"/>
      </w:pPr>
    </w:lvl>
    <w:lvl w:ilvl="8" w:tplc="A8BA83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08B"/>
    <w:rsid w:val="008E608B"/>
    <w:rsid w:val="00CC418C"/>
    <w:rsid w:val="00DC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7F95A"/>
  <w15:docId w15:val="{15D8B6C4-02A5-41EF-9EBA-B66A3FBC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3944</Words>
  <Characters>22483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Дүйсенбай Нұрсұлтан Жұмабекұлы</cp:lastModifiedBy>
  <cp:revision>2</cp:revision>
  <dcterms:created xsi:type="dcterms:W3CDTF">2026-08-24T11:00:00Z</dcterms:created>
  <dcterms:modified xsi:type="dcterms:W3CDTF">2026-08-24T11:00:00Z</dcterms:modified>
</cp:coreProperties>
</file>