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rFonts w:ascii="黑体" w:hAnsi="黑体" w:eastAsia="黑体"/>
          <w:b/>
          <w:sz w:val="24"/>
        </w:rPr>
      </w:pPr>
      <w:r>
        <w:rPr>
          <w:rFonts w:hint="eastAsia" w:ascii="黑体" w:hAnsi="黑体" w:eastAsia="黑体"/>
          <w:b/>
          <w:sz w:val="24"/>
        </w:rPr>
        <w:t>计算分析题</w:t>
      </w:r>
    </w:p>
    <w:p>
      <w:pPr>
        <w:ind w:firstLine="475" w:firstLineChars="198"/>
        <w:rPr>
          <w:sz w:val="24"/>
        </w:rPr>
      </w:pPr>
      <w:r>
        <w:rPr>
          <w:rFonts w:hint="eastAsia"/>
          <w:sz w:val="24"/>
        </w:rPr>
        <w:t>根据给定的数据，上机操作进行分析。</w:t>
      </w:r>
    </w:p>
    <w:p>
      <w:pPr>
        <w:ind w:firstLine="475" w:firstLineChars="198"/>
        <w:rPr>
          <w:sz w:val="24"/>
        </w:rPr>
      </w:pPr>
      <w:r>
        <w:rPr>
          <w:rFonts w:hint="eastAsia"/>
          <w:sz w:val="24"/>
        </w:rPr>
        <w:t>1、</w:t>
      </w:r>
      <w:r>
        <w:rPr>
          <w:rFonts w:hint="eastAsia" w:ascii="黑体" w:hAnsi="黑体" w:eastAsia="黑体"/>
          <w:b/>
          <w:sz w:val="24"/>
        </w:rPr>
        <w:t>数据：</w:t>
      </w:r>
      <w:r>
        <w:rPr>
          <w:rFonts w:hint="eastAsia"/>
          <w:sz w:val="24"/>
        </w:rPr>
        <w:t xml:space="preserve"> SAS数据集</w:t>
      </w:r>
      <w:r>
        <w:rPr>
          <w:sz w:val="24"/>
        </w:rPr>
        <w:t>a</w:t>
      </w:r>
    </w:p>
    <w:p>
      <w:pPr>
        <w:ind w:firstLine="475" w:firstLineChars="198"/>
        <w:rPr>
          <w:sz w:val="24"/>
        </w:rPr>
      </w:pPr>
      <w:r>
        <w:rPr>
          <w:rFonts w:hint="eastAsia"/>
          <w:sz w:val="24"/>
        </w:rPr>
        <w:t>反映我国3</w:t>
      </w:r>
      <w:r>
        <w:rPr>
          <w:sz w:val="24"/>
        </w:rPr>
        <w:t>1</w:t>
      </w:r>
      <w:r>
        <w:rPr>
          <w:rFonts w:hint="eastAsia"/>
          <w:sz w:val="24"/>
        </w:rPr>
        <w:t>个地区全域旅游发展的12项指标，请运用</w:t>
      </w:r>
      <w:r>
        <w:rPr>
          <w:rFonts w:hint="eastAsia"/>
          <w:b/>
          <w:sz w:val="24"/>
        </w:rPr>
        <w:t>主成分分析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因子分析</w:t>
      </w:r>
      <w:r>
        <w:rPr>
          <w:rFonts w:hint="eastAsia"/>
          <w:sz w:val="24"/>
        </w:rPr>
        <w:t>方法对3</w:t>
      </w:r>
      <w:r>
        <w:rPr>
          <w:sz w:val="24"/>
        </w:rPr>
        <w:t>1</w:t>
      </w:r>
      <w:r>
        <w:rPr>
          <w:rFonts w:hint="eastAsia"/>
          <w:sz w:val="24"/>
        </w:rPr>
        <w:t>个地区全域旅游发展状况进行分析评价。要求：</w:t>
      </w:r>
    </w:p>
    <w:p>
      <w:pPr>
        <w:numPr>
          <w:ilvl w:val="0"/>
          <w:numId w:val="1"/>
        </w:numPr>
        <w:tabs>
          <w:tab w:val="left" w:pos="993"/>
          <w:tab w:val="left" w:pos="1134"/>
        </w:tabs>
        <w:ind w:left="0" w:firstLine="475" w:firstLineChars="198"/>
        <w:rPr>
          <w:sz w:val="24"/>
        </w:rPr>
      </w:pPr>
      <w:r>
        <w:rPr>
          <w:rFonts w:hint="eastAsia"/>
          <w:sz w:val="24"/>
        </w:rPr>
        <w:t>为综合分析3</w:t>
      </w:r>
      <w:r>
        <w:rPr>
          <w:sz w:val="24"/>
        </w:rPr>
        <w:t>1</w:t>
      </w:r>
      <w:r>
        <w:rPr>
          <w:rFonts w:hint="eastAsia"/>
          <w:sz w:val="24"/>
        </w:rPr>
        <w:t>个地区的全域旅游发展状况，是否适合采用主成分分析法？请解释你认为需要保留的各主成分的含义。</w:t>
      </w:r>
    </w:p>
    <w:p>
      <w:pPr>
        <w:numPr>
          <w:ilvl w:val="0"/>
          <w:numId w:val="1"/>
        </w:numPr>
        <w:tabs>
          <w:tab w:val="left" w:pos="993"/>
          <w:tab w:val="left" w:pos="1134"/>
        </w:tabs>
        <w:ind w:left="0" w:firstLine="475" w:firstLineChars="198"/>
        <w:rPr>
          <w:sz w:val="24"/>
        </w:rPr>
      </w:pPr>
      <w:r>
        <w:rPr>
          <w:rFonts w:hint="eastAsia"/>
          <w:sz w:val="24"/>
        </w:rPr>
        <w:t>若要综合反映全域旅游发展状况，保留几个主成分比较合适，为什么？</w:t>
      </w:r>
    </w:p>
    <w:p>
      <w:pPr>
        <w:numPr>
          <w:ilvl w:val="0"/>
          <w:numId w:val="1"/>
        </w:numPr>
        <w:tabs>
          <w:tab w:val="left" w:pos="993"/>
          <w:tab w:val="left" w:pos="1134"/>
        </w:tabs>
        <w:ind w:left="0" w:firstLine="475" w:firstLineChars="198"/>
        <w:rPr>
          <w:sz w:val="24"/>
        </w:rPr>
      </w:pPr>
      <w:r>
        <w:rPr>
          <w:rFonts w:hint="eastAsia"/>
          <w:sz w:val="24"/>
        </w:rPr>
        <w:t>选择合适的</w:t>
      </w:r>
      <w:r>
        <w:rPr>
          <w:sz w:val="24"/>
        </w:rPr>
        <w:t>旋转</w:t>
      </w:r>
      <w:r>
        <w:rPr>
          <w:rFonts w:hint="eastAsia"/>
          <w:sz w:val="24"/>
        </w:rPr>
        <w:t>方法，选取合适个数的公共因子，根据旋转后的因子载荷矩阵解释各公共因子的含义；</w:t>
      </w:r>
    </w:p>
    <w:p>
      <w:pPr>
        <w:numPr>
          <w:ilvl w:val="0"/>
          <w:numId w:val="1"/>
        </w:numPr>
        <w:tabs>
          <w:tab w:val="left" w:pos="1134"/>
        </w:tabs>
        <w:ind w:left="0" w:firstLine="475" w:firstLineChars="198"/>
        <w:rPr>
          <w:sz w:val="24"/>
        </w:rPr>
      </w:pPr>
      <w:r>
        <w:rPr>
          <w:rFonts w:hint="eastAsia"/>
          <w:sz w:val="24"/>
        </w:rPr>
        <w:t>计算各公共因子得分，依据因子得分对3</w:t>
      </w:r>
      <w:r>
        <w:rPr>
          <w:sz w:val="24"/>
        </w:rPr>
        <w:t>1</w:t>
      </w:r>
      <w:r>
        <w:rPr>
          <w:rFonts w:hint="eastAsia"/>
          <w:sz w:val="24"/>
        </w:rPr>
        <w:t>个地区的全域旅游发展状况进行分析评价；</w:t>
      </w:r>
    </w:p>
    <w:p>
      <w:pPr>
        <w:numPr>
          <w:ilvl w:val="0"/>
          <w:numId w:val="1"/>
        </w:numPr>
        <w:tabs>
          <w:tab w:val="left" w:pos="1134"/>
        </w:tabs>
        <w:ind w:left="0" w:firstLine="475" w:firstLineChars="198"/>
        <w:rPr>
          <w:sz w:val="24"/>
        </w:rPr>
      </w:pPr>
      <w:r>
        <w:rPr>
          <w:rFonts w:hint="eastAsia"/>
          <w:sz w:val="24"/>
        </w:rPr>
        <w:t>构建综合评价函数，对3</w:t>
      </w:r>
      <w:r>
        <w:rPr>
          <w:sz w:val="24"/>
        </w:rPr>
        <w:t>1</w:t>
      </w:r>
      <w:r>
        <w:rPr>
          <w:rFonts w:hint="eastAsia"/>
          <w:sz w:val="24"/>
        </w:rPr>
        <w:t>个地区的全域旅游发展状况进行综合分析，并排序比较。</w:t>
      </w:r>
    </w:p>
    <w:p>
      <w:pPr>
        <w:numPr>
          <w:ilvl w:val="0"/>
          <w:numId w:val="1"/>
        </w:numPr>
        <w:tabs>
          <w:tab w:val="left" w:pos="1134"/>
        </w:tabs>
        <w:ind w:left="0" w:firstLine="475" w:firstLineChars="198"/>
        <w:rPr>
          <w:sz w:val="24"/>
        </w:rPr>
      </w:pPr>
      <w:r>
        <w:rPr>
          <w:rFonts w:hint="eastAsia"/>
          <w:sz w:val="24"/>
        </w:rPr>
        <w:t>按照全域旅游发展状况，对3</w:t>
      </w:r>
      <w:r>
        <w:rPr>
          <w:sz w:val="24"/>
        </w:rPr>
        <w:t>1</w:t>
      </w:r>
      <w:r>
        <w:rPr>
          <w:rFonts w:hint="eastAsia"/>
          <w:sz w:val="24"/>
        </w:rPr>
        <w:t>个地区进行分类。</w:t>
      </w:r>
    </w:p>
    <w:p>
      <w:pPr>
        <w:ind w:firstLine="477" w:firstLineChars="198"/>
        <w:rPr>
          <w:rFonts w:hint="eastAsia" w:ascii="黑体" w:hAnsi="黑体" w:eastAsia="黑体"/>
          <w:b/>
          <w:sz w:val="24"/>
        </w:rPr>
      </w:pPr>
    </w:p>
    <w:p>
      <w:pPr>
        <w:ind w:firstLine="477" w:firstLineChars="198"/>
        <w:rPr>
          <w:sz w:val="24"/>
        </w:rPr>
      </w:pPr>
      <w:r>
        <w:rPr>
          <w:rFonts w:hint="eastAsia" w:ascii="黑体" w:hAnsi="黑体" w:eastAsia="黑体"/>
          <w:b/>
          <w:sz w:val="24"/>
        </w:rPr>
        <w:t>12项指标的具体含义如下：</w:t>
      </w:r>
      <w:r>
        <w:rPr>
          <w:rFonts w:hint="eastAsia"/>
          <w:sz w:val="24"/>
        </w:rPr>
        <w:t xml:space="preserve"> </w:t>
      </w:r>
    </w:p>
    <w:tbl>
      <w:tblPr>
        <w:tblStyle w:val="5"/>
        <w:tblW w:w="0" w:type="auto"/>
        <w:jc w:val="center"/>
        <w:tblCellSpacing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76"/>
        <w:gridCol w:w="438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X1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  国际旅游外汇收入(百万美元)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X2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  接待国际游客(百万人次)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X3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    评</w:t>
            </w:r>
            <w:r>
              <w:rPr>
                <w:rFonts w:ascii="Arial" w:hAnsi="Arial" w:cs="Arial"/>
                <w:szCs w:val="21"/>
              </w:rPr>
              <w:t>A</w:t>
            </w:r>
            <w:r>
              <w:rPr>
                <w:rFonts w:hint="eastAsia" w:ascii="宋体" w:hAnsi="宋体" w:cs="宋体"/>
                <w:szCs w:val="21"/>
              </w:rPr>
              <w:t>的旅游景区（点）数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X4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  旅行社数量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X5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  旅行社营业收入（千元）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X6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旅行社接待人次数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X7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互联网普及率(%)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X8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交通运输全社会固定资产投资百分比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X9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公共交通和出租运营数（辆）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X10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交通运营线路长度（公里）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X11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旅客周转量（亿人公里）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0" w:type="auto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kern w:val="0"/>
                <w:szCs w:val="21"/>
              </w:rPr>
              <w:t>X12</w:t>
            </w:r>
          </w:p>
        </w:tc>
        <w:tc>
          <w:tcPr>
            <w:tcW w:w="4364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主要交通运输就业人数（铁路、公路、水上、航空）（人）</w:t>
            </w:r>
          </w:p>
        </w:tc>
      </w:tr>
    </w:tbl>
    <w:p>
      <w:pPr>
        <w:ind w:firstLine="477" w:firstLineChars="198"/>
        <w:rPr>
          <w:sz w:val="24"/>
        </w:rPr>
      </w:pPr>
      <w:r>
        <w:rPr>
          <w:rFonts w:hint="eastAsia" w:ascii="黑体" w:hAnsi="黑体" w:eastAsia="黑体"/>
          <w:b/>
          <w:sz w:val="24"/>
        </w:rPr>
        <w:t>2、数据：</w:t>
      </w:r>
      <w:r>
        <w:rPr>
          <w:rFonts w:hint="eastAsia"/>
          <w:sz w:val="24"/>
        </w:rPr>
        <w:t xml:space="preserve"> SAS数据集</w:t>
      </w:r>
      <w:r>
        <w:rPr>
          <w:sz w:val="24"/>
        </w:rPr>
        <w:t>b</w:t>
      </w:r>
    </w:p>
    <w:p>
      <w:pPr>
        <w:ind w:firstLine="475" w:firstLineChars="198"/>
        <w:rPr>
          <w:sz w:val="24"/>
        </w:rPr>
      </w:pPr>
      <w:r>
        <w:rPr>
          <w:rFonts w:hint="eastAsia"/>
          <w:sz w:val="24"/>
        </w:rPr>
        <w:t>反映我国3</w:t>
      </w:r>
      <w:r>
        <w:rPr>
          <w:sz w:val="24"/>
        </w:rPr>
        <w:t>1</w:t>
      </w:r>
      <w:r>
        <w:rPr>
          <w:rFonts w:hint="eastAsia"/>
          <w:sz w:val="24"/>
        </w:rPr>
        <w:t>个地区全域旅游发展的5项指标，X1-X</w:t>
      </w:r>
      <w:r>
        <w:rPr>
          <w:sz w:val="24"/>
        </w:rPr>
        <w:t>2</w:t>
      </w:r>
      <w:r>
        <w:rPr>
          <w:rFonts w:hint="eastAsia"/>
          <w:sz w:val="24"/>
        </w:rPr>
        <w:t>反映国际旅游发展，Y1-Y3反映城市建设状况，运用</w:t>
      </w:r>
      <w:r>
        <w:rPr>
          <w:rFonts w:hint="eastAsia"/>
          <w:b/>
          <w:sz w:val="24"/>
        </w:rPr>
        <w:t>典型相关分析</w:t>
      </w:r>
      <w:r>
        <w:rPr>
          <w:rFonts w:hint="eastAsia"/>
          <w:sz w:val="24"/>
        </w:rPr>
        <w:t>对3</w:t>
      </w:r>
      <w:r>
        <w:rPr>
          <w:sz w:val="24"/>
        </w:rPr>
        <w:t>1</w:t>
      </w:r>
      <w:r>
        <w:rPr>
          <w:rFonts w:hint="eastAsia"/>
          <w:sz w:val="24"/>
        </w:rPr>
        <w:t>个地区国际旅游发展和城市建设状况的关系进行分析。要求：</w:t>
      </w:r>
    </w:p>
    <w:p>
      <w:pPr>
        <w:numPr>
          <w:ilvl w:val="0"/>
          <w:numId w:val="2"/>
        </w:numPr>
        <w:ind w:left="0" w:firstLine="475" w:firstLineChars="198"/>
        <w:rPr>
          <w:sz w:val="24"/>
        </w:rPr>
      </w:pPr>
      <w:r>
        <w:rPr>
          <w:rFonts w:hint="eastAsia"/>
          <w:sz w:val="24"/>
        </w:rPr>
        <w:t>选择合适个数的典型相关系数</w:t>
      </w:r>
      <w:bookmarkStart w:id="0" w:name="_GoBack"/>
      <w:bookmarkEnd w:id="0"/>
      <w:r>
        <w:rPr>
          <w:rFonts w:hint="eastAsia"/>
          <w:sz w:val="24"/>
        </w:rPr>
        <w:t>，并说明理由；</w:t>
      </w:r>
    </w:p>
    <w:p>
      <w:pPr>
        <w:numPr>
          <w:ilvl w:val="0"/>
          <w:numId w:val="2"/>
        </w:numPr>
        <w:ind w:left="0" w:firstLine="475" w:firstLineChars="198"/>
        <w:rPr>
          <w:sz w:val="24"/>
        </w:rPr>
      </w:pPr>
      <w:r>
        <w:rPr>
          <w:rFonts w:hint="eastAsia"/>
          <w:sz w:val="24"/>
        </w:rPr>
        <w:t>写出典型变量的表达式；</w:t>
      </w:r>
    </w:p>
    <w:p>
      <w:pPr>
        <w:numPr>
          <w:ilvl w:val="0"/>
          <w:numId w:val="2"/>
        </w:numPr>
        <w:ind w:left="0" w:firstLine="475" w:firstLineChars="198"/>
        <w:rPr>
          <w:sz w:val="24"/>
        </w:rPr>
      </w:pPr>
      <w:r>
        <w:rPr>
          <w:rFonts w:hint="eastAsia"/>
          <w:sz w:val="24"/>
        </w:rPr>
        <w:t>解释典型变量的含义，并解释相应的典型相关系数的实际含义；</w:t>
      </w:r>
    </w:p>
    <w:p>
      <w:pPr>
        <w:numPr>
          <w:ilvl w:val="0"/>
          <w:numId w:val="2"/>
        </w:numPr>
        <w:ind w:left="0" w:firstLine="475" w:firstLineChars="198"/>
        <w:rPr>
          <w:sz w:val="24"/>
        </w:rPr>
      </w:pPr>
      <w:r>
        <w:rPr>
          <w:rFonts w:hint="eastAsia"/>
          <w:sz w:val="24"/>
        </w:rPr>
        <w:t>进行典型冗余分析。</w:t>
      </w:r>
    </w:p>
    <w:tbl>
      <w:tblPr>
        <w:tblStyle w:val="5"/>
        <w:tblW w:w="8601" w:type="dxa"/>
        <w:jc w:val="center"/>
        <w:tblCellSpacing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shd w:val="clear" w:color="auto" w:fill="F0F0F0"/>
        <w:tblLayout w:type="autofit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554"/>
        <w:gridCol w:w="3492"/>
        <w:gridCol w:w="851"/>
        <w:gridCol w:w="370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0F0F0"/>
        </w:tblPrEx>
        <w:trPr>
          <w:tblCellSpacing w:w="7" w:type="dxa"/>
          <w:jc w:val="center"/>
        </w:trPr>
        <w:tc>
          <w:tcPr>
            <w:tcW w:w="533" w:type="dxa"/>
            <w:tcBorders>
              <w:top w:val="outset" w:color="auto" w:sz="6" w:space="0"/>
              <w:left w:val="nil"/>
              <w:bottom w:val="outset" w:color="auto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2288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2288"/>
                <w:kern w:val="0"/>
                <w:sz w:val="24"/>
              </w:rPr>
              <w:t>X1</w:t>
            </w:r>
          </w:p>
        </w:tc>
        <w:tc>
          <w:tcPr>
            <w:tcW w:w="34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left="-42" w:leftChars="-152" w:hanging="277" w:hangingChars="132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  国际旅游外汇收入(百万美元)</w:t>
            </w:r>
          </w:p>
        </w:tc>
        <w:tc>
          <w:tcPr>
            <w:tcW w:w="8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2288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2288"/>
                <w:kern w:val="0"/>
                <w:sz w:val="24"/>
              </w:rPr>
              <w:t>Y1</w:t>
            </w:r>
          </w:p>
        </w:tc>
        <w:tc>
          <w:tcPr>
            <w:tcW w:w="3683" w:type="dxa"/>
            <w:tcBorders>
              <w:top w:val="outset" w:color="auto" w:sz="6" w:space="0"/>
              <w:left w:val="single" w:color="auto" w:sz="6" w:space="0"/>
              <w:bottom w:val="outset" w:color="auto" w:sz="6" w:space="0"/>
              <w:right w:val="nil"/>
            </w:tcBorders>
            <w:shd w:val="clear" w:color="auto" w:fill="F0F0F0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互联网普及率(%)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0F0F0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533" w:type="dxa"/>
            <w:tcBorders>
              <w:top w:val="outset" w:color="000000" w:sz="6" w:space="0"/>
              <w:left w:val="nil"/>
              <w:bottom w:val="outset" w:color="auto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2288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2288"/>
                <w:kern w:val="0"/>
                <w:sz w:val="24"/>
              </w:rPr>
              <w:t>X2</w:t>
            </w:r>
          </w:p>
        </w:tc>
        <w:tc>
          <w:tcPr>
            <w:tcW w:w="3478" w:type="dxa"/>
            <w:tcBorders>
              <w:top w:val="outset" w:color="000000" w:sz="6" w:space="0"/>
              <w:left w:val="outset" w:color="auto" w:sz="6" w:space="0"/>
              <w:bottom w:val="outset" w:color="auto" w:sz="6" w:space="0"/>
              <w:right w:val="outset" w:color="000000" w:sz="6" w:space="0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left="-42" w:leftChars="-152" w:hanging="277" w:hangingChars="132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 xml:space="preserve">     接待国际游客(百万人次)</w:t>
            </w:r>
          </w:p>
        </w:tc>
        <w:tc>
          <w:tcPr>
            <w:tcW w:w="837" w:type="dxa"/>
            <w:tcBorders>
              <w:top w:val="outset" w:color="000000" w:sz="6" w:space="0"/>
              <w:left w:val="outset" w:color="000000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2288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2288"/>
                <w:kern w:val="0"/>
                <w:sz w:val="24"/>
              </w:rPr>
              <w:t>Y2</w:t>
            </w:r>
          </w:p>
        </w:tc>
        <w:tc>
          <w:tcPr>
            <w:tcW w:w="3683" w:type="dxa"/>
            <w:tcBorders>
              <w:top w:val="outset" w:color="000000" w:sz="6" w:space="0"/>
              <w:left w:val="outset" w:color="000000" w:sz="6" w:space="0"/>
              <w:bottom w:val="outset" w:color="auto" w:sz="6" w:space="0"/>
              <w:right w:val="nil"/>
            </w:tcBorders>
            <w:shd w:val="clear" w:color="auto" w:fill="F0F0F0"/>
            <w:vAlign w:val="center"/>
          </w:tcPr>
          <w:p>
            <w:pPr>
              <w:pStyle w:val="9"/>
              <w:widowControl w:val="0"/>
              <w:ind w:firstLine="0" w:firstLineChars="0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交通运输全社会固定资产投资百分比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shd w:val="clear" w:color="auto" w:fill="F0F0F0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7" w:type="dxa"/>
          <w:jc w:val="center"/>
        </w:trPr>
        <w:tc>
          <w:tcPr>
            <w:tcW w:w="533" w:type="dxa"/>
            <w:tcBorders>
              <w:top w:val="outset" w:color="000000" w:sz="6" w:space="0"/>
              <w:left w:val="nil"/>
              <w:bottom w:val="outset" w:color="auto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2288"/>
                <w:kern w:val="0"/>
                <w:sz w:val="24"/>
              </w:rPr>
            </w:pPr>
          </w:p>
        </w:tc>
        <w:tc>
          <w:tcPr>
            <w:tcW w:w="3478" w:type="dxa"/>
            <w:tcBorders>
              <w:top w:val="outset" w:color="000000" w:sz="6" w:space="0"/>
              <w:left w:val="outset" w:color="auto" w:sz="6" w:space="0"/>
              <w:bottom w:val="outset" w:color="auto" w:sz="6" w:space="0"/>
              <w:right w:val="outset" w:color="000000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</w:p>
        </w:tc>
        <w:tc>
          <w:tcPr>
            <w:tcW w:w="837" w:type="dxa"/>
            <w:tcBorders>
              <w:top w:val="outset" w:color="000000" w:sz="6" w:space="0"/>
              <w:left w:val="outset" w:color="000000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</w:tcPr>
          <w:p>
            <w:pPr>
              <w:widowControl/>
              <w:jc w:val="left"/>
              <w:rPr>
                <w:rFonts w:ascii="黑体" w:hAnsi="黑体" w:eastAsia="黑体" w:cs="宋体"/>
                <w:b/>
                <w:bCs/>
                <w:color w:val="002288"/>
                <w:kern w:val="0"/>
                <w:sz w:val="24"/>
              </w:rPr>
            </w:pPr>
            <w:r>
              <w:rPr>
                <w:rFonts w:hint="eastAsia" w:ascii="黑体" w:hAnsi="黑体" w:eastAsia="黑体" w:cs="宋体"/>
                <w:b/>
                <w:bCs/>
                <w:color w:val="002288"/>
                <w:kern w:val="0"/>
                <w:sz w:val="24"/>
              </w:rPr>
              <w:t>Y3</w:t>
            </w:r>
          </w:p>
        </w:tc>
        <w:tc>
          <w:tcPr>
            <w:tcW w:w="3683" w:type="dxa"/>
            <w:tcBorders>
              <w:top w:val="outset" w:color="000000" w:sz="6" w:space="0"/>
              <w:left w:val="outset" w:color="000000" w:sz="6" w:space="0"/>
              <w:bottom w:val="outset" w:color="auto" w:sz="6" w:space="0"/>
              <w:right w:val="nil"/>
            </w:tcBorders>
            <w:shd w:val="clear" w:color="auto" w:fill="F0F0F0"/>
          </w:tcPr>
          <w:p>
            <w:pPr>
              <w:widowControl/>
              <w:jc w:val="left"/>
              <w:rPr>
                <w:rFonts w:ascii="宋体" w:hAnsi="宋体" w:cs="宋体"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公共交通和出租运营数（辆）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shd w:val="clear" w:color="auto" w:fill="FFFFFF"/>
        </w:rPr>
      </w:pPr>
    </w:p>
    <w:p>
      <w:pPr>
        <w:ind w:firstLine="475" w:firstLineChars="198"/>
        <w:rPr>
          <w:sz w:val="24"/>
        </w:rPr>
      </w:pPr>
    </w:p>
    <w:sectPr>
      <w:headerReference r:id="rId3" w:type="first"/>
      <w:footerReference r:id="rId5" w:type="first"/>
      <w:footerReference r:id="rId4" w:type="default"/>
      <w:type w:val="continuous"/>
      <w:pgSz w:w="11000" w:h="15309"/>
      <w:pgMar w:top="1440" w:right="1134" w:bottom="873" w:left="1134" w:header="851" w:footer="851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YingHei_18030_C-Medium">
    <w:panose1 w:val="020A0304000101010101"/>
    <w:charset w:val="86"/>
    <w:family w:val="roman"/>
    <w:pitch w:val="default"/>
    <w:sig w:usb0="800002BF" w:usb1="38EF7CFA" w:usb2="0000001E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宋体" w:hAnsi="宋体"/>
      </w:rPr>
    </w:pPr>
    <w:r>
      <w:rPr>
        <w:rFonts w:ascii="宋体" w:hAnsi="宋体"/>
        <w:lang w:val="zh-CN"/>
      </w:rPr>
      <w:t xml:space="preserve"> </w:t>
    </w:r>
    <w:r>
      <w:rPr>
        <w:rFonts w:hint="eastAsia" w:ascii="宋体" w:hAnsi="宋体"/>
        <w:lang w:val="zh-CN"/>
      </w:rPr>
      <w:t>第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 xml:space="preserve">PAGE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2</w:t>
    </w:r>
    <w:r>
      <w:rPr>
        <w:rFonts w:ascii="宋体" w:hAnsi="宋体"/>
        <w:bCs/>
      </w:rPr>
      <w:fldChar w:fldCharType="end"/>
    </w:r>
    <w:r>
      <w:rPr>
        <w:rFonts w:hint="eastAsia" w:ascii="宋体" w:hAnsi="宋体"/>
        <w:bCs/>
      </w:rPr>
      <w:t xml:space="preserve"> 页 共</w:t>
    </w:r>
    <w:r>
      <w:rPr>
        <w:rFonts w:ascii="宋体" w:hAnsi="宋体"/>
        <w:bCs/>
      </w:rPr>
      <w:fldChar w:fldCharType="begin"/>
    </w:r>
    <w:r>
      <w:rPr>
        <w:rFonts w:ascii="宋体" w:hAnsi="宋体"/>
        <w:bCs/>
      </w:rPr>
      <w:instrText xml:space="preserve">NUMPAGES</w:instrText>
    </w:r>
    <w:r>
      <w:rPr>
        <w:rFonts w:ascii="宋体" w:hAnsi="宋体"/>
        <w:bCs/>
      </w:rPr>
      <w:fldChar w:fldCharType="separate"/>
    </w:r>
    <w:r>
      <w:rPr>
        <w:rFonts w:ascii="宋体" w:hAnsi="宋体"/>
        <w:bCs/>
      </w:rPr>
      <w:t>11</w:t>
    </w:r>
    <w:r>
      <w:rPr>
        <w:rFonts w:ascii="宋体" w:hAnsi="宋体"/>
        <w:bCs/>
      </w:rPr>
      <w:fldChar w:fldCharType="end"/>
    </w:r>
    <w:r>
      <w:rPr>
        <w:rFonts w:hint="eastAsia" w:ascii="宋体" w:hAnsi="宋体"/>
        <w:bCs/>
      </w:rPr>
      <w:t xml:space="preserve"> 页</w:t>
    </w:r>
  </w:p>
  <w:p>
    <w:pPr>
      <w:pStyle w:val="3"/>
      <w:jc w:val="center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Cs/>
      </w:rPr>
      <w:fldChar w:fldCharType="begin"/>
    </w:r>
    <w:r>
      <w:rPr>
        <w:bCs/>
      </w:rPr>
      <w:instrText xml:space="preserve">PAGE</w:instrText>
    </w:r>
    <w:r>
      <w:rPr>
        <w:bCs/>
      </w:rPr>
      <w:fldChar w:fldCharType="separate"/>
    </w:r>
    <w:r>
      <w:rPr>
        <w:bCs/>
      </w:rPr>
      <w:t>1</w:t>
    </w:r>
    <w:r>
      <w:rPr>
        <w:bCs/>
      </w:rPr>
      <w:fldChar w:fldCharType="end"/>
    </w:r>
    <w:r>
      <w:rPr>
        <w:rFonts w:hint="eastAsia"/>
        <w:bCs/>
      </w:rPr>
      <w:t xml:space="preserve"> 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Cs/>
      </w:rPr>
      <w:fldChar w:fldCharType="begin"/>
    </w:r>
    <w:r>
      <w:rPr>
        <w:bCs/>
      </w:rPr>
      <w:instrText xml:space="preserve">NUMPAGES</w:instrText>
    </w:r>
    <w:r>
      <w:rPr>
        <w:bCs/>
      </w:rPr>
      <w:fldChar w:fldCharType="separate"/>
    </w:r>
    <w:r>
      <w:rPr>
        <w:bCs/>
      </w:rPr>
      <w:t>11</w:t>
    </w:r>
    <w:r>
      <w:rPr>
        <w:bCs/>
      </w:rPr>
      <w:fldChar w:fldCharType="end"/>
    </w:r>
    <w:r>
      <w:rPr>
        <w:rFonts w:hint="eastAsia"/>
        <w:bCs/>
      </w:rPr>
      <w:t xml:space="preserve"> 页</w:t>
    </w:r>
  </w:p>
  <w:p>
    <w:pPr>
      <w:pStyle w:val="3"/>
      <w:jc w:val="center"/>
      <w:rPr>
        <w:sz w:val="21"/>
        <w:szCs w:val="21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  <w:rPr>
        <w:rFonts w:hint="eastAsia"/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93E55"/>
    <w:multiLevelType w:val="multilevel"/>
    <w:tmpl w:val="1F693E55"/>
    <w:lvl w:ilvl="0" w:tentative="0">
      <w:start w:val="1"/>
      <w:numFmt w:val="decimal"/>
      <w:lvlText w:val="（%1）"/>
      <w:lvlJc w:val="left"/>
      <w:pPr>
        <w:ind w:left="4831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76421EE8"/>
    <w:multiLevelType w:val="multilevel"/>
    <w:tmpl w:val="76421EE8"/>
    <w:lvl w:ilvl="0" w:tentative="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2969"/>
    <w:rsid w:val="00000415"/>
    <w:rsid w:val="00003331"/>
    <w:rsid w:val="00037D14"/>
    <w:rsid w:val="0004160A"/>
    <w:rsid w:val="00044451"/>
    <w:rsid w:val="000554B3"/>
    <w:rsid w:val="00070F4E"/>
    <w:rsid w:val="00092833"/>
    <w:rsid w:val="000A5693"/>
    <w:rsid w:val="000E57C0"/>
    <w:rsid w:val="000E6D47"/>
    <w:rsid w:val="00114777"/>
    <w:rsid w:val="00133D81"/>
    <w:rsid w:val="001460C6"/>
    <w:rsid w:val="00163225"/>
    <w:rsid w:val="0016625C"/>
    <w:rsid w:val="00174DB7"/>
    <w:rsid w:val="0018591E"/>
    <w:rsid w:val="00186668"/>
    <w:rsid w:val="001A77F9"/>
    <w:rsid w:val="001B0C5A"/>
    <w:rsid w:val="001C7FCC"/>
    <w:rsid w:val="001E5581"/>
    <w:rsid w:val="00213FA8"/>
    <w:rsid w:val="00231D1B"/>
    <w:rsid w:val="00236BF4"/>
    <w:rsid w:val="00255F2D"/>
    <w:rsid w:val="0026170E"/>
    <w:rsid w:val="00272974"/>
    <w:rsid w:val="00292BCF"/>
    <w:rsid w:val="002944C8"/>
    <w:rsid w:val="002D11DD"/>
    <w:rsid w:val="002F3117"/>
    <w:rsid w:val="00311062"/>
    <w:rsid w:val="00327C83"/>
    <w:rsid w:val="00340FFB"/>
    <w:rsid w:val="00351C68"/>
    <w:rsid w:val="00353264"/>
    <w:rsid w:val="00374441"/>
    <w:rsid w:val="00377CBF"/>
    <w:rsid w:val="00394928"/>
    <w:rsid w:val="003B1FC7"/>
    <w:rsid w:val="003D216B"/>
    <w:rsid w:val="003D2ECF"/>
    <w:rsid w:val="003D65CA"/>
    <w:rsid w:val="00401B5E"/>
    <w:rsid w:val="00403329"/>
    <w:rsid w:val="00432B69"/>
    <w:rsid w:val="004430DF"/>
    <w:rsid w:val="004647A8"/>
    <w:rsid w:val="00477784"/>
    <w:rsid w:val="00486749"/>
    <w:rsid w:val="00497A59"/>
    <w:rsid w:val="004B2EDC"/>
    <w:rsid w:val="004C29D7"/>
    <w:rsid w:val="004E3108"/>
    <w:rsid w:val="005073E4"/>
    <w:rsid w:val="00511889"/>
    <w:rsid w:val="0054119E"/>
    <w:rsid w:val="00551628"/>
    <w:rsid w:val="00585CF2"/>
    <w:rsid w:val="00591C55"/>
    <w:rsid w:val="005C6565"/>
    <w:rsid w:val="005D4F58"/>
    <w:rsid w:val="005E2899"/>
    <w:rsid w:val="005F7081"/>
    <w:rsid w:val="006243C1"/>
    <w:rsid w:val="00640233"/>
    <w:rsid w:val="00656C80"/>
    <w:rsid w:val="00693F36"/>
    <w:rsid w:val="006A7ABA"/>
    <w:rsid w:val="006D0610"/>
    <w:rsid w:val="006D201A"/>
    <w:rsid w:val="006D7172"/>
    <w:rsid w:val="00725D56"/>
    <w:rsid w:val="00784E63"/>
    <w:rsid w:val="00791C2B"/>
    <w:rsid w:val="007B7603"/>
    <w:rsid w:val="007C6215"/>
    <w:rsid w:val="007E2EDD"/>
    <w:rsid w:val="007E3CE5"/>
    <w:rsid w:val="0080092D"/>
    <w:rsid w:val="008108A5"/>
    <w:rsid w:val="0081463C"/>
    <w:rsid w:val="00822760"/>
    <w:rsid w:val="00837A60"/>
    <w:rsid w:val="00846F1C"/>
    <w:rsid w:val="00852005"/>
    <w:rsid w:val="00855777"/>
    <w:rsid w:val="00873F63"/>
    <w:rsid w:val="00897790"/>
    <w:rsid w:val="008B5C90"/>
    <w:rsid w:val="008E54C6"/>
    <w:rsid w:val="008F7BE1"/>
    <w:rsid w:val="00955E1C"/>
    <w:rsid w:val="00970077"/>
    <w:rsid w:val="00970ABA"/>
    <w:rsid w:val="00987699"/>
    <w:rsid w:val="009C6A8A"/>
    <w:rsid w:val="00A226F9"/>
    <w:rsid w:val="00A707D8"/>
    <w:rsid w:val="00A71543"/>
    <w:rsid w:val="00A80BDE"/>
    <w:rsid w:val="00AB5357"/>
    <w:rsid w:val="00AC2005"/>
    <w:rsid w:val="00B04183"/>
    <w:rsid w:val="00B152BC"/>
    <w:rsid w:val="00B2445B"/>
    <w:rsid w:val="00B42969"/>
    <w:rsid w:val="00B51059"/>
    <w:rsid w:val="00B57337"/>
    <w:rsid w:val="00B73687"/>
    <w:rsid w:val="00B93078"/>
    <w:rsid w:val="00BA6841"/>
    <w:rsid w:val="00BD1E31"/>
    <w:rsid w:val="00BE5FF9"/>
    <w:rsid w:val="00BE697E"/>
    <w:rsid w:val="00BF61F2"/>
    <w:rsid w:val="00BF701E"/>
    <w:rsid w:val="00C02976"/>
    <w:rsid w:val="00C06766"/>
    <w:rsid w:val="00C360AA"/>
    <w:rsid w:val="00C37E96"/>
    <w:rsid w:val="00C41A0B"/>
    <w:rsid w:val="00C60454"/>
    <w:rsid w:val="00C627D8"/>
    <w:rsid w:val="00C639E9"/>
    <w:rsid w:val="00C81DD5"/>
    <w:rsid w:val="00C934B0"/>
    <w:rsid w:val="00CB5C68"/>
    <w:rsid w:val="00CF6E5A"/>
    <w:rsid w:val="00D06D8E"/>
    <w:rsid w:val="00D117A2"/>
    <w:rsid w:val="00D2594F"/>
    <w:rsid w:val="00D44814"/>
    <w:rsid w:val="00D51194"/>
    <w:rsid w:val="00D76C89"/>
    <w:rsid w:val="00D95F77"/>
    <w:rsid w:val="00DD5A5D"/>
    <w:rsid w:val="00DF17EB"/>
    <w:rsid w:val="00DF1B6F"/>
    <w:rsid w:val="00E8675D"/>
    <w:rsid w:val="00F0120C"/>
    <w:rsid w:val="00FA281C"/>
    <w:rsid w:val="00FC386F"/>
    <w:rsid w:val="00FC6F72"/>
    <w:rsid w:val="00FF1251"/>
    <w:rsid w:val="00FF1DE1"/>
    <w:rsid w:val="00FF55CD"/>
    <w:rsid w:val="00FF788F"/>
    <w:rsid w:val="14D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kern w:val="2"/>
      <w:sz w:val="18"/>
      <w:szCs w:val="18"/>
    </w:rPr>
  </w:style>
  <w:style w:type="character" w:customStyle="1" w:styleId="8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0"/>
    <w:pPr>
      <w:widowControl/>
      <w:ind w:firstLine="420" w:firstLineChars="200"/>
      <w:jc w:val="left"/>
    </w:pPr>
    <w:rPr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abc</Company>
  <Pages>1</Pages>
  <Words>1178</Words>
  <Characters>6719</Characters>
  <Lines>55</Lines>
  <Paragraphs>15</Paragraphs>
  <TotalTime>17</TotalTime>
  <ScaleCrop>false</ScaleCrop>
  <LinksUpToDate>false</LinksUpToDate>
  <CharactersWithSpaces>7882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2018-01-11T04:24:00Z</dcterms:created>
  <dc:creator>wqs</dc:creator>
  <cp:lastModifiedBy>tutu</cp:lastModifiedBy>
  <cp:lastPrinted>2018-01-11T04:20:00Z</cp:lastPrinted>
  <dcterms:modified xsi:type="dcterms:W3CDTF">2023-12-05T13:25:50Z</dcterms:modified>
  <dc:title>浙江工商大学研究生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