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行楷" w:hAnsi="华文行楷" w:eastAsia="华文行楷" w:cs="华文行楷"/>
          <w:b/>
          <w:bCs/>
          <w:i w:val="0"/>
          <w:iCs w:val="0"/>
          <w:sz w:val="48"/>
          <w:szCs w:val="48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iCs w:val="0"/>
          <w:sz w:val="48"/>
          <w:szCs w:val="48"/>
          <w:lang w:val="en-US" w:eastAsia="zh-CN"/>
        </w:rPr>
        <w:t>案例分析作业</w:t>
      </w:r>
    </w:p>
    <w:p>
      <w:pPr>
        <w:jc w:val="center"/>
        <w:rPr>
          <w:rFonts w:hint="default" w:ascii="华文行楷" w:hAnsi="华文行楷" w:eastAsia="华文行楷" w:cs="华文行楷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iCs w:val="0"/>
          <w:sz w:val="28"/>
          <w:szCs w:val="28"/>
          <w:lang w:val="en-US" w:eastAsia="zh-CN"/>
        </w:rPr>
        <w:t>工程通信1803</w:t>
      </w:r>
      <w:r>
        <w:rPr>
          <w:rFonts w:hint="eastAsia" w:ascii="华文行楷" w:hAnsi="华文行楷" w:eastAsia="华文行楷" w:cs="华文行楷"/>
          <w:b/>
          <w:bCs/>
          <w:i w:val="0"/>
          <w:iCs w:val="0"/>
          <w:sz w:val="28"/>
          <w:szCs w:val="28"/>
          <w:lang w:val="en-US" w:eastAsia="zh-CN"/>
        </w:rPr>
        <w:tab/>
        <w:t/>
      </w:r>
      <w:r>
        <w:rPr>
          <w:rFonts w:hint="eastAsia" w:ascii="华文行楷" w:hAnsi="华文行楷" w:eastAsia="华文行楷" w:cs="华文行楷"/>
          <w:b/>
          <w:bCs/>
          <w:i w:val="0"/>
          <w:iCs w:val="0"/>
          <w:sz w:val="28"/>
          <w:szCs w:val="28"/>
          <w:lang w:val="en-US" w:eastAsia="zh-CN"/>
        </w:rPr>
        <w:tab/>
        <w:t>凌智城</w:t>
      </w:r>
      <w:r>
        <w:rPr>
          <w:rFonts w:hint="eastAsia" w:ascii="华文行楷" w:hAnsi="华文行楷" w:eastAsia="华文行楷" w:cs="华文行楷"/>
          <w:b/>
          <w:bCs/>
          <w:i w:val="0"/>
          <w:iCs w:val="0"/>
          <w:sz w:val="28"/>
          <w:szCs w:val="28"/>
          <w:lang w:val="en-US" w:eastAsia="zh-CN"/>
        </w:rPr>
        <w:tab/>
        <w:t>201806061211</w:t>
      </w:r>
    </w:p>
    <w:p>
      <w:pPr>
        <w:jc w:val="left"/>
      </w:pPr>
      <w:bookmarkStart w:id="0" w:name="_GoBack"/>
      <w:r>
        <w:drawing>
          <wp:inline distT="0" distB="0" distL="114300" distR="114300">
            <wp:extent cx="4129405" cy="2322830"/>
            <wp:effectExtent l="0" t="0" r="635" b="8890"/>
            <wp:docPr id="358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232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图示是在线分析仪器自动温度补偿电路，Rt是具有正温度系数的铂热电阻，输入电压vi与所需检测的温度成正比，试分析其自动进行温度补偿的工作原理（即温度变化时，为何输出电压保持不变）。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答： 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59705" cy="4120515"/>
            <wp:effectExtent l="0" t="0" r="13335" b="9525"/>
            <wp:docPr id="1" name="图片 1" descr="ScreenShotC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C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085053"/>
    <w:rsid w:val="4DB0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2019-12-07T04:10:00Z</dcterms:created>
  <dc:creator>boom</dc:creator>
  <cp:lastModifiedBy>boom</cp:lastModifiedBy>
  <dcterms:modified xsi:type="dcterms:W3CDTF">2019-12-15T14:30:33Z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