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jc w:val="center"/>
        <w:tblCellMar>
          <w:left w:w="0" w:type="dxa"/>
          <w:right w:w="0" w:type="dxa"/>
        </w:tblCellMar>
        <w:tblLook w:val="04A0"/>
      </w:tblPr>
      <w:tblGrid>
        <w:gridCol w:w="7891"/>
      </w:tblGrid>
      <w:tr w:rsidR="001448E0" w:rsidRPr="001448E0" w:rsidTr="001448E0">
        <w:trPr>
          <w:jc w:val="center"/>
        </w:trPr>
        <w:tc>
          <w:tcPr>
            <w:tcW w:w="11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448E0" w:rsidRPr="001448E0" w:rsidRDefault="001448E0" w:rsidP="001448E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4761230" cy="951230"/>
                  <wp:effectExtent l="19050" t="0" r="1270" b="0"/>
                  <wp:docPr id="1" name="圖片 1" descr="http://www.course.nsysu.edu.tw/crs_net/banner/banner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ourse.nsysu.edu.tw/crs_net/banner/banner1_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230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history="1"/>
            <w:r w:rsidRPr="001448E0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 xml:space="preserve">　</w:t>
            </w:r>
            <w:r w:rsidRPr="001448E0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1448E0" w:rsidRPr="001448E0" w:rsidTr="001448E0">
        <w:trPr>
          <w:jc w:val="center"/>
        </w:trPr>
        <w:tc>
          <w:tcPr>
            <w:tcW w:w="116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48E0" w:rsidRDefault="001448E0" w:rsidP="001448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1448E0" w:rsidRPr="001448E0" w:rsidRDefault="00F51FFC" w:rsidP="001448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1FFC">
              <w:rPr>
                <w:rFonts w:ascii="新細明體" w:eastAsia="新細明體" w:hAnsi="新細明體" w:cs="新細明體"/>
                <w:kern w:val="0"/>
                <w:szCs w:val="24"/>
              </w:rPr>
              <w:pict>
                <v:rect id="_x0000_i1025" style="width:415.3pt;height:1.5pt" o:hralign="center" o:hrstd="t" o:hr="t" fillcolor="#a6a6a6" stroked="f"/>
              </w:pict>
            </w:r>
          </w:p>
          <w:tbl>
            <w:tblPr>
              <w:tblW w:w="4500" w:type="pct"/>
              <w:jc w:val="center"/>
              <w:tblCellSpacing w:w="15" w:type="dxa"/>
              <w:tblBorders>
                <w:top w:val="outset" w:sz="6" w:space="0" w:color="000091"/>
                <w:left w:val="outset" w:sz="6" w:space="0" w:color="000091"/>
                <w:bottom w:val="outset" w:sz="6" w:space="0" w:color="000091"/>
                <w:right w:val="outset" w:sz="6" w:space="0" w:color="000091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26"/>
              <w:gridCol w:w="1411"/>
              <w:gridCol w:w="1412"/>
              <w:gridCol w:w="1412"/>
              <w:gridCol w:w="1427"/>
            </w:tblGrid>
            <w:tr w:rsidR="001448E0" w:rsidRPr="001448E0">
              <w:trPr>
                <w:trHeight w:val="15"/>
                <w:tblCellSpacing w:w="15" w:type="dxa"/>
                <w:jc w:val="center"/>
              </w:trPr>
              <w:tc>
                <w:tcPr>
                  <w:tcW w:w="1000" w:type="pct"/>
                  <w:tcBorders>
                    <w:top w:val="outset" w:sz="6" w:space="0" w:color="000091"/>
                    <w:left w:val="outset" w:sz="6" w:space="0" w:color="000091"/>
                    <w:bottom w:val="outset" w:sz="6" w:space="0" w:color="000091"/>
                    <w:right w:val="outset" w:sz="6" w:space="0" w:color="000091"/>
                  </w:tcBorders>
                  <w:shd w:val="clear" w:color="auto" w:fill="99EEEE"/>
                  <w:vAlign w:val="center"/>
                  <w:hideMark/>
                </w:tcPr>
                <w:p w:rsidR="001448E0" w:rsidRPr="001448E0" w:rsidRDefault="00F51FFC" w:rsidP="001448E0">
                  <w:pPr>
                    <w:widowControl/>
                    <w:spacing w:line="15" w:lineRule="atLeast"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hyperlink r:id="rId9" w:history="1"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>課程大綱</w:t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  <w:szCs w:val="20"/>
                      </w:rPr>
                      <w:br/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 xml:space="preserve">Course Outline </w:t>
                    </w:r>
                  </w:hyperlink>
                </w:p>
              </w:tc>
              <w:tc>
                <w:tcPr>
                  <w:tcW w:w="1000" w:type="pct"/>
                  <w:tcBorders>
                    <w:top w:val="outset" w:sz="6" w:space="0" w:color="000091"/>
                    <w:left w:val="outset" w:sz="6" w:space="0" w:color="000091"/>
                    <w:bottom w:val="outset" w:sz="6" w:space="0" w:color="000091"/>
                    <w:right w:val="outset" w:sz="6" w:space="0" w:color="000091"/>
                  </w:tcBorders>
                  <w:shd w:val="clear" w:color="auto" w:fill="99EEEE"/>
                  <w:vAlign w:val="center"/>
                  <w:hideMark/>
                </w:tcPr>
                <w:p w:rsidR="001448E0" w:rsidRPr="001448E0" w:rsidRDefault="00F51FFC" w:rsidP="001448E0">
                  <w:pPr>
                    <w:widowControl/>
                    <w:spacing w:line="15" w:lineRule="atLeast"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hyperlink r:id="rId10" w:history="1"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>課程行事曆</w:t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  <w:szCs w:val="20"/>
                      </w:rPr>
                      <w:br/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>Calendar</w:t>
                    </w:r>
                  </w:hyperlink>
                </w:p>
              </w:tc>
              <w:tc>
                <w:tcPr>
                  <w:tcW w:w="1000" w:type="pct"/>
                  <w:tcBorders>
                    <w:top w:val="outset" w:sz="6" w:space="0" w:color="000091"/>
                    <w:left w:val="outset" w:sz="6" w:space="0" w:color="000091"/>
                    <w:bottom w:val="outset" w:sz="6" w:space="0" w:color="000091"/>
                    <w:right w:val="outset" w:sz="6" w:space="0" w:color="000091"/>
                  </w:tcBorders>
                  <w:shd w:val="clear" w:color="auto" w:fill="99EEEE"/>
                  <w:vAlign w:val="center"/>
                  <w:hideMark/>
                </w:tcPr>
                <w:p w:rsidR="001448E0" w:rsidRPr="001448E0" w:rsidRDefault="00F51FFC" w:rsidP="001448E0">
                  <w:pPr>
                    <w:widowControl/>
                    <w:spacing w:line="15" w:lineRule="atLeast"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hyperlink r:id="rId11" w:history="1"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>課程討論</w:t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  <w:szCs w:val="20"/>
                      </w:rPr>
                      <w:br/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 xml:space="preserve">Discussion </w:t>
                    </w:r>
                  </w:hyperlink>
                </w:p>
              </w:tc>
              <w:tc>
                <w:tcPr>
                  <w:tcW w:w="1000" w:type="pct"/>
                  <w:tcBorders>
                    <w:top w:val="outset" w:sz="6" w:space="0" w:color="000091"/>
                    <w:left w:val="outset" w:sz="6" w:space="0" w:color="000091"/>
                    <w:bottom w:val="outset" w:sz="6" w:space="0" w:color="000091"/>
                    <w:right w:val="outset" w:sz="6" w:space="0" w:color="000091"/>
                  </w:tcBorders>
                  <w:shd w:val="clear" w:color="auto" w:fill="99EEEE"/>
                  <w:vAlign w:val="center"/>
                  <w:hideMark/>
                </w:tcPr>
                <w:p w:rsidR="001448E0" w:rsidRPr="001448E0" w:rsidRDefault="00F51FFC" w:rsidP="001448E0">
                  <w:pPr>
                    <w:widowControl/>
                    <w:spacing w:line="15" w:lineRule="atLeast"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hyperlink r:id="rId12" w:history="1"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>教材分享</w:t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  <w:szCs w:val="20"/>
                      </w:rPr>
                      <w:br/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 xml:space="preserve">Lecture Material </w:t>
                    </w:r>
                  </w:hyperlink>
                </w:p>
              </w:tc>
              <w:tc>
                <w:tcPr>
                  <w:tcW w:w="1000" w:type="pct"/>
                  <w:tcBorders>
                    <w:top w:val="outset" w:sz="6" w:space="0" w:color="000091"/>
                    <w:left w:val="outset" w:sz="6" w:space="0" w:color="000091"/>
                    <w:bottom w:val="outset" w:sz="6" w:space="0" w:color="000091"/>
                    <w:right w:val="outset" w:sz="6" w:space="0" w:color="000091"/>
                  </w:tcBorders>
                  <w:shd w:val="clear" w:color="auto" w:fill="99EEEE"/>
                  <w:vAlign w:val="center"/>
                  <w:hideMark/>
                </w:tcPr>
                <w:p w:rsidR="001448E0" w:rsidRPr="001448E0" w:rsidRDefault="00F51FFC" w:rsidP="001448E0">
                  <w:pPr>
                    <w:widowControl/>
                    <w:spacing w:line="15" w:lineRule="atLeast"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hyperlink r:id="rId13" w:history="1"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>信件傳送</w:t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  <w:szCs w:val="20"/>
                      </w:rPr>
                      <w:br/>
                    </w:r>
                    <w:r w:rsidR="001448E0" w:rsidRPr="001448E0">
                      <w:rPr>
                        <w:rFonts w:ascii="新細明體" w:eastAsia="新細明體" w:hAnsi="新細明體" w:cs="新細明體"/>
                        <w:color w:val="0F4BFF"/>
                        <w:kern w:val="0"/>
                        <w:sz w:val="20"/>
                      </w:rPr>
                      <w:t xml:space="preserve">Mail </w:t>
                    </w:r>
                  </w:hyperlink>
                </w:p>
              </w:tc>
            </w:tr>
          </w:tbl>
          <w:p w:rsidR="001448E0" w:rsidRPr="001448E0" w:rsidRDefault="001448E0" w:rsidP="001448E0">
            <w:pPr>
              <w:widowControl/>
              <w:rPr>
                <w:rFonts w:ascii="新細明體" w:eastAsia="新細明體" w:hAnsi="新細明體" w:cs="新細明體"/>
                <w:vanish/>
                <w:kern w:val="0"/>
                <w:szCs w:val="24"/>
              </w:rPr>
            </w:pP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06"/>
              <w:gridCol w:w="2385"/>
            </w:tblGrid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CCFF"/>
                  <w:vAlign w:val="center"/>
                  <w:hideMark/>
                </w:tcPr>
                <w:p w:rsidR="001448E0" w:rsidRPr="001448E0" w:rsidRDefault="001448E0" w:rsidP="004732F8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>課程內容</w:t>
                  </w:r>
                </w:p>
              </w:tc>
              <w:tc>
                <w:tcPr>
                  <w:tcW w:w="15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CCFF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F1FE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 xml:space="preserve">課程名稱 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 xml:space="preserve">書報討論 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F1FE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 xml:space="preserve">授課老師 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 xml:space="preserve">陳嘉平 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F1FE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 xml:space="preserve">課程大綱 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資工相關領域專家學者之演講與研討。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F1FE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 xml:space="preserve">學習目標 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使學生廣泛且深入了解各種相關知識，進而培養學生廣泛的學習興趣以及觸類旁通的能力，並且具備工程倫理以及智慧財產權觀念。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F1FE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 xml:space="preserve">授課方式 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演講、研討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F1FE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>參考書/教科書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48E0" w:rsidRPr="001448E0" w:rsidRDefault="00AA09DA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kern w:val="0"/>
                      <w:sz w:val="20"/>
                      <w:szCs w:val="20"/>
                    </w:rPr>
                    <w:t>演講者自備投影片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F1FE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>課程內容、進度、與閱讀文獻</w:t>
                  </w:r>
                </w:p>
              </w:tc>
            </w:tr>
            <w:tr w:rsidR="001448E0" w:rsidRPr="001448E0" w:rsidTr="001448E0">
              <w:trPr>
                <w:trHeight w:val="816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8"/>
                    <w:gridCol w:w="2236"/>
                    <w:gridCol w:w="5377"/>
                  </w:tblGrid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  <w:r w:rsidRPr="001448E0"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  <w:r w:rsidRPr="001448E0"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  <w:t>2010/02/22~</w:t>
                        </w:r>
                        <w:r w:rsidRPr="001448E0">
                          <w:rPr>
                            <w:rFonts w:asciiTheme="majorEastAsia" w:eastAsiaTheme="majorEastAsia" w:hAnsiTheme="majorEastAsia"/>
                            <w:szCs w:val="24"/>
                          </w:rPr>
                          <w:t>2010/06/30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  <w:r w:rsidRPr="001448E0">
                          <w:rPr>
                            <w:rFonts w:ascii="新細明體" w:eastAsia="新細明體" w:hAnsi="新細明體" w:cs="新細明體"/>
                            <w:kern w:val="0"/>
                            <w:sz w:val="20"/>
                            <w:szCs w:val="20"/>
                          </w:rPr>
                          <w:t>使學生廣泛且深入了解各種相關知識，進而培養學生廣泛的學習興趣以及觸類旁通的能力，並且具備工程倫理以及智慧財產權觀念</w:t>
                        </w: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1448E0" w:rsidRPr="001448E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48E0" w:rsidRPr="001448E0" w:rsidRDefault="001448E0" w:rsidP="001448E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</w:tbl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F1FE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 xml:space="preserve">評量方式 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48E0" w:rsidRPr="004732F8" w:rsidRDefault="001448E0" w:rsidP="004732F8">
                  <w:pPr>
                    <w:pStyle w:val="ab"/>
                    <w:widowControl/>
                    <w:numPr>
                      <w:ilvl w:val="0"/>
                      <w:numId w:val="1"/>
                    </w:numPr>
                    <w:ind w:leftChars="0"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  <w:r w:rsidRPr="004732F8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報告：</w:t>
                  </w:r>
                  <w:r w:rsidRPr="004732F8">
                    <w:rPr>
                      <w:rFonts w:ascii="新細明體" w:eastAsia="新細明體" w:hAnsi="新細明體" w:cs="新細明體" w:hint="eastAsia"/>
                      <w:kern w:val="0"/>
                      <w:sz w:val="20"/>
                      <w:szCs w:val="20"/>
                    </w:rPr>
                    <w:t>70</w:t>
                  </w:r>
                  <w:r w:rsidRPr="004732F8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%</w:t>
                  </w:r>
                  <w:r w:rsidRPr="004732F8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br/>
                    <w:t>2.</w:t>
                  </w:r>
                  <w:r w:rsidRPr="004732F8">
                    <w:rPr>
                      <w:rFonts w:ascii="新細明體" w:eastAsia="新細明體" w:hAnsi="新細明體" w:cs="新細明體" w:hint="eastAsia"/>
                      <w:kern w:val="0"/>
                      <w:sz w:val="20"/>
                      <w:szCs w:val="20"/>
                    </w:rPr>
                    <w:t>attending</w:t>
                  </w:r>
                  <w:r w:rsidRPr="004732F8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：</w:t>
                  </w:r>
                  <w:r w:rsidRPr="004732F8">
                    <w:rPr>
                      <w:rFonts w:ascii="新細明體" w:eastAsia="新細明體" w:hAnsi="新細明體" w:cs="新細明體" w:hint="eastAsia"/>
                      <w:kern w:val="0"/>
                      <w:sz w:val="20"/>
                      <w:szCs w:val="20"/>
                    </w:rPr>
                    <w:t>3</w:t>
                  </w:r>
                  <w:r w:rsidRPr="004732F8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0%</w:t>
                  </w:r>
                </w:p>
                <w:p w:rsidR="004732F8" w:rsidRDefault="004732F8" w:rsidP="004732F8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  <w:p w:rsidR="004732F8" w:rsidRPr="004732F8" w:rsidRDefault="004732F8" w:rsidP="004732F8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1F1FE"/>
                  <w:vAlign w:val="center"/>
                  <w:hideMark/>
                </w:tcPr>
                <w:p w:rsidR="001448E0" w:rsidRPr="001448E0" w:rsidRDefault="001448E0" w:rsidP="001448E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lastRenderedPageBreak/>
                    <w:t xml:space="preserve">課業討論時間 </w:t>
                  </w:r>
                </w:p>
              </w:tc>
            </w:tr>
            <w:tr w:rsidR="001448E0" w:rsidRPr="001448E0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48E0" w:rsidRDefault="001448E0" w:rsidP="004732F8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  <w:r w:rsidRPr="001448E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時段:</w:t>
                  </w:r>
                  <w:r w:rsidRPr="001448E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br/>
                    <w:t>時間：星期三</w:t>
                  </w:r>
                  <w:r w:rsidR="004732F8">
                    <w:rPr>
                      <w:rFonts w:ascii="新細明體" w:eastAsia="新細明體" w:hAnsi="新細明體" w:cs="新細明體" w:hint="eastAsia"/>
                      <w:kern w:val="0"/>
                      <w:sz w:val="20"/>
                      <w:szCs w:val="20"/>
                    </w:rPr>
                    <w:t>14</w:t>
                  </w:r>
                  <w:r w:rsidR="0019458B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:00-1</w:t>
                  </w:r>
                  <w:r w:rsidR="0019458B">
                    <w:rPr>
                      <w:rFonts w:ascii="新細明體" w:eastAsia="新細明體" w:hAnsi="新細明體" w:cs="新細明體" w:hint="eastAsia"/>
                      <w:kern w:val="0"/>
                      <w:sz w:val="20"/>
                      <w:szCs w:val="20"/>
                    </w:rPr>
                    <w:t>7</w:t>
                  </w:r>
                  <w:r w:rsidRPr="001448E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:00</w:t>
                  </w:r>
                  <w:r w:rsidRPr="001448E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br/>
                    <w:t>地點：F</w:t>
                  </w:r>
                  <w:r>
                    <w:rPr>
                      <w:rFonts w:ascii="新細明體" w:eastAsia="新細明體" w:hAnsi="新細明體" w:cs="新細明體" w:hint="eastAsia"/>
                      <w:kern w:val="0"/>
                      <w:sz w:val="20"/>
                      <w:szCs w:val="20"/>
                    </w:rPr>
                    <w:t>5017b</w:t>
                  </w:r>
                </w:p>
                <w:p w:rsidR="004732F8" w:rsidRPr="001448E0" w:rsidRDefault="004732F8" w:rsidP="004732F8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</w:tr>
          </w:tbl>
          <w:p w:rsidR="001448E0" w:rsidRPr="001448E0" w:rsidRDefault="001448E0" w:rsidP="001448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0B2B65" w:rsidRDefault="00AA09DA">
      <w:r>
        <w:rPr>
          <w:rFonts w:hint="eastAsia"/>
        </w:rPr>
        <w:lastRenderedPageBreak/>
        <w:t>書報討論分數計算方式</w:t>
      </w:r>
      <w:r>
        <w:rPr>
          <w:rFonts w:hint="eastAsia"/>
        </w:rPr>
        <w:t>:</w:t>
      </w:r>
    </w:p>
    <w:p w:rsidR="0019458B" w:rsidRDefault="00AA09DA">
      <w:r>
        <w:rPr>
          <w:rFonts w:hint="eastAsia"/>
        </w:rPr>
        <w:t>前</w:t>
      </w:r>
      <w:r>
        <w:rPr>
          <w:rFonts w:hint="eastAsia"/>
        </w:rPr>
        <w:t>12</w:t>
      </w:r>
      <w:r>
        <w:rPr>
          <w:rFonts w:hint="eastAsia"/>
        </w:rPr>
        <w:t>次</w:t>
      </w:r>
    </w:p>
    <w:p w:rsidR="00AA09DA" w:rsidRDefault="004732F8">
      <w:r>
        <w:rPr>
          <w:rFonts w:hint="eastAsia"/>
        </w:rPr>
        <w:t>每次完成</w:t>
      </w:r>
      <w:r w:rsidR="0019458B">
        <w:rPr>
          <w:rFonts w:hint="eastAsia"/>
        </w:rPr>
        <w:t>出席書報討論及繳交報告</w:t>
      </w:r>
      <w:r>
        <w:rPr>
          <w:rFonts w:hint="eastAsia"/>
        </w:rPr>
        <w:t>可得</w:t>
      </w:r>
    </w:p>
    <w:tbl>
      <w:tblPr>
        <w:tblStyle w:val="a6"/>
        <w:tblW w:w="0" w:type="auto"/>
        <w:tblLook w:val="04A0"/>
      </w:tblPr>
      <w:tblGrid>
        <w:gridCol w:w="4181"/>
        <w:gridCol w:w="4181"/>
      </w:tblGrid>
      <w:tr w:rsidR="00AA09DA" w:rsidTr="00AA09DA">
        <w:tc>
          <w:tcPr>
            <w:tcW w:w="4181" w:type="dxa"/>
          </w:tcPr>
          <w:p w:rsidR="00AA09DA" w:rsidRDefault="004732F8">
            <w:r>
              <w:rPr>
                <w:rFonts w:hint="eastAsia"/>
              </w:rPr>
              <w:t>好</w:t>
            </w:r>
          </w:p>
        </w:tc>
        <w:tc>
          <w:tcPr>
            <w:tcW w:w="4181" w:type="dxa"/>
          </w:tcPr>
          <w:p w:rsidR="00AA09DA" w:rsidRDefault="004732F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</w:p>
        </w:tc>
      </w:tr>
      <w:tr w:rsidR="00AA09DA" w:rsidTr="00AA09DA">
        <w:tc>
          <w:tcPr>
            <w:tcW w:w="4181" w:type="dxa"/>
          </w:tcPr>
          <w:p w:rsidR="00AA09DA" w:rsidRDefault="004732F8">
            <w:r>
              <w:rPr>
                <w:rFonts w:hint="eastAsia"/>
              </w:rPr>
              <w:t>普通</w:t>
            </w:r>
          </w:p>
        </w:tc>
        <w:tc>
          <w:tcPr>
            <w:tcW w:w="4181" w:type="dxa"/>
          </w:tcPr>
          <w:p w:rsidR="00AA09DA" w:rsidRDefault="004732F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</w:t>
            </w:r>
          </w:p>
        </w:tc>
      </w:tr>
      <w:tr w:rsidR="00AA09DA" w:rsidTr="00AA09DA">
        <w:tc>
          <w:tcPr>
            <w:tcW w:w="4181" w:type="dxa"/>
          </w:tcPr>
          <w:p w:rsidR="00AA09DA" w:rsidRDefault="004732F8">
            <w:r>
              <w:rPr>
                <w:rFonts w:hint="eastAsia"/>
              </w:rPr>
              <w:t>差</w:t>
            </w:r>
          </w:p>
        </w:tc>
        <w:tc>
          <w:tcPr>
            <w:tcW w:w="4181" w:type="dxa"/>
          </w:tcPr>
          <w:p w:rsidR="00AA09DA" w:rsidRDefault="004732F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</w:tr>
    </w:tbl>
    <w:p w:rsidR="00AA09DA" w:rsidRDefault="00AA09DA" w:rsidP="00AA09DA"/>
    <w:p w:rsidR="00AA09DA" w:rsidRDefault="00AA09DA" w:rsidP="00AA09DA">
      <w:r>
        <w:rPr>
          <w:rFonts w:hint="eastAsia"/>
        </w:rPr>
        <w:t>13~18</w:t>
      </w:r>
      <w:r>
        <w:rPr>
          <w:rFonts w:hint="eastAsia"/>
        </w:rPr>
        <w:t>次</w:t>
      </w:r>
    </w:p>
    <w:p w:rsidR="004732F8" w:rsidRPr="004732F8" w:rsidRDefault="004732F8" w:rsidP="00AA09DA">
      <w:r>
        <w:rPr>
          <w:rFonts w:hint="eastAsia"/>
        </w:rPr>
        <w:t>每次完成出席書報討論及繳交報告可得</w:t>
      </w:r>
    </w:p>
    <w:tbl>
      <w:tblPr>
        <w:tblStyle w:val="a6"/>
        <w:tblW w:w="0" w:type="auto"/>
        <w:tblLook w:val="04A0"/>
      </w:tblPr>
      <w:tblGrid>
        <w:gridCol w:w="4181"/>
        <w:gridCol w:w="4181"/>
      </w:tblGrid>
      <w:tr w:rsidR="00AA09DA" w:rsidTr="00AB15E3">
        <w:tc>
          <w:tcPr>
            <w:tcW w:w="4181" w:type="dxa"/>
          </w:tcPr>
          <w:p w:rsidR="00AA09DA" w:rsidRDefault="004732F8" w:rsidP="00AB15E3">
            <w:r>
              <w:rPr>
                <w:rFonts w:hint="eastAsia"/>
              </w:rPr>
              <w:t>好</w:t>
            </w:r>
          </w:p>
        </w:tc>
        <w:tc>
          <w:tcPr>
            <w:tcW w:w="4181" w:type="dxa"/>
          </w:tcPr>
          <w:p w:rsidR="00AA09DA" w:rsidRDefault="004732F8" w:rsidP="00AB15E3"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分</w:t>
            </w:r>
          </w:p>
        </w:tc>
      </w:tr>
      <w:tr w:rsidR="00AA09DA" w:rsidTr="00AB15E3">
        <w:tc>
          <w:tcPr>
            <w:tcW w:w="4181" w:type="dxa"/>
          </w:tcPr>
          <w:p w:rsidR="00AA09DA" w:rsidRDefault="004732F8" w:rsidP="00AB15E3">
            <w:r>
              <w:rPr>
                <w:rFonts w:hint="eastAsia"/>
              </w:rPr>
              <w:t>普通</w:t>
            </w:r>
          </w:p>
        </w:tc>
        <w:tc>
          <w:tcPr>
            <w:tcW w:w="4181" w:type="dxa"/>
          </w:tcPr>
          <w:p w:rsidR="00AA09DA" w:rsidRDefault="004732F8" w:rsidP="00AB15E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</w:t>
            </w:r>
          </w:p>
        </w:tc>
      </w:tr>
      <w:tr w:rsidR="00AA09DA" w:rsidTr="00AB15E3">
        <w:tc>
          <w:tcPr>
            <w:tcW w:w="4181" w:type="dxa"/>
          </w:tcPr>
          <w:p w:rsidR="00AA09DA" w:rsidRDefault="004732F8" w:rsidP="00AB15E3">
            <w:r>
              <w:rPr>
                <w:rFonts w:hint="eastAsia"/>
              </w:rPr>
              <w:t>差</w:t>
            </w:r>
          </w:p>
        </w:tc>
        <w:tc>
          <w:tcPr>
            <w:tcW w:w="4181" w:type="dxa"/>
          </w:tcPr>
          <w:p w:rsidR="00AA09DA" w:rsidRDefault="004732F8" w:rsidP="00AB15E3"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分</w:t>
            </w:r>
          </w:p>
        </w:tc>
      </w:tr>
    </w:tbl>
    <w:p w:rsidR="00AA09DA" w:rsidRPr="001448E0" w:rsidRDefault="00AA09DA" w:rsidP="00AA09DA"/>
    <w:p w:rsidR="00AA09DA" w:rsidRDefault="00AA09DA">
      <w:r>
        <w:rPr>
          <w:rFonts w:hint="eastAsia"/>
        </w:rPr>
        <w:t>所以成績最高為</w:t>
      </w:r>
      <w:r w:rsidR="004732F8" w:rsidRPr="004732F8">
        <w:rPr>
          <w:rFonts w:hint="eastAsia"/>
        </w:rPr>
        <w:t>(7</w:t>
      </w:r>
      <w:r w:rsidR="004732F8" w:rsidRPr="004732F8">
        <w:rPr>
          <w:rFonts w:asciiTheme="minorEastAsia" w:hAnsiTheme="minorEastAsia" w:hint="eastAsia"/>
        </w:rPr>
        <w:t>×12＝84</w:t>
      </w:r>
      <w:r w:rsidR="004732F8" w:rsidRPr="004732F8">
        <w:rPr>
          <w:rFonts w:hint="eastAsia"/>
        </w:rPr>
        <w:t>)+(3.5</w:t>
      </w:r>
      <w:r w:rsidR="004732F8" w:rsidRPr="004732F8">
        <w:rPr>
          <w:rFonts w:asciiTheme="minorEastAsia" w:hAnsiTheme="minorEastAsia" w:hint="eastAsia"/>
        </w:rPr>
        <w:t>×6=21</w:t>
      </w:r>
      <w:r w:rsidR="004732F8" w:rsidRPr="004732F8">
        <w:rPr>
          <w:rFonts w:hint="eastAsia"/>
        </w:rPr>
        <w:t>)=105</w:t>
      </w:r>
    </w:p>
    <w:p w:rsidR="00AA09DA" w:rsidRDefault="00AA09DA">
      <w:r>
        <w:rPr>
          <w:rFonts w:hint="eastAsia"/>
        </w:rPr>
        <w:t>以上是以</w:t>
      </w:r>
      <w:r>
        <w:rPr>
          <w:rFonts w:hint="eastAsia"/>
        </w:rPr>
        <w:t>18</w:t>
      </w:r>
      <w:r>
        <w:rPr>
          <w:rFonts w:hint="eastAsia"/>
        </w:rPr>
        <w:t>次來做計算</w:t>
      </w:r>
    </w:p>
    <w:p w:rsidR="00AA09DA" w:rsidRDefault="00AA09DA"/>
    <w:p w:rsidR="00AA09DA" w:rsidRDefault="00AA09DA">
      <w:r>
        <w:rPr>
          <w:rFonts w:hint="eastAsia"/>
        </w:rPr>
        <w:t>為鼓勵同學演講中發問</w:t>
      </w:r>
      <w:r w:rsidR="004732F8">
        <w:rPr>
          <w:rFonts w:hint="eastAsia"/>
        </w:rPr>
        <w:t>，</w:t>
      </w:r>
      <w:r>
        <w:rPr>
          <w:rFonts w:hint="eastAsia"/>
        </w:rPr>
        <w:t>每次發問加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每學期最多採計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最多可加到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4732F8">
        <w:rPr>
          <w:rFonts w:hint="eastAsia"/>
        </w:rPr>
        <w:t>，</w:t>
      </w:r>
      <w:r>
        <w:rPr>
          <w:rFonts w:hint="eastAsia"/>
        </w:rPr>
        <w:t>請於下課後找助教登記</w:t>
      </w:r>
      <w:r w:rsidR="004732F8">
        <w:rPr>
          <w:rFonts w:hint="eastAsia"/>
        </w:rPr>
        <w:t>。</w:t>
      </w:r>
    </w:p>
    <w:p w:rsidR="00AA09DA" w:rsidRDefault="00AA09DA"/>
    <w:p w:rsidR="004732F8" w:rsidRDefault="00AA09DA">
      <w:r>
        <w:rPr>
          <w:rFonts w:hint="eastAsia"/>
        </w:rPr>
        <w:t>請同學特別注意</w:t>
      </w:r>
      <w:r w:rsidR="004732F8">
        <w:rPr>
          <w:rFonts w:hint="eastAsia"/>
        </w:rPr>
        <w:t>，</w:t>
      </w:r>
      <w:r>
        <w:rPr>
          <w:rFonts w:hint="eastAsia"/>
        </w:rPr>
        <w:t>必須要出席書報討論及繳交報告才可以計算該次分數</w:t>
      </w:r>
      <w:r w:rsidR="004732F8">
        <w:rPr>
          <w:rFonts w:hint="eastAsia"/>
        </w:rPr>
        <w:t>，</w:t>
      </w:r>
      <w:r>
        <w:rPr>
          <w:rFonts w:hint="eastAsia"/>
        </w:rPr>
        <w:t>如果只有出席而未繳報告</w:t>
      </w:r>
      <w:r w:rsidR="004732F8">
        <w:rPr>
          <w:rFonts w:hint="eastAsia"/>
        </w:rPr>
        <w:t>，</w:t>
      </w:r>
      <w:r>
        <w:rPr>
          <w:rFonts w:hint="eastAsia"/>
        </w:rPr>
        <w:t>或者有繳報告而沒出席</w:t>
      </w:r>
      <w:r w:rsidR="004732F8">
        <w:rPr>
          <w:rFonts w:hint="eastAsia"/>
        </w:rPr>
        <w:t>，</w:t>
      </w:r>
      <w:r>
        <w:rPr>
          <w:rFonts w:hint="eastAsia"/>
        </w:rPr>
        <w:t>該次都分數都不列入計算</w:t>
      </w:r>
      <w:r>
        <w:rPr>
          <w:rFonts w:hint="eastAsia"/>
        </w:rPr>
        <w:t>,</w:t>
      </w:r>
      <w:r>
        <w:rPr>
          <w:rFonts w:hint="eastAsia"/>
        </w:rPr>
        <w:t>所已請同學盡量參加全部演講</w:t>
      </w:r>
      <w:r w:rsidR="004732F8">
        <w:rPr>
          <w:rFonts w:hint="eastAsia"/>
        </w:rPr>
        <w:t>，</w:t>
      </w:r>
      <w:r>
        <w:rPr>
          <w:rFonts w:hint="eastAsia"/>
        </w:rPr>
        <w:t>並踴躍發問</w:t>
      </w:r>
      <w:r w:rsidR="004732F8">
        <w:rPr>
          <w:rFonts w:hint="eastAsia"/>
        </w:rPr>
        <w:t>，</w:t>
      </w:r>
      <w:r>
        <w:rPr>
          <w:rFonts w:hint="eastAsia"/>
        </w:rPr>
        <w:t>才能拿到高分</w:t>
      </w:r>
      <w:r w:rsidR="004732F8">
        <w:rPr>
          <w:rFonts w:hint="eastAsia"/>
        </w:rPr>
        <w:t>。</w:t>
      </w:r>
    </w:p>
    <w:p w:rsidR="004732F8" w:rsidRDefault="004732F8"/>
    <w:p w:rsidR="00AA09DA" w:rsidRDefault="004732F8">
      <w:pPr>
        <w:rPr>
          <w:rFonts w:hint="eastAsia"/>
        </w:rPr>
      </w:pPr>
      <w:r>
        <w:rPr>
          <w:rFonts w:hint="eastAsia"/>
        </w:rPr>
        <w:t>學期最少出席次數為</w:t>
      </w:r>
      <w:r>
        <w:rPr>
          <w:rFonts w:hint="eastAsia"/>
        </w:rPr>
        <w:t>12</w:t>
      </w:r>
      <w:r>
        <w:rPr>
          <w:rFonts w:hint="eastAsia"/>
        </w:rPr>
        <w:t>次。</w:t>
      </w:r>
    </w:p>
    <w:p w:rsidR="00926E6E" w:rsidRDefault="00926E6E">
      <w:pPr>
        <w:rPr>
          <w:rFonts w:hint="eastAsia"/>
        </w:rPr>
      </w:pPr>
    </w:p>
    <w:p w:rsidR="00926E6E" w:rsidRDefault="00926E6E">
      <w:pPr>
        <w:rPr>
          <w:rFonts w:hint="eastAsia"/>
        </w:rPr>
      </w:pPr>
    </w:p>
    <w:p w:rsidR="00926E6E" w:rsidRDefault="00926E6E">
      <w:pPr>
        <w:rPr>
          <w:rFonts w:hint="eastAsia"/>
        </w:rPr>
      </w:pPr>
      <w:r>
        <w:rPr>
          <w:rFonts w:hint="eastAsia"/>
        </w:rPr>
        <w:t>出缺席與作業繳交記錄可到以下網址作查詢</w:t>
      </w:r>
    </w:p>
    <w:p w:rsidR="00926E6E" w:rsidRPr="001448E0" w:rsidRDefault="00926E6E">
      <w:r w:rsidRPr="00926E6E">
        <w:t>http://whale.cse.nsysu.edu.tw/~jzye/seminar.html</w:t>
      </w:r>
    </w:p>
    <w:sectPr w:rsidR="00926E6E" w:rsidRPr="001448E0" w:rsidSect="000B2B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DCE" w:rsidRDefault="00357DCE" w:rsidP="0019458B">
      <w:r>
        <w:separator/>
      </w:r>
    </w:p>
  </w:endnote>
  <w:endnote w:type="continuationSeparator" w:id="1">
    <w:p w:rsidR="00357DCE" w:rsidRDefault="00357DCE" w:rsidP="00194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DCE" w:rsidRDefault="00357DCE" w:rsidP="0019458B">
      <w:r>
        <w:separator/>
      </w:r>
    </w:p>
  </w:footnote>
  <w:footnote w:type="continuationSeparator" w:id="1">
    <w:p w:rsidR="00357DCE" w:rsidRDefault="00357DCE" w:rsidP="001945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24DC6"/>
    <w:multiLevelType w:val="hybridMultilevel"/>
    <w:tmpl w:val="F69C7F7E"/>
    <w:lvl w:ilvl="0" w:tplc="E7AE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8E0"/>
    <w:rsid w:val="000A0F94"/>
    <w:rsid w:val="000B2B65"/>
    <w:rsid w:val="001448E0"/>
    <w:rsid w:val="0019458B"/>
    <w:rsid w:val="00357DCE"/>
    <w:rsid w:val="004732F8"/>
    <w:rsid w:val="004832DA"/>
    <w:rsid w:val="0075141A"/>
    <w:rsid w:val="00926E6E"/>
    <w:rsid w:val="009A5A9B"/>
    <w:rsid w:val="00AA09DA"/>
    <w:rsid w:val="00F5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48E0"/>
    <w:rPr>
      <w:color w:val="0F4BFF"/>
      <w:u w:val="single"/>
    </w:rPr>
  </w:style>
  <w:style w:type="paragraph" w:styleId="Web">
    <w:name w:val="Normal (Web)"/>
    <w:basedOn w:val="a"/>
    <w:uiPriority w:val="99"/>
    <w:semiHidden/>
    <w:unhideWhenUsed/>
    <w:rsid w:val="001448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44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448E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A09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194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19458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194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19458B"/>
    <w:rPr>
      <w:sz w:val="20"/>
      <w:szCs w:val="20"/>
    </w:rPr>
  </w:style>
  <w:style w:type="paragraph" w:styleId="ab">
    <w:name w:val="List Paragraph"/>
    <w:basedOn w:val="a"/>
    <w:uiPriority w:val="34"/>
    <w:qFormat/>
    <w:rsid w:val="004732F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se.nsysu.edu.tw/crs_net/index.htm" TargetMode="External"/><Relationship Id="rId13" Type="http://schemas.openxmlformats.org/officeDocument/2006/relationships/hyperlink" Target="http://www.course.nsysu.edu.tw/crs_net/Student/Scrsmail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ourse.nsysu.edu.tw/crs_net/textbook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urse.nsysu.edu.tw/crs_net/talk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ourse.nsysu.edu.tw/crs_net/schedul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rse.nsysu.edu.tw/crs_net/clas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foxfly</dc:creator>
  <cp:keywords/>
  <dc:description/>
  <cp:lastModifiedBy>foxfly</cp:lastModifiedBy>
  <cp:revision>4</cp:revision>
  <dcterms:created xsi:type="dcterms:W3CDTF">2010-02-25T03:10:00Z</dcterms:created>
  <dcterms:modified xsi:type="dcterms:W3CDTF">2010-02-25T06:56:00Z</dcterms:modified>
</cp:coreProperties>
</file>