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07452F"/>
          <w:sz w:val="64"/>
          <w:szCs w:val="64"/>
        </w:rPr>
        <w:t xml:space="preserve">MzanziFlow</w:t>
      </w:r>
    </w:p>
    <w:p>
      <w:pPr>
        <w:spacing w:after="100"/>
        <w:jc w:val="center"/>
      </w:pPr>
      <w:r>
        <w:rPr>
          <w:rFonts w:ascii="Calibri" w:cs="Calibri" w:eastAsia="Calibri" w:hAnsi="Calibri"/>
          <w:i/>
          <w:iCs/>
          <w:color w:val="A6791C"/>
          <w:sz w:val="26"/>
          <w:szCs w:val="26"/>
        </w:rPr>
        <w:t xml:space="preserve">A South African Student Productivity &amp; Collaboration Platform</w:t>
      </w:r>
    </w:p>
    <w:p>
      <w:pPr>
        <w:pBdr>
          <w:bottom w:val="single" w:color="A6791C" w:sz="8" w:space="8"/>
        </w:pBdr>
        <w:spacing w:after="500"/>
      </w:pPr>
    </w:p>
    <w:p>
      <w:pPr>
        <w:spacing w:after="100" w:before="400"/>
        <w:jc w:val="center"/>
      </w:pPr>
      <w:r>
        <w:rPr>
          <w:rFonts w:ascii="Calibri" w:cs="Calibri" w:eastAsia="Calibri" w:hAnsi="Calibri"/>
          <w:b/>
          <w:bCs/>
          <w:color w:val="0B6E4F"/>
          <w:sz w:val="36"/>
          <w:szCs w:val="36"/>
        </w:rPr>
        <w:t xml:space="preserve">AI Tool Usage Write-Up</w:t>
      </w:r>
    </w:p>
    <w:p>
      <w:pPr>
        <w:spacing w:after="700"/>
        <w:jc w:val="center"/>
      </w:pPr>
      <w:r>
        <w:rPr>
          <w:rFonts w:ascii="Calibri" w:cs="Calibri" w:eastAsia="Calibri" w:hAnsi="Calibri"/>
          <w:color w:val="555555"/>
          <w:sz w:val="24"/>
          <w:szCs w:val="24"/>
        </w:rPr>
        <w:t xml:space="preserve">Part 1: Research, Planning and Design</w:t>
      </w:r>
    </w:p>
    <w:tbl>
      <w:tblPr>
        <w:tblW w:type="dxa" w:w="7200"/>
        <w:jc w:val="center"/>
        <w:tblBorders>
          <w:top w:val="single" w:color="CCCCCC" w:sz="4"/>
          <w:left w:val="none"/>
          <w:bottom w:val="single" w:color="CCCCCC" w:sz="4"/>
          <w:right w:val="none"/>
          <w:insideH w:val="single" w:color="CCCCCC" w:sz="2"/>
          <w:insideV w:val="none"/>
        </w:tblBorders>
      </w:tblPr>
      <w:tblGrid>
        <w:gridCol w:w="2200"/>
        <w:gridCol w:w="5000"/>
      </w:tblGrid>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Student Name:</w:t>
            </w:r>
          </w:p>
        </w:tc>
        <w:tc>
          <w:tcPr>
            <w:tcW w:type="dxa" w:w="5000"/>
            <w:tcMar>
              <w:top w:type="dxa" w:w="100"/>
              <w:left w:type="dxa" w:w="100"/>
              <w:bottom w:type="dxa" w:w="100"/>
              <w:right w:type="dxa" w:w="100"/>
            </w:tcMar>
          </w:tcPr>
          <w:p>
            <w:r>
              <w:rPr>
                <w:rFonts w:ascii="Calibri" w:cs="Calibri" w:eastAsia="Calibri" w:hAnsi="Calibri"/>
                <w:sz w:val="21"/>
                <w:szCs w:val="21"/>
              </w:rPr>
              <w:t xml:space="preserve">Smangaliso</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Student Number:</w:t>
            </w:r>
          </w:p>
        </w:tc>
        <w:tc>
          <w:tcPr>
            <w:tcW w:type="dxa" w:w="5000"/>
            <w:tcMar>
              <w:top w:type="dxa" w:w="100"/>
              <w:left w:type="dxa" w:w="100"/>
              <w:bottom w:type="dxa" w:w="100"/>
              <w:right w:type="dxa" w:w="100"/>
            </w:tcMar>
          </w:tcPr>
          <w:p>
            <w:r>
              <w:rPr>
                <w:rFonts w:ascii="Calibri" w:cs="Calibri" w:eastAsia="Calibri" w:hAnsi="Calibri"/>
                <w:sz w:val="21"/>
                <w:szCs w:val="21"/>
              </w:rPr>
              <w:t xml:space="preserve">ST10092489@rcconnect.edu.za</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Institution:</w:t>
            </w:r>
          </w:p>
        </w:tc>
        <w:tc>
          <w:tcPr>
            <w:tcW w:type="dxa" w:w="5000"/>
            <w:tcMar>
              <w:top w:type="dxa" w:w="100"/>
              <w:left w:type="dxa" w:w="100"/>
              <w:bottom w:type="dxa" w:w="100"/>
              <w:right w:type="dxa" w:w="100"/>
            </w:tcMar>
          </w:tcPr>
          <w:p>
            <w:r>
              <w:rPr>
                <w:rFonts w:ascii="Calibri" w:cs="Calibri" w:eastAsia="Calibri" w:hAnsi="Calibri"/>
                <w:sz w:val="21"/>
                <w:szCs w:val="21"/>
              </w:rPr>
              <w:t xml:space="preserve">The Independent Institute of Education (IIE)</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Module:</w:t>
            </w:r>
          </w:p>
        </w:tc>
        <w:tc>
          <w:tcPr>
            <w:tcW w:type="dxa" w:w="5000"/>
            <w:tcMar>
              <w:top w:type="dxa" w:w="100"/>
              <w:left w:type="dxa" w:w="100"/>
              <w:bottom w:type="dxa" w:w="100"/>
              <w:right w:type="dxa" w:w="100"/>
            </w:tcMar>
          </w:tcPr>
          <w:p>
            <w:r>
              <w:rPr>
                <w:rFonts w:ascii="Calibri" w:cs="Calibri" w:eastAsia="Calibri" w:hAnsi="Calibri"/>
                <w:sz w:val="21"/>
                <w:szCs w:val="21"/>
              </w:rPr>
              <w:t xml:space="preserve">Open Source Code</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Date:</w:t>
            </w:r>
          </w:p>
        </w:tc>
        <w:tc>
          <w:tcPr>
            <w:tcW w:type="dxa" w:w="5000"/>
            <w:tcMar>
              <w:top w:type="dxa" w:w="100"/>
              <w:left w:type="dxa" w:w="100"/>
              <w:bottom w:type="dxa" w:w="100"/>
              <w:right w:type="dxa" w:w="100"/>
            </w:tcMar>
          </w:tcPr>
          <w:p>
            <w:r>
              <w:rPr>
                <w:rFonts w:ascii="Calibri" w:cs="Calibri" w:eastAsia="Calibri" w:hAnsi="Calibri"/>
                <w:sz w:val="21"/>
                <w:szCs w:val="21"/>
              </w:rPr>
              <w:t xml:space="preserve">August 2026</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Word Count:</w:t>
            </w:r>
          </w:p>
        </w:tc>
        <w:tc>
          <w:tcPr>
            <w:tcW w:type="dxa" w:w="5000"/>
            <w:tcMar>
              <w:top w:type="dxa" w:w="100"/>
              <w:left w:type="dxa" w:w="100"/>
              <w:bottom w:type="dxa" w:w="100"/>
              <w:right w:type="dxa" w:w="100"/>
            </w:tcMar>
          </w:tcPr>
          <w:p>
            <w:r>
              <w:rPr>
                <w:rFonts w:ascii="Calibri" w:cs="Calibri" w:eastAsia="Calibri" w:hAnsi="Calibri"/>
                <w:sz w:val="21"/>
                <w:szCs w:val="21"/>
              </w:rPr>
              <w:t xml:space="preserve">~480 words</w:t>
            </w:r>
          </w:p>
        </w:tc>
      </w:tr>
    </w:tbl>
    <w:p>
      <w:r>
        <w:br w:type="page"/>
      </w:r>
    </w:p>
    <w:p>
      <w:pPr>
        <w:spacing w:after="160" w:line="276"/>
        <w:jc w:val="both"/>
      </w:pPr>
      <w:r>
        <w:rPr>
          <w:rFonts w:ascii="Calibri" w:cs="Calibri" w:eastAsia="Calibri" w:hAnsi="Calibri"/>
          <w:sz w:val="22"/>
          <w:szCs w:val="22"/>
        </w:rPr>
        <w:t xml:space="preserve">This write-up documents the manner in which Artificial Intelligence (AI) tools were utilised during the completion of the Part 1 assessment for Mobile Application Development. AI served as a collaborative assistant throughout the research, design, and documentation phases, augmenting — rather than replacing — critical thinking and technical decision-making.</w:t>
      </w:r>
    </w:p>
    <w:p>
      <w:pPr>
        <w:pStyle w:val="Heading1"/>
        <w:pBdr>
          <w:bottom w:val="single" w:color="A6791C" w:sz="6" w:space="4"/>
        </w:pBdr>
        <w:spacing w:after="200" w:before="400"/>
      </w:pPr>
      <w:r>
        <w:rPr>
          <w:rFonts w:ascii="Calibri" w:cs="Calibri" w:eastAsia="Calibri" w:hAnsi="Calibri"/>
          <w:b/>
          <w:bCs/>
          <w:color w:val="07452F"/>
          <w:sz w:val="30"/>
          <w:szCs w:val="30"/>
        </w:rPr>
        <w:t xml:space="preserve">Research and Competitor Analysis</w:t>
      </w:r>
    </w:p>
    <w:p>
      <w:pPr>
        <w:spacing w:after="160" w:line="276"/>
        <w:jc w:val="both"/>
      </w:pPr>
      <w:r>
        <w:rPr>
          <w:rFonts w:ascii="Calibri" w:cs="Calibri" w:eastAsia="Calibri" w:hAnsi="Calibri"/>
          <w:sz w:val="22"/>
          <w:szCs w:val="22"/>
        </w:rPr>
        <w:t xml:space="preserve">AI tools were instrumental in accelerating the research phase by synthesising publicly available information about Todoist, Google Keep, and Microsoft To Do. Rather than manually browsing dozens of review sites, AI helped consolidate feature comparisons, identify common architectural patterns (MVVM, Repository pattern), and highlight gaps in existing applications' offline capabilities and language support. This allowed for a more focused analysis of how each app handles RoomDB synchronisation, Firebase Cloud Messaging integration, and multi-language localisation — all critical requirements for MzanziFlow.</w:t>
      </w:r>
    </w:p>
    <w:p>
      <w:pPr>
        <w:pStyle w:val="Heading1"/>
        <w:pBdr>
          <w:bottom w:val="single" w:color="A6791C" w:sz="6" w:space="4"/>
        </w:pBdr>
        <w:spacing w:after="200" w:before="400"/>
      </w:pPr>
      <w:r>
        <w:rPr>
          <w:rFonts w:ascii="Calibri" w:cs="Calibri" w:eastAsia="Calibri" w:hAnsi="Calibri"/>
          <w:b/>
          <w:bCs/>
          <w:color w:val="07452F"/>
          <w:sz w:val="30"/>
          <w:szCs w:val="30"/>
        </w:rPr>
        <w:t xml:space="preserve">Technical Architecture and Database Design</w:t>
      </w:r>
    </w:p>
    <w:p>
      <w:pPr>
        <w:spacing w:after="160" w:line="276"/>
        <w:jc w:val="both"/>
      </w:pPr>
      <w:r>
        <w:rPr>
          <w:rFonts w:ascii="Calibri" w:cs="Calibri" w:eastAsia="Calibri" w:hAnsi="Calibri"/>
          <w:sz w:val="22"/>
          <w:szCs w:val="22"/>
        </w:rPr>
        <w:t xml:space="preserve">AI assisted in structuring the technical architecture by suggesting best practices for Android development. For example, when designing the offline-first sync mechanism, AI provided conceptual guidance on implementing RoomDB with WorkManager, including the syncStatus flag pattern (PENDING, SYNCED, CONFLICT). The following conceptual code structure for the RoomDB Task entity was refined with AI assistance: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@Entity(tableName = "tasks")</w:t>
            </w:r>
          </w:p>
          <w:p>
            <w:pPr>
              <w:spacing w:after="0"/>
            </w:pPr>
            <w:r>
              <w:rPr>
                <w:rFonts w:ascii="Consolas" w:cs="Consolas" w:eastAsia="Consolas" w:hAnsi="Consolas"/>
                <w:sz w:val="19"/>
                <w:szCs w:val="19"/>
              </w:rPr>
              <w:t xml:space="preserve">data class Task(</w:t>
            </w:r>
          </w:p>
          <w:p>
            <w:pPr>
              <w:spacing w:after="0"/>
            </w:pPr>
            <w:r>
              <w:rPr>
                <w:rFonts w:ascii="Consolas" w:cs="Consolas" w:eastAsia="Consolas" w:hAnsi="Consolas"/>
                <w:sz w:val="19"/>
                <w:szCs w:val="19"/>
              </w:rPr>
              <w:t xml:space="preserve">    @PrimaryKey val taskId: String = UUID.randomUUID().toString(),</w:t>
            </w:r>
          </w:p>
          <w:p>
            <w:pPr>
              <w:spacing w:after="0"/>
            </w:pPr>
            <w:r>
              <w:rPr>
                <w:rFonts w:ascii="Consolas" w:cs="Consolas" w:eastAsia="Consolas" w:hAnsi="Consolas"/>
                <w:sz w:val="19"/>
                <w:szCs w:val="19"/>
              </w:rPr>
              <w:t xml:space="preserve">    val userId: String,</w:t>
            </w:r>
          </w:p>
          <w:p>
            <w:pPr>
              <w:spacing w:after="0"/>
            </w:pPr>
            <w:r>
              <w:rPr>
                <w:rFonts w:ascii="Consolas" w:cs="Consolas" w:eastAsia="Consolas" w:hAnsi="Consolas"/>
                <w:sz w:val="19"/>
                <w:szCs w:val="19"/>
              </w:rPr>
              <w:t xml:space="preserve">    val title: String,</w:t>
            </w:r>
          </w:p>
          <w:p>
            <w:pPr>
              <w:spacing w:after="0"/>
            </w:pPr>
            <w:r>
              <w:rPr>
                <w:rFonts w:ascii="Consolas" w:cs="Consolas" w:eastAsia="Consolas" w:hAnsi="Consolas"/>
                <w:sz w:val="19"/>
                <w:szCs w:val="19"/>
              </w:rPr>
              <w:t xml:space="preserve">    val description: String?,</w:t>
            </w:r>
          </w:p>
          <w:p>
            <w:pPr>
              <w:spacing w:after="0"/>
            </w:pPr>
            <w:r>
              <w:rPr>
                <w:rFonts w:ascii="Consolas" w:cs="Consolas" w:eastAsia="Consolas" w:hAnsi="Consolas"/>
                <w:sz w:val="19"/>
                <w:szCs w:val="19"/>
              </w:rPr>
              <w:t xml:space="preserve">    val dueDate: Long?,</w:t>
            </w:r>
          </w:p>
          <w:p>
            <w:pPr>
              <w:spacing w:after="0"/>
            </w:pPr>
            <w:r>
              <w:rPr>
                <w:rFonts w:ascii="Consolas" w:cs="Consolas" w:eastAsia="Consolas" w:hAnsi="Consolas"/>
                <w:sz w:val="19"/>
                <w:szCs w:val="19"/>
              </w:rPr>
              <w:t xml:space="preserve">    val priority: Int = 2, // 1=Low, 2=Medium, 3=High</w:t>
            </w:r>
          </w:p>
          <w:p>
            <w:pPr>
              <w:spacing w:after="0"/>
            </w:pPr>
            <w:r>
              <w:rPr>
                <w:rFonts w:ascii="Consolas" w:cs="Consolas" w:eastAsia="Consolas" w:hAnsi="Consolas"/>
                <w:sz w:val="19"/>
                <w:szCs w:val="19"/>
              </w:rPr>
              <w:t xml:space="preserve">    val category: String = "Academic",</w:t>
            </w:r>
          </w:p>
          <w:p>
            <w:pPr>
              <w:spacing w:after="0"/>
            </w:pPr>
            <w:r>
              <w:rPr>
                <w:rFonts w:ascii="Consolas" w:cs="Consolas" w:eastAsia="Consolas" w:hAnsi="Consolas"/>
                <w:sz w:val="19"/>
                <w:szCs w:val="19"/>
              </w:rPr>
              <w:t xml:space="preserve">    val projectId: String?,</w:t>
            </w:r>
          </w:p>
          <w:p>
            <w:pPr>
              <w:spacing w:after="0"/>
            </w:pPr>
            <w:r>
              <w:rPr>
                <w:rFonts w:ascii="Consolas" w:cs="Consolas" w:eastAsia="Consolas" w:hAnsi="Consolas"/>
                <w:sz w:val="19"/>
                <w:szCs w:val="19"/>
              </w:rPr>
              <w:t xml:space="preserve">    val isCompleted: Boolean = false,</w:t>
            </w:r>
          </w:p>
          <w:p>
            <w:pPr>
              <w:spacing w:after="0"/>
            </w:pPr>
            <w:r>
              <w:rPr>
                <w:rFonts w:ascii="Consolas" w:cs="Consolas" w:eastAsia="Consolas" w:hAnsi="Consolas"/>
                <w:sz w:val="19"/>
                <w:szCs w:val="19"/>
              </w:rPr>
              <w:t xml:space="preserve">    val syncStatus: SyncStatus = SyncStatus.PENDING,</w:t>
            </w:r>
          </w:p>
          <w:p>
            <w:pPr>
              <w:spacing w:after="0"/>
            </w:pPr>
            <w:r>
              <w:rPr>
                <w:rFonts w:ascii="Consolas" w:cs="Consolas" w:eastAsia="Consolas" w:hAnsi="Consolas"/>
                <w:sz w:val="19"/>
                <w:szCs w:val="19"/>
              </w:rPr>
              <w:t xml:space="preserve">    val lastModified: Long = System.currentTimeMillis()</w:t>
            </w:r>
          </w:p>
          <w:p>
            <w:pPr>
              <w:spacing w:after="0"/>
            </w:pPr>
            <w:r>
              <w:rPr>
                <w:rFonts w:ascii="Consolas" w:cs="Consolas" w:eastAsia="Consolas" w:hAnsi="Consolas"/>
                <w:sz w:val="19"/>
                <w:szCs w:val="19"/>
              </w:rPr>
              <w:t xml:space="preserve">)</w:t>
            </w:r>
          </w:p>
        </w:tc>
      </w:tr>
    </w:tbl>
    <w:p>
      <w:pPr>
        <w:spacing w:before="220"/>
      </w:pPr>
    </w:p>
    <w:p>
      <w:pPr>
        <w:spacing w:after="160" w:line="276"/>
        <w:jc w:val="both"/>
      </w:pPr>
      <w:r>
        <w:rPr>
          <w:rFonts w:ascii="Calibri" w:cs="Calibri" w:eastAsia="Calibri" w:hAnsi="Calibri"/>
          <w:sz w:val="22"/>
          <w:szCs w:val="22"/>
        </w:rPr>
        <w:t xml:space="preserve">Similarly, AI helped draft the Retrofit API interface for communicating with the Node.js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interface ApiService {</w:t>
            </w:r>
          </w:p>
          <w:p>
            <w:pPr>
              <w:spacing w:after="0"/>
            </w:pPr>
            <w:r>
              <w:rPr>
                <w:rFonts w:ascii="Consolas" w:cs="Consolas" w:eastAsia="Consolas" w:hAnsi="Consolas"/>
                <w:sz w:val="19"/>
                <w:szCs w:val="19"/>
              </w:rPr>
              <w:t xml:space="preserve">    @GET("api/tasks")</w:t>
            </w:r>
          </w:p>
          <w:p>
            <w:pPr>
              <w:spacing w:after="0"/>
            </w:pPr>
            <w:r>
              <w:rPr>
                <w:rFonts w:ascii="Consolas" w:cs="Consolas" w:eastAsia="Consolas" w:hAnsi="Consolas"/>
                <w:sz w:val="19"/>
                <w:szCs w:val="19"/>
              </w:rPr>
              <w:t xml:space="preserve">    suspend fun getTasks(@Header("Authorization") token: String):</w:t>
            </w:r>
          </w:p>
          <w:p>
            <w:pPr>
              <w:spacing w:after="0"/>
            </w:pPr>
            <w:r>
              <w:rPr>
                <w:rFonts w:ascii="Consolas" w:cs="Consolas" w:eastAsia="Consolas" w:hAnsi="Consolas"/>
                <w:sz w:val="19"/>
                <w:szCs w:val="19"/>
              </w:rPr>
              <w:t xml:space="preserve">        Response&lt;List&lt;TaskDto&gt;&gt;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@POST("api/tasks/sync")</w:t>
            </w:r>
          </w:p>
          <w:p>
            <w:pPr>
              <w:spacing w:after="0"/>
            </w:pPr>
            <w:r>
              <w:rPr>
                <w:rFonts w:ascii="Consolas" w:cs="Consolas" w:eastAsia="Consolas" w:hAnsi="Consolas"/>
                <w:sz w:val="19"/>
                <w:szCs w:val="19"/>
              </w:rPr>
              <w:t xml:space="preserve">    suspend fun syncTasks(</w:t>
            </w:r>
          </w:p>
          <w:p>
            <w:pPr>
              <w:spacing w:after="0"/>
            </w:pPr>
            <w:r>
              <w:rPr>
                <w:rFonts w:ascii="Consolas" w:cs="Consolas" w:eastAsia="Consolas" w:hAnsi="Consolas"/>
                <w:sz w:val="19"/>
                <w:szCs w:val="19"/>
              </w:rPr>
              <w:t xml:space="preserve">        @Header("Authorization") token: String,</w:t>
            </w:r>
          </w:p>
          <w:p>
            <w:pPr>
              <w:spacing w:after="0"/>
            </w:pPr>
            <w:r>
              <w:rPr>
                <w:rFonts w:ascii="Consolas" w:cs="Consolas" w:eastAsia="Consolas" w:hAnsi="Consolas"/>
                <w:sz w:val="19"/>
                <w:szCs w:val="19"/>
              </w:rPr>
              <w:t xml:space="preserve">        @Body tasks: List&lt;TaskDto&gt;</w:t>
            </w:r>
          </w:p>
          <w:p>
            <w:pPr>
              <w:spacing w:after="0"/>
            </w:pPr>
            <w:r>
              <w:rPr>
                <w:rFonts w:ascii="Consolas" w:cs="Consolas" w:eastAsia="Consolas" w:hAnsi="Consolas"/>
                <w:sz w:val="19"/>
                <w:szCs w:val="19"/>
              </w:rPr>
              <w:t xml:space="preserve">    ): Response&lt;SyncResponse&gt;</w:t>
            </w:r>
          </w:p>
          <w:p>
            <w:pPr>
              <w:spacing w:after="0"/>
            </w:pPr>
            <w:r>
              <w:rPr>
                <w:rFonts w:ascii="Consolas" w:cs="Consolas" w:eastAsia="Consolas" w:hAnsi="Consolas"/>
                <w:sz w:val="19"/>
                <w:szCs w:val="19"/>
              </w:rPr>
              <w:t xml:space="preserve">}</w:t>
            </w:r>
          </w:p>
        </w:tc>
      </w:tr>
    </w:tbl>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Debugging Conceptual Errors</w:t>
      </w:r>
    </w:p>
    <w:p>
      <w:pPr>
        <w:spacing w:after="160" w:line="276"/>
        <w:jc w:val="both"/>
      </w:pPr>
      <w:r>
        <w:rPr>
          <w:rFonts w:ascii="Calibri" w:cs="Calibri" w:eastAsia="Calibri" w:hAnsi="Calibri"/>
          <w:sz w:val="22"/>
          <w:szCs w:val="22"/>
        </w:rPr>
        <w:t xml:space="preserve">During the design phase, AI helped resolve conceptual challenges. One significant issue was determining how to handle sync conflicts when a user edits a task offline while a collaborator edits the same task online. AI suggested a timestamp-based last-write-wins strategy combined with a ConflictResolution table that flags discrepancies for user confirmation. This approach was validated against Android documentation and adapted to fit MzanziFlow's specific requirements.</w:t>
      </w:r>
    </w:p>
    <w:p>
      <w:pPr>
        <w:spacing w:after="160" w:line="276"/>
        <w:jc w:val="both"/>
      </w:pPr>
      <w:r>
        <w:rPr>
          <w:rFonts w:ascii="Calibri" w:cs="Calibri" w:eastAsia="Calibri" w:hAnsi="Calibri"/>
          <w:sz w:val="22"/>
          <w:szCs w:val="22"/>
        </w:rPr>
        <w:t xml:space="preserve">AI also helped debug the notification strategy, clarifying the distinction between Firebase Cloud Messaging (for real-time collaboration alerts) and WorkManager with AlarmManager (for reliable local deadline reminders when FCM is unavailable). This dual-notification architecture ensures users never miss critical deadlines, even during load shedding-induced connectivity loss.</w:t>
      </w:r>
    </w:p>
    <w:p>
      <w:pPr>
        <w:pStyle w:val="Heading1"/>
        <w:pBdr>
          <w:bottom w:val="single" w:color="A6791C" w:sz="6" w:space="4"/>
        </w:pBdr>
        <w:spacing w:after="200" w:before="400"/>
      </w:pPr>
      <w:r>
        <w:rPr>
          <w:rFonts w:ascii="Calibri" w:cs="Calibri" w:eastAsia="Calibri" w:hAnsi="Calibri"/>
          <w:b/>
          <w:bCs/>
          <w:color w:val="07452F"/>
          <w:sz w:val="30"/>
          <w:szCs w:val="30"/>
        </w:rPr>
        <w:t xml:space="preserve">Gantt Chart and UML Diagram Generation</w:t>
      </w:r>
    </w:p>
    <w:p>
      <w:pPr>
        <w:spacing w:after="160" w:line="276"/>
        <w:jc w:val="both"/>
      </w:pPr>
      <w:r>
        <w:rPr>
          <w:rFonts w:ascii="Calibri" w:cs="Calibri" w:eastAsia="Calibri" w:hAnsi="Calibri"/>
          <w:sz w:val="22"/>
          <w:szCs w:val="22"/>
        </w:rPr>
        <w:t xml:space="preserve">AI assisted in structuring the 10-week Gantt chart by breaking down macro-tasks (e.g., "Implement the prototype") into granular, measurable sub-tasks such as "RoomDB entity creation", "Retrofit service interface design", and "FCM token registration". For the UML diagrams, AI provided textual descriptions of Use Case, Class, Sequence, and Deployment diagrams, ensuring all required system interactions — particularly the offline-to-online sync flow — were comprehensively documented.</w:t>
      </w:r>
    </w:p>
    <w:p>
      <w:pPr>
        <w:pStyle w:val="Heading1"/>
        <w:pBdr>
          <w:bottom w:val="single" w:color="A6791C" w:sz="6" w:space="4"/>
        </w:pBdr>
        <w:spacing w:after="200" w:before="400"/>
      </w:pPr>
      <w:r>
        <w:rPr>
          <w:rFonts w:ascii="Calibri" w:cs="Calibri" w:eastAsia="Calibri" w:hAnsi="Calibri"/>
          <w:b/>
          <w:bCs/>
          <w:color w:val="07452F"/>
          <w:sz w:val="30"/>
          <w:szCs w:val="30"/>
        </w:rPr>
        <w:t xml:space="preserve">Ethical Use and Academic Integrity</w:t>
      </w:r>
    </w:p>
    <w:p>
      <w:pPr>
        <w:spacing w:after="160" w:line="276"/>
        <w:jc w:val="both"/>
      </w:pPr>
      <w:r>
        <w:rPr>
          <w:rFonts w:ascii="Calibri" w:cs="Calibri" w:eastAsia="Calibri" w:hAnsi="Calibri"/>
          <w:sz w:val="22"/>
          <w:szCs w:val="22"/>
        </w:rPr>
        <w:t xml:space="preserve">All AI-generated content was critically reviewed, verified against official Android documentation (developer.android.com), and adapted to reflect the specific requirements of this assessment. AI suggestions were not accepted blindly; technical decisions were cross-referenced with course materials from PROG6212 and APPR6312. The final documents represent original synthesis and adaptation of AI-assisted research, ensuring compliance with academic integrity standards.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7452F"/>
      <w:sz w:val="30"/>
      <w:szCs w:val="30"/>
    </w:rPr>
  </w:style>
  <w:style w:type="paragraph" w:styleId="Heading2">
    <w:name w:val="Heading 2"/>
    <w:basedOn w:val="Normal"/>
    <w:next w:val="Normal"/>
    <w:qFormat/>
    <w:pPr>
      <w:spacing w:after="160" w:before="320"/>
    </w:pPr>
    <w:rPr>
      <w:rFonts w:ascii="Calibri" w:cs="Calibri" w:eastAsia="Calibri" w:hAnsi="Calibri"/>
      <w:b/>
      <w:bCs/>
      <w:color w:val="0B6E4F"/>
      <w:sz w:val="25"/>
      <w:szCs w:val="25"/>
    </w:rPr>
  </w:style>
  <w:style w:type="paragraph" w:styleId="Heading3">
    <w:name w:val="Heading 3"/>
    <w:basedOn w:val="Normal"/>
    <w:next w:val="Normal"/>
    <w:qFormat/>
    <w:pPr>
      <w:spacing w:after="120" w:before="240"/>
    </w:pPr>
    <w:rPr>
      <w:rFonts w:ascii="Calibri" w:cs="Calibri" w:eastAsia="Calibri" w:hAnsi="Calibri"/>
      <w:b/>
      <w:bCs/>
      <w:color w:val="A6791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MzanziFlow — AI Tool Usage Write-Up</dc:title>
  <dc:creator>Smangaliso</dc:creator>
  <cp:lastModifiedBy>Un-named</cp:lastModifiedBy>
  <cp:revision>1</cp:revision>
  <dcterms:created xsi:type="dcterms:W3CDTF">2026-08-24T20:11:49.125Z</dcterms:created>
  <dcterms:modified xsi:type="dcterms:W3CDTF">2026-08-24T20:11:49.125Z</dcterms:modified>
</cp:coreProperties>
</file>

<file path=docProps/custom.xml><?xml version="1.0" encoding="utf-8"?>
<Properties xmlns="http://schemas.openxmlformats.org/officeDocument/2006/custom-properties" xmlns:vt="http://schemas.openxmlformats.org/officeDocument/2006/docPropsVTypes"/>
</file>