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FlowMind Agent 系统需求文档</w:t>
      </w:r>
    </w:p>
    <w:p>
      <w:pPr>
        <w:jc w:val="center"/>
      </w:pPr>
      <w:r>
        <w:rPr>
          <w:color w:val="1F4D78"/>
          <w:sz w:val="28"/>
        </w:rPr>
        <w:t>基于飞书生态的 AI 内容运营与知识管理智能体平台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r/>
            <w:r>
              <w:rPr>
                <w:b/>
                <w:sz w:val="20"/>
              </w:rPr>
              <w:t>文档属性</w:t>
            </w:r>
          </w:p>
        </w:tc>
        <w:tc>
          <w:tcPr>
            <w:tcW w:type="dxa" w:w="6768"/>
            <w:vAlign w:val="center"/>
            <w:shd w:fill="F2F4F7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项目周期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0"/>
              </w:rPr>
              <w:t>5月20日 - 6月20日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项目类型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0"/>
              </w:rPr>
              <w:t>课程结课设计 Demo，前后端分离，Spring Boot 多模块模拟微服务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主要用户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0"/>
              </w:rPr>
              <w:t>内容运营人员、教育服务/保研咨询老师、小型团队管理员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当前版本边界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0"/>
              </w:rPr>
              <w:t>网页端 Demo；飞书、LLM、向量数据库均已预留真实接入或部分真实调用能力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保密提示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20"/>
              </w:rPr>
              <w:t>API Key 已迁移到 application-local.yml；该文件必须保持 Git 忽略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边界声明：</w:t>
            </w:r>
            <w:r>
              <w:rPr>
                <w:sz w:val="21"/>
              </w:rPr>
              <w:t>本文档根据当前代码结构与已实现功能编写。标记为“待补充”的内容需要在答辩前由项目组根据真实运行环境、成员分工或最终截图补齐。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项目可行性分析与领域描述</w:t>
      </w:r>
    </w:p>
    <w:p>
      <w:pPr>
        <w:pStyle w:val="Heading2"/>
      </w:pPr>
      <w:r>
        <w:t>1.1 领域归属与边界</w:t>
      </w:r>
    </w:p>
    <w:p>
      <w:r>
        <w:t>FlowMind Agent 属于“教育服务内容运营 + 知识管理 + AI 智能体协作平台”领域。系统面向保研辅导、教育咨询、个人 IP 内容运营和小型团队协作场景，核心任务是把人工经验驱动的内容生产、资料整理、学员分析、院校项目跟踪和飞书协作流程，沉淀为可复用的数据资产与智能体能力。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  <w:sz w:val="20"/>
              </w:rPr>
              <w:t>边界类型</w:t>
            </w:r>
          </w:p>
        </w:tc>
        <w:tc>
          <w:tcPr>
            <w:tcW w:type="dxa" w:w="4032"/>
            <w:vAlign w:val="center"/>
            <w:shd w:fill="F2F4F7"/>
          </w:tcPr>
          <w:p>
            <w:r/>
            <w:r>
              <w:rPr>
                <w:b/>
                <w:sz w:val="20"/>
              </w:rPr>
              <w:t>系统内范围</w:t>
            </w:r>
          </w:p>
        </w:tc>
        <w:tc>
          <w:tcPr>
            <w:tcW w:type="dxa" w:w="3168"/>
            <w:vAlign w:val="center"/>
            <w:shd w:fill="F2F4F7"/>
          </w:tcPr>
          <w:p>
            <w:r/>
            <w:r>
              <w:rPr>
                <w:b/>
                <w:sz w:val="20"/>
              </w:rPr>
              <w:t>系统外或后续扩展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业务边界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20"/>
              </w:rPr>
              <w:t>内容选题、文案库、知识库、飞书同步、学员/院校/分析 Demo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完整 CRM、真实支付、正式业务审批、复杂组织权限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技术边界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20"/>
              </w:rPr>
              <w:t>Vue3 前端、Spring Boot 多模块、MySQL、Weaviate、OpenAI-Compatible LLM、lark-cli 桥接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生产级服务注册发现、灰度发布、完整消息队列、正式对象存储上传链路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数据边界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20"/>
              </w:rPr>
              <w:t>Mock 学员/院校/内容数据、飞书知识库文档同步记录、向量检索索引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真实学生隐私数据、真实转化收入数据、完整飞书 Base 生产数据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AI边界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20"/>
              </w:rPr>
              <w:t>Agent Router、Content/Knowledge/Student/School/Feishu Agent、工具Trace、模型Reasoning展示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自动执行高风险外部操作、无人工确认的批量发布</w:t>
            </w:r>
          </w:p>
        </w:tc>
      </w:tr>
    </w:tbl>
    <w:p/>
    <w:p>
      <w:pPr>
        <w:pStyle w:val="Heading2"/>
      </w:pPr>
      <w:r>
        <w:t>1.2 用户类型与需求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F2F4F7"/>
          </w:tcPr>
          <w:p>
            <w:r/>
            <w:r>
              <w:rPr>
                <w:b/>
                <w:sz w:val="20"/>
              </w:rPr>
              <w:t>用户</w:t>
            </w:r>
          </w:p>
        </w:tc>
        <w:tc>
          <w:tcPr>
            <w:tcW w:type="dxa" w:w="3600"/>
            <w:vAlign w:val="center"/>
            <w:shd w:fill="F2F4F7"/>
          </w:tcPr>
          <w:p>
            <w:r/>
            <w:r>
              <w:rPr>
                <w:b/>
                <w:sz w:val="20"/>
              </w:rPr>
              <w:t>核心需求</w:t>
            </w:r>
          </w:p>
        </w:tc>
        <w:tc>
          <w:tcPr>
            <w:tcW w:type="dxa" w:w="3744"/>
            <w:vAlign w:val="center"/>
            <w:shd w:fill="F2F4F7"/>
          </w:tcPr>
          <w:p>
            <w:r/>
            <w:r>
              <w:rPr>
                <w:b/>
                <w:sz w:val="20"/>
              </w:rPr>
              <w:t>系统解决的问题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内容运营人员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快速生成小红书选题、朋友圈文案、公众号标题；查看历史文案和日历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降低重复写作成本，保留内容资产，追踪是否使用与发布效果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保研咨询/教务老师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查询知识库、分析学员画像、匹配院校项目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把经验判断转为结构化分析，减少资料翻找和重复解释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团队管理员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配置模型、Prompt、飞书能力、成员协作边界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统一入口、降低多人协作改代码冲突，便于扩展 MCP/Skill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答辩/评审用户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看到完整演示链路、数据看板和系统架构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20"/>
              </w:rPr>
              <w:t>证明系统不是单页聊天框，而是业务平台与智能体能力的结合</w:t>
            </w:r>
          </w:p>
        </w:tc>
      </w:tr>
    </w:tbl>
    <w:p/>
    <w:p>
      <w:pPr>
        <w:pStyle w:val="Heading2"/>
      </w:pPr>
      <w:r>
        <w:t>1.3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  <w:sz w:val="20"/>
              </w:rPr>
              <w:t>竞品/方案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20"/>
              </w:rPr>
              <w:t>优势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b/>
                <w:sz w:val="20"/>
              </w:rPr>
              <w:t>不足</w:t>
            </w:r>
          </w:p>
        </w:tc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  <w:sz w:val="20"/>
              </w:rPr>
              <w:t>FlowMind 的差异化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豆包/通用AI助手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对话体验成熟，生成能力强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不绑定本地业务数据与飞书沉淀结构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以AI工作台为入口，同时保留主题库、文案库、日历、知识库和飞书协作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飞书文档/多维表格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协作与数据管理强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AI生成、知识检索和业务SOP需要自行组合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通过Feishu Agent与lark-cli桥接，把飞书作为数据沉淀与输出端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Notion AI/知识库工具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知识管理体验好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中文教育内容运营与保研场景支持弱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面向保研辅导场景设计字段、Mock数据和内容SOP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传统后台管理系统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数据表单和权限清晰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20"/>
              </w:rPr>
              <w:t>缺少自然语言入口和智能体工具调用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将后台管理与AI智能体工作台融合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竞品结论：</w:t>
            </w:r>
            <w:r>
              <w:rPr>
                <w:sz w:val="21"/>
              </w:rPr>
              <w:t>劣势与风险：当前 Demo 仍以课程展示为主，真实飞书 Base 写入、生产权限体系、文件上传存储链路和高并发部署尚未完全生产化。</w:t>
            </w:r>
          </w:p>
        </w:tc>
      </w:tr>
    </w:tbl>
    <w:p/>
    <w:p>
      <w:pPr>
        <w:pStyle w:val="Heading1"/>
      </w:pPr>
      <w:r>
        <w:t>2. 系统功能分析、原型设计与开发计划</w:t>
      </w:r>
    </w:p>
    <w:p>
      <w:pPr>
        <w:pStyle w:val="Heading2"/>
      </w:pPr>
      <w:r>
        <w:t>2.1 功能分解层次图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-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图1 功能分解层次图：按功能优先级和业务依赖组织</w:t>
      </w:r>
    </w:p>
    <w:p>
      <w:pPr>
        <w:pStyle w:val="Heading2"/>
      </w:pPr>
      <w:r>
        <w:t>2.2 功能清单与优先级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fill="F2F4F7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3888"/>
            <w:vAlign w:val="center"/>
            <w:shd w:fill="F2F4F7"/>
          </w:tcPr>
          <w:p>
            <w:r/>
            <w:r>
              <w:rPr>
                <w:b/>
                <w:sz w:val="20"/>
              </w:rPr>
              <w:t>功能</w:t>
            </w:r>
          </w:p>
        </w:tc>
        <w:tc>
          <w:tcPr>
            <w:tcW w:type="dxa" w:w="792"/>
            <w:vAlign w:val="center"/>
            <w:shd w:fill="F2F4F7"/>
          </w:tcPr>
          <w:p>
            <w:r/>
            <w:r>
              <w:rPr>
                <w:b/>
                <w:sz w:val="20"/>
              </w:rPr>
              <w:t>权重</w:t>
            </w:r>
          </w:p>
        </w:tc>
        <w:tc>
          <w:tcPr>
            <w:tcW w:type="dxa" w:w="2088"/>
            <w:vAlign w:val="center"/>
            <w:shd w:fill="F2F4F7"/>
          </w:tcPr>
          <w:p>
            <w:r/>
            <w:r>
              <w:rPr>
                <w:b/>
                <w:sz w:val="20"/>
              </w:rPr>
              <w:t>依赖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b/>
                <w:sz w:val="20"/>
              </w:rPr>
              <w:t>当前状态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AI工作台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自然语言输入、自动路由五类Agent、流式回答、工具Trace、模型Thinking展示与落库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LLMClient、AgentExtension、MySQL会话表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已实现主链路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内容运营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主题库、文案库、内容日历、评分、手动增删改、历史文案、图片/配图建议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content-service、MySQL内容表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已实现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知识库/RAG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飞书文档同步、文档列表、Embedding、Weaviate检索、MySQL fallback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85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knowledge-service、Weaviate、Embedding API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已实现/部分依赖外部服务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飞书能力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文档创建读取、共享文件夹列举、同步日志、lark-cli授权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lark-cli、飞书授权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部分真实调用，部分Mock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学员管理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学员信息、风险等级、申请进度、AI分析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student-service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Demo数据与接口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院校情报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院校项目、夏令营/预推免、截止日期、AI推荐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school-service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Demo数据与接口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学生分布、GPA、申请漏斗、内容统计、截止趋势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analytics-service、ECharts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Mock统计接口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系统设置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20"/>
              </w:rPr>
              <w:t>模型配置、Prompt模板、飞书配置、权限、日志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20"/>
              </w:rPr>
              <w:t>55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0"/>
              </w:rPr>
              <w:t>user-service、prompt接口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页面与接口预留</w:t>
            </w:r>
          </w:p>
        </w:tc>
      </w:tr>
    </w:tbl>
    <w:p/>
    <w:p>
      <w:pPr>
        <w:pStyle w:val="Heading2"/>
      </w:pPr>
      <w:r>
        <w:t>2.3 UML用例图与权限方案</w:t>
      </w:r>
    </w:p>
    <w:p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图2 UML用例图：当前Demo用户与外部系统协作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F2F4F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4608"/>
            <w:vAlign w:val="center"/>
            <w:shd w:fill="F2F4F7"/>
          </w:tcPr>
          <w:p>
            <w:r/>
            <w:r>
              <w:rPr>
                <w:b/>
                <w:sz w:val="20"/>
              </w:rPr>
              <w:t>权限范围</w:t>
            </w:r>
          </w:p>
        </w:tc>
        <w:tc>
          <w:tcPr>
            <w:tcW w:type="dxa" w:w="2736"/>
            <w:vAlign w:val="center"/>
            <w:shd w:fill="F2F4F7"/>
          </w:tcPr>
          <w:p>
            <w:r/>
            <w:r>
              <w:rPr>
                <w:b/>
                <w:sz w:val="20"/>
              </w:rPr>
              <w:t>鉴权说明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未登录用户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仅访问登录页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20"/>
              </w:rPr>
              <w:t>前端路由守卫检查 localStorage token；后端预留统一鉴权拦截器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普通运营成员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AI工作台、内容运营、知识库查询、数据看板查看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20"/>
              </w:rPr>
              <w:t>Demo阶段使用 Mock Token；后续接JWT与RBAC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咨询/教务成员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学员管理、院校情报、知识库、AI分析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20"/>
              </w:rPr>
              <w:t>可按菜单和接口路径授权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系统设置、Prompt模板、飞书配置、扩展能力接入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20"/>
              </w:rPr>
              <w:t>需要具备配置敏感信息和管理成员权限</w:t>
            </w:r>
          </w:p>
        </w:tc>
      </w:tr>
    </w:tbl>
    <w:p/>
    <w:p>
      <w:pPr>
        <w:pStyle w:val="Heading2"/>
      </w:pPr>
      <w:r>
        <w:t>2.4 客户端与服务端职责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  <w:sz w:val="20"/>
              </w:rPr>
              <w:t>端</w:t>
            </w:r>
          </w:p>
        </w:tc>
        <w:tc>
          <w:tcPr>
            <w:tcW w:type="dxa" w:w="4608"/>
            <w:vAlign w:val="center"/>
            <w:shd w:fill="F2F4F7"/>
          </w:tcPr>
          <w:p>
            <w:r/>
            <w:r>
              <w:rPr>
                <w:b/>
                <w:sz w:val="20"/>
              </w:rPr>
              <w:t>已实现/承担功能</w:t>
            </w:r>
          </w:p>
        </w:tc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  <w:sz w:val="20"/>
              </w:rPr>
              <w:t>不承担的职责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前端 Vue3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登录页、主布局、AI工作台、内容/知识/学员/院校/分析/飞书/设置页面；SSE流式解析；Markdown渲染；ECharts图表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不直接保存敏感Key，不直接访问数据库，不直接执行飞书CLI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后端 Spring Boot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REST接口、统一ApiResponse、Agent路由、LLM调用、工具扩展、MySQL初始化与数据持久化、Weaviate检索、飞书工具桥接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不把LLM开放为任意Shell执行器，不在公共配置保存API Key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外部系统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20"/>
              </w:rPr>
              <w:t>DeepSeek/OpenAI-Compatible模型、飞书开放平台、Weaviate、Embedding服务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不由Demo保证稳定性，失败时需有Trace记录和降级说明</w:t>
            </w:r>
          </w:p>
        </w:tc>
      </w:tr>
    </w:tbl>
    <w:p/>
    <w:p>
      <w:pPr>
        <w:pStyle w:val="Heading2"/>
      </w:pPr>
      <w:r>
        <w:t>2.5 原型界面与截图说明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待补充：</w:t>
            </w:r>
            <w:r>
              <w:rPr>
                <w:sz w:val="21"/>
              </w:rPr>
              <w:t>以下为截图占位说明。由于本文档生成过程未启动浏览器采集真实运行截图，答辩前应替换为本机运行截图。建议截图路径：登录页、Dashboard、AI工作台、内容运营、知识库/向量检索、飞书同步、数据分析。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20"/>
              </w:rPr>
              <w:t>截图位置</w:t>
            </w:r>
          </w:p>
        </w:tc>
        <w:tc>
          <w:tcPr>
            <w:tcW w:type="dxa" w:w="6912"/>
            <w:vAlign w:val="center"/>
            <w:shd w:fill="F2F4F7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登录页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展示 FlowMind Agent 标识、渐变背景、Demo账号提示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AI工作台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展示总智能体对话、工具调用过程、模型Thinking折叠面板、会话历史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内容运营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展示主题库3x2分页、文案库分页、内容日历标记、历史文案编辑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知识库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展示飞书同步文档、标签、摘要、向量检索结果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展示ECharts概览卡片、学生分布、申请漏斗、内容统计</w:t>
            </w:r>
          </w:p>
        </w:tc>
      </w:tr>
    </w:tbl>
    <w:p/>
    <w:p>
      <w:pPr>
        <w:pStyle w:val="Heading2"/>
      </w:pPr>
      <w:r>
        <w:t>2.6 开发计划安排（5月20日-6月20日）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F2F4F7"/>
          </w:tcPr>
          <w:p>
            <w:r/>
            <w:r>
              <w:rPr>
                <w:b/>
                <w:sz w:val="20"/>
              </w:rPr>
              <w:t>阶段</w:t>
            </w:r>
          </w:p>
        </w:tc>
        <w:tc>
          <w:tcPr>
            <w:tcW w:type="dxa" w:w="1584"/>
            <w:vAlign w:val="center"/>
            <w:shd w:fill="F2F4F7"/>
          </w:tcPr>
          <w:p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3600"/>
            <w:vAlign w:val="center"/>
            <w:shd w:fill="F2F4F7"/>
          </w:tcPr>
          <w:p>
            <w:r/>
            <w:r>
              <w:rPr>
                <w:b/>
                <w:sz w:val="20"/>
              </w:rPr>
              <w:t>主要任务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20"/>
              </w:rPr>
              <w:t>产出物</w:t>
            </w:r>
          </w:p>
        </w:tc>
        <w:tc>
          <w:tcPr>
            <w:tcW w:type="dxa" w:w="1584"/>
            <w:vAlign w:val="center"/>
            <w:shd w:fill="F2F4F7"/>
          </w:tcPr>
          <w:p>
            <w:r/>
            <w:r>
              <w:rPr>
                <w:b/>
                <w:sz w:val="20"/>
              </w:rPr>
              <w:t>负责人建议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需求分析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5/20-5/24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明确领域边界、用户角色、内容SOP、飞书/向量库/LLM接入边界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需求文档、功能清单、用例图初稿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组长+全员评审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软件设计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5/25-5/31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确定前后端分离、多模块模拟微服务、数据库表、Agent接口、扩展目录规范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架构图、数据库设计、接口设计、包图/类图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后端负责人+前端负责人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基础开发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6/1-6/7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搭建Vue3/Element Plus界面、Spring Boot聚合启动、MySQL初始化、Mock数据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可启动Demo、README、基础页面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前后端分工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核心功能开发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6/8-6/14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AI工作台、内容运营库、知识库同步、飞书工具、向量检索、SSE流式回答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核心演示链路、接口联调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模块负责人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集成与优化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6/15-6/18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模型Thinking、工具Trace落库、响应式UI、README、安全配置、构建测试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稳定演示版本、运行说明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组长统筹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20"/>
              </w:rPr>
              <w:t>答辩准备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6/19-6/20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补真实截图、录制演示流程、检查Git仓库、整理讲稿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最终文档、PPT、Demo脚本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20"/>
              </w:rPr>
              <w:t>全员</w:t>
            </w:r>
          </w:p>
        </w:tc>
      </w:tr>
    </w:tbl>
    <w:p/>
    <w:p>
      <w:pPr>
        <w:pStyle w:val="Heading2"/>
      </w:pPr>
      <w:r>
        <w:t>2.7 Git协作与最小化冲突策略</w:t>
      </w:r>
    </w:p>
    <w:p>
      <w:pPr>
        <w:pStyle w:val="ListBullet"/>
      </w:pPr>
      <w:r>
        <w:t>主仓库使用 Git 管理，组长负责合并主分支、维护README和模块边界。</w:t>
      </w:r>
    </w:p>
    <w:p>
      <w:pPr>
        <w:pStyle w:val="ListBullet"/>
      </w:pPr>
      <w:r>
        <w:t>小组成员新增能力优先放到 backend/app-service/src/main/java/com/flowmind/contrib/capability/ 下，遵循 ToolService + Controller + 可选 Extension 的模式。</w:t>
      </w:r>
    </w:p>
    <w:p>
      <w:pPr>
        <w:pStyle w:val="ListBullet"/>
      </w:pPr>
      <w:r>
        <w:t>默认不修改 AgentRouter、BaseAgent、pom.xml、FlowMindApplication 等主流程文件，减少冲突。</w:t>
      </w:r>
    </w:p>
    <w:p>
      <w:pPr>
        <w:pStyle w:val="ListBullet"/>
      </w:pPr>
      <w:r>
        <w:t>敏感配置使用 application-local.yml 或环境变量，不提交 API Key。</w:t>
      </w:r>
    </w:p>
    <w:p>
      <w:pPr>
        <w:pStyle w:val="ListBullet"/>
      </w:pPr>
      <w:r>
        <w:t>每个功能提交前至少保证后端 package 或前端 build 通过。</w:t>
      </w:r>
    </w:p>
    <w:p>
      <w:pPr>
        <w:pStyle w:val="Heading1"/>
      </w:pPr>
      <w:r>
        <w:t>3. 领域模型与系统结构</w:t>
      </w:r>
    </w:p>
    <w:p>
      <w:pPr>
        <w:pStyle w:val="Heading2"/>
      </w:pPr>
      <w:r>
        <w:t>3.1 UML领域类图</w:t>
      </w:r>
    </w:p>
    <w:p>
      <w:r>
        <w:drawing>
          <wp:inline xmlns:a="http://schemas.openxmlformats.org/drawingml/2006/main" xmlns:pic="http://schemas.openxmlformats.org/drawingml/2006/picture">
            <wp:extent cx="5943600" cy="4004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图3 领域类图：主要业务对象与智能体协作对象</w:t>
      </w:r>
    </w:p>
    <w:p>
      <w:pPr>
        <w:pStyle w:val="Heading2"/>
      </w:pPr>
      <w:r>
        <w:t>3.2 领域对象说明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  <w:sz w:val="20"/>
              </w:rPr>
              <w:t>领域对象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320"/>
            <w:vAlign w:val="center"/>
            <w:shd w:fill="F2F4F7"/>
          </w:tcPr>
          <w:p>
            <w:r/>
            <w:r>
              <w:rPr>
                <w:b/>
                <w:sz w:val="20"/>
              </w:rPr>
              <w:t>关键字段/职责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AgentSession/AgentMessage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AI工作台会话与消息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sessionId、agentType、content、metadata；metadata保存Trace、Thinking和工具结果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Agent/AgentRouter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智能体抽象与路由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根据用户输入自动选择Content/Knowledge/Student/School/Feishu Agent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AgentExtension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MCP/Skill/工具扩展抽象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runtimeContext向Agent注入时间、联网、飞书、向量检索等上下文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ContentTheme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内容主题/选题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title、platform、type、status、rating、plannedDate、tags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ContentCopy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文案草稿/历史文案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channel、version、style、content、usageStatus、usedDate、imageSuggestion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KnowledgeDoc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知识库文档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title、summary、content、feishuToken、feishuUrl、tags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VectorChunk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向量库分片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title、chunkText、vector、mysqlId、feishuToken、distance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StudentProfile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学员画像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GPA、排名、英语成绩、目标院校、申请阶段、风险等级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SchoolProject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院校项目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学校、项目、条件、材料、截止日期、匹配分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FeishuResource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飞书资源抽象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folderToken、docToken、url、type、syncStatus</w:t>
            </w:r>
          </w:p>
        </w:tc>
      </w:tr>
    </w:tbl>
    <w:p/>
    <w:p>
      <w:pPr>
        <w:pStyle w:val="Heading2"/>
      </w:pPr>
      <w:r>
        <w:t>3.3 包图与模块职责</w:t>
      </w:r>
    </w:p>
    <w:p>
      <w:r>
        <w:drawing>
          <wp:inline xmlns:a="http://schemas.openxmlformats.org/drawingml/2006/main" xmlns:pic="http://schemas.openxmlformats.org/drawingml/2006/picture">
            <wp:extent cx="5943600" cy="3698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图4 包图：Demo聚合启动与后续微服务拆分边界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架构说明：</w:t>
            </w:r>
            <w:r>
              <w:rPr>
                <w:sz w:val="21"/>
              </w:rPr>
              <w:t>当前采用方案B：app-service 聚合启动，其他模块体现微服务边界。后续如拆成真实微服务，可将 user/content/knowledge/agent 等模块拆成独立进程，并补充注册中心、配置中心、网关路由和服务间鉴权。</w:t>
            </w:r>
          </w:p>
        </w:tc>
      </w:tr>
    </w:tbl>
    <w:p/>
    <w:p>
      <w:pPr>
        <w:pStyle w:val="Heading2"/>
      </w:pPr>
      <w:r>
        <w:t>3.4 数据模型概要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r/>
            <w:r>
              <w:rPr>
                <w:b/>
                <w:sz w:val="20"/>
              </w:rPr>
              <w:t>数据域</w:t>
            </w:r>
          </w:p>
        </w:tc>
        <w:tc>
          <w:tcPr>
            <w:tcW w:type="dxa" w:w="4320"/>
            <w:vAlign w:val="center"/>
            <w:shd w:fill="F2F4F7"/>
          </w:tcPr>
          <w:p>
            <w:r/>
            <w:r>
              <w:rPr>
                <w:b/>
                <w:sz w:val="20"/>
              </w:rPr>
              <w:t>主要表</w:t>
            </w:r>
          </w:p>
        </w:tc>
        <w:tc>
          <w:tcPr>
            <w:tcW w:type="dxa" w:w="3168"/>
            <w:vAlign w:val="center"/>
            <w:shd w:fill="F2F4F7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用户与权限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sys_user、sys_role、sys_user_role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支持登录、角色、后续RBAC扩展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智能体会话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agent_session、agent_conversation、prompt_template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会话列表、消息历史、Prompt模板；agent_conversation.metadata兼容旧数据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内容运营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content_theme、content_copy、content_copy_image、content_calendar、content_tag、content_theme_tag、content_generation_record、content_publish_metric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主题、文案、配图、日历、标签、生成流水和发布效果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知识库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knowledge_doc、knowledge_tag、knowledge_doc_tag、knowledge_sync_log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飞书文档同步、摘要、标签、向量索引来源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学员与院校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student_profile、student_application_progress、school_info、school_project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学员画像、申请阶段、院校项目与推荐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飞书与日志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feishu_sync_record、system_log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同步状态、机器人推送、系统日志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向量数据库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Weaviate class: KnowledgeDoc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title、chunkText、feishuToken、mysqlId、tags、chunkIndex、distance</w:t>
            </w:r>
          </w:p>
        </w:tc>
      </w:tr>
    </w:tbl>
    <w:p/>
    <w:p>
      <w:pPr>
        <w:pStyle w:val="Heading2"/>
      </w:pPr>
      <w:r>
        <w:t>3.5 动态模型：AI工作台问答顺序图</w:t>
      </w:r>
    </w:p>
    <w:p>
      <w:r>
        <w:drawing>
          <wp:inline xmlns:a="http://schemas.openxmlformats.org/drawingml/2006/main" xmlns:pic="http://schemas.openxmlformats.org/drawingml/2006/picture">
            <wp:extent cx="5943600" cy="3698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ai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图5 AI工作台顺序图：SSE流式输出、Reasoning和Trace落库</w:t>
      </w:r>
    </w:p>
    <w:p>
      <w:pPr>
        <w:pStyle w:val="Heading2"/>
      </w:pPr>
      <w:r>
        <w:t>3.6 动态模型：内容生成与沉淀活动图</w:t>
      </w:r>
    </w:p>
    <w:p>
      <w:r>
        <w:drawing>
          <wp:inline xmlns:a="http://schemas.openxmlformats.org/drawingml/2006/main" xmlns:pic="http://schemas.openxmlformats.org/drawingml/2006/picture">
            <wp:extent cx="5943600" cy="3698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content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图6 内容运营活动图：从输入到生成、沉淀和飞书同步</w:t>
      </w:r>
    </w:p>
    <w:p>
      <w:pPr>
        <w:pStyle w:val="Heading1"/>
      </w:pPr>
      <w:r>
        <w:t>4. 接口与运行约束</w:t>
      </w:r>
    </w:p>
    <w:p>
      <w:pPr>
        <w:pStyle w:val="Heading2"/>
      </w:pPr>
      <w:r>
        <w:t>4.1 REST接口概要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vAlign w:val="center"/>
            <w:shd w:fill="F2F4F7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7488"/>
            <w:vAlign w:val="center"/>
            <w:shd w:fill="F2F4F7"/>
          </w:tcPr>
          <w:p>
            <w:r/>
            <w:r>
              <w:rPr>
                <w:b/>
                <w:sz w:val="20"/>
              </w:rPr>
              <w:t>关键接口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POST /api/auth/login；POST /api/auth/register；GET /api/users/me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AI工作台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GET /api/agents；POST /api/agents/chat；POST /api/agents/chat/stream；GET /api/agents/sessions；GET /api/agents/conversations/{agentType}/{sessionId}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内容运营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GET/POST/DELETE /api/content/themes；GET/POST /api/content/drafts；GET /api/content/calendar；POST /api/content/sop/xiaohongshu/generate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知识库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GET /api/knowledge/docs；POST /api/knowledge/sync；GET /api/knowledge/vector/search；GET /api/knowledge/search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飞书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GET /api/feishu/sync/status；POST /api/feishu/docs/create；GET /api/feishu/knowledge-base/files；POST /api/feishu/bot/push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学员/院校/分析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GET/POST /api/students；POST /api/students/{id}/analyze；GET /api/schools；GET /api/analytics/overview</w:t>
            </w:r>
          </w:p>
        </w:tc>
      </w:tr>
    </w:tbl>
    <w:p/>
    <w:p>
      <w:pPr>
        <w:pStyle w:val="Heading2"/>
      </w:pPr>
      <w:r>
        <w:t>4.2 运行与安全约束</w:t>
      </w:r>
    </w:p>
    <w:p>
      <w:pPr>
        <w:pStyle w:val="ListBullet"/>
      </w:pPr>
      <w:r>
        <w:t>后端启动命令：backend 目录下执行 .\mvnw.cmd -s maven-settings.xml -pl app-service -am spring-boot:run。</w:t>
      </w:r>
    </w:p>
    <w:p>
      <w:pPr>
        <w:pStyle w:val="ListBullet"/>
      </w:pPr>
      <w:r>
        <w:t>前端启动命令：frontend 目录下执行 npm install 和 npm run dev。</w:t>
      </w:r>
    </w:p>
    <w:p>
      <w:pPr>
        <w:pStyle w:val="ListBullet"/>
      </w:pPr>
      <w:r>
        <w:t>MySQL 数据库为 FlowMind，应用启动时自动创建内容运营和会话相关表；SQL脚本保留完整设计。</w:t>
      </w:r>
    </w:p>
    <w:p>
      <w:pPr>
        <w:pStyle w:val="ListBullet"/>
      </w:pPr>
      <w:r>
        <w:t>DeepSeek/Embedding Key 放在 application-local.yml 或环境变量中，不能提交到GitHub。</w:t>
      </w:r>
    </w:p>
    <w:p>
      <w:pPr>
        <w:pStyle w:val="ListBullet"/>
      </w:pPr>
      <w:r>
        <w:t>LLMClient 使用 OpenAI-Compatible 协议，后续可切换 DeepSeek、豆包、通义千问、OpenAI或本地模型网关。</w:t>
      </w:r>
    </w:p>
    <w:p>
      <w:pPr>
        <w:pStyle w:val="ListBullet"/>
      </w:pPr>
      <w:r>
        <w:t>工具调用必须经过白名单 ToolService，不允许让LLM直接执行任意Shell命令。</w:t>
      </w:r>
    </w:p>
    <w:p>
      <w:pPr>
        <w:pStyle w:val="Heading1"/>
      </w:pPr>
      <w:r>
        <w:t>5. 风险、待补充项与验收标准</w:t>
      </w:r>
    </w:p>
    <w:p>
      <w:pPr>
        <w:pStyle w:val="Heading2"/>
      </w:pPr>
      <w:r>
        <w:t>5.1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b/>
                <w:sz w:val="20"/>
              </w:rPr>
              <w:t>影响</w:t>
            </w:r>
          </w:p>
        </w:tc>
        <w:tc>
          <w:tcPr>
            <w:tcW w:type="dxa" w:w="4176"/>
            <w:vAlign w:val="center"/>
            <w:shd w:fill="F2F4F7"/>
          </w:tcPr>
          <w:p>
            <w:r/>
            <w:r>
              <w:rPr>
                <w:b/>
                <w:sz w:val="20"/>
              </w:rPr>
              <w:t>应对策略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API Key泄露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产生费用和安全风险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20"/>
              </w:rPr>
              <w:t>使用application-local.yml和环境变量；已泄露Key必须轮换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飞书权限不足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文档读取/创建失败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20"/>
              </w:rPr>
              <w:t>README中记录授权流程；工具Trace显示失败原因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向量检索无结果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AI回答无法引用知识库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20"/>
              </w:rPr>
              <w:t>Weaviate失败时fallback到MySQL；回答中明确说明未命中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小组协作冲突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多人修改主流程导致合并困难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20"/>
              </w:rPr>
              <w:t>新增能力放contrib/capability，稳定后再纳入正式模块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Demo数据真实性不足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答辩说服力下降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20"/>
              </w:rPr>
              <w:t>用贴合保研场景的Mock数据，避免真实隐私</w:t>
            </w:r>
          </w:p>
        </w:tc>
      </w:tr>
    </w:tbl>
    <w:p/>
    <w:p>
      <w:pPr>
        <w:pStyle w:val="Heading2"/>
      </w:pPr>
      <w:r>
        <w:t>5.2 待补充项</w:t>
      </w:r>
    </w:p>
    <w:p>
      <w:pPr>
        <w:pStyle w:val="ListBullet"/>
      </w:pPr>
      <w:r>
        <w:t>补充真实运行截图：登录页、AI工作台、内容运营、知识库、飞书同步、数据分析。</w:t>
      </w:r>
    </w:p>
    <w:p>
      <w:pPr>
        <w:pStyle w:val="ListBullet"/>
      </w:pPr>
      <w:r>
        <w:t>补充最终小组成员分工表和每人Git提交记录。</w:t>
      </w:r>
    </w:p>
    <w:p>
      <w:pPr>
        <w:pStyle w:val="ListBullet"/>
      </w:pPr>
      <w:r>
        <w:t>如答辩要求更严格的UML，可用本文档图示作为底稿，用PlantUML重绘标准符号版本。</w:t>
      </w:r>
    </w:p>
    <w:p>
      <w:pPr>
        <w:pStyle w:val="ListBullet"/>
      </w:pPr>
      <w:r>
        <w:t>补充真实飞书Base字段设计与生产权限申请截图。</w:t>
      </w:r>
    </w:p>
    <w:p>
      <w:pPr>
        <w:pStyle w:val="ListBullet"/>
      </w:pPr>
      <w:r>
        <w:t>如最终使用deepseek-reasoner，补充模型Reasoning流式展示截图；如使用deepseek-chat，则说明该模型不返回reasoning字段。</w:t>
      </w:r>
    </w:p>
    <w:p>
      <w:pPr>
        <w:pStyle w:val="Heading2"/>
      </w:pPr>
      <w:r>
        <w:t>5.3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  <w:sz w:val="20"/>
              </w:rPr>
              <w:t>验收项</w:t>
            </w:r>
          </w:p>
        </w:tc>
        <w:tc>
          <w:tcPr>
            <w:tcW w:type="dxa" w:w="7200"/>
            <w:vAlign w:val="center"/>
            <w:shd w:fill="F2F4F7"/>
          </w:tcPr>
          <w:p>
            <w:r/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可启动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MySQL启动后，后端和前端按README命令可运行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AI工作台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支持流式回答、自动路由、工具Trace、模型Reasoning字段展示与落库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内容运营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主题、文案、日历均有Mock数据；支持增删改、评分、查看历史文案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知识检索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可查询Weaviate或MySQL fallback结果，并展示来源字段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飞书能力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可列举/读取/创建飞书文档；失败时有明确错误Trace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文档与协作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README、需求文档、架构说明和扩展说明齐全，敏感Key不进入仓库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  <w:sz w:val="21"/>
              </w:rPr>
              <w:t>结语：</w:t>
            </w:r>
            <w:r>
              <w:rPr>
                <w:sz w:val="21"/>
              </w:rPr>
              <w:t>本文档可作为答辩版系统需求文档初稿。后续扩充时建议只补充真实截图、成员分工、最终测试截图和飞书授权截图，不建议擅自改动当前系统边界。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