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120" w:before="0"/>
        <w:jc w:val="center"/>
      </w:pPr>
      <w:r>
        <w:rPr>
          <w:rFonts w:ascii="Times New Roman" w:cs="Times New Roman" w:eastAsia="Times New Roman" w:hAnsi="Times New Roman"/>
          <w:b/>
          <w:bCs/>
          <w:sz w:val="22"/>
          <w:szCs w:val="22"/>
        </w:rPr>
        <w:t xml:space="preserve">UNIVERSIDAD PANAMERICANA</w:t>
      </w:r>
    </w:p>
    <w:p>
      <w:pPr>
        <w:spacing w:after="120" w:before="0"/>
        <w:jc w:val="center"/>
      </w:pPr>
      <w:r>
        <w:rPr>
          <w:rFonts w:ascii="Times New Roman" w:cs="Times New Roman" w:eastAsia="Times New Roman" w:hAnsi="Times New Roman"/>
          <w:sz w:val="22"/>
          <w:szCs w:val="22"/>
        </w:rPr>
        <w:t xml:space="preserve">Facultad de Ciencias Empresariales</w:t>
      </w:r>
    </w:p>
    <w:p>
      <w:pPr>
        <w:spacing w:after="60"/>
      </w:pPr>
      <w:r>
        <w:t xml:space="preserve"/>
      </w:r>
    </w:p>
    <w:p>
      <w:pPr>
        <w:spacing w:after="120" w:before="0"/>
        <w:jc w:val="center"/>
      </w:pPr>
      <w:r>
        <w:rPr>
          <w:rFonts w:ascii="Times New Roman" w:cs="Times New Roman" w:eastAsia="Times New Roman" w:hAnsi="Times New Roman"/>
          <w:b/>
          <w:bCs/>
          <w:sz w:val="22"/>
          <w:szCs w:val="22"/>
        </w:rPr>
        <w:t xml:space="preserve">Series de Tiempo para Finanzas</w:t>
      </w:r>
    </w:p>
    <w:p>
      <w:pPr>
        <w:spacing w:after="120" w:before="0"/>
        <w:jc w:val="center"/>
      </w:pPr>
      <w:r>
        <w:rPr>
          <w:rFonts w:ascii="Times New Roman" w:cs="Times New Roman" w:eastAsia="Times New Roman" w:hAnsi="Times New Roman"/>
          <w:i/>
          <w:iCs/>
          <w:sz w:val="22"/>
          <w:szCs w:val="22"/>
        </w:rPr>
        <w:t xml:space="preserve">ARIMA · SARIMA · SARIMAX · Pronóstico</w:t>
      </w:r>
    </w:p>
    <w:p>
      <w:pPr>
        <w:spacing w:after="60"/>
      </w:pPr>
      <w:r>
        <w:t xml:space="preserve"/>
      </w:r>
    </w:p>
    <w:p>
      <w:pPr>
        <w:spacing w:after="120" w:before="0"/>
        <w:jc w:val="center"/>
      </w:pPr>
      <w:r>
        <w:rPr>
          <w:rFonts w:ascii="Times New Roman" w:cs="Times New Roman" w:eastAsia="Times New Roman" w:hAnsi="Times New Roman"/>
          <w:sz w:val="22"/>
          <w:szCs w:val="22"/>
        </w:rPr>
        <w:t xml:space="preserve">Dr. César Galindo  |  Verano 2026</w:t>
      </w:r>
    </w:p>
    <w:p>
      <w:pPr>
        <w:spacing w:after="60"/>
      </w:pPr>
      <w:r>
        <w:t xml:space="preserve"/>
      </w:r>
    </w:p>
    <w:p>
      <w:pPr>
        <w:spacing w:after="60"/>
      </w:pPr>
      <w:r>
        <w:t xml:space="preserve"/>
      </w:r>
    </w:p>
    <w:p>
      <w:pPr>
        <w:spacing w:after="120" w:before="0"/>
        <w:jc w:val="center"/>
      </w:pPr>
      <w:r>
        <w:rPr>
          <w:rFonts w:ascii="Times New Roman" w:cs="Times New Roman" w:eastAsia="Times New Roman" w:hAnsi="Times New Roman"/>
          <w:b/>
          <w:bCs/>
          <w:sz w:val="22"/>
          <w:szCs w:val="22"/>
        </w:rPr>
        <w:t xml:space="preserve">Alumno:  Juan Pablo Arciniega</w:t>
      </w:r>
    </w:p>
    <w:p>
      <w:pPr>
        <w:spacing w:after="60"/>
      </w:pPr>
      <w:r>
        <w:t xml:space="preserve"/>
      </w:r>
    </w:p>
    <w:p>
      <w:pPr>
        <w:spacing w:after="60"/>
      </w:pPr>
      <w:r>
        <w:t xml:space="preserve"/>
      </w:r>
    </w:p>
    <w:p>
      <w:pPr>
        <w:spacing w:after="60"/>
      </w:pPr>
      <w:r>
        <w:t xml:space="preserve"/>
      </w:r>
    </w:p>
    <w:p>
      <w:pPr>
        <w:pBdr>
          <w:bottom w:val="single" w:color="999999" w:sz="4" w:space="1"/>
        </w:pBdr>
        <w:spacing w:after="120"/>
      </w:pPr>
    </w:p>
    <w:p>
      <w:pPr>
        <w:pStyle w:val="Heading1"/>
        <w:spacing w:after="180" w:before="360"/>
      </w:pPr>
      <w:r>
        <w:rPr>
          <w:rFonts w:ascii="Times New Roman" w:cs="Times New Roman" w:eastAsia="Times New Roman" w:hAnsi="Times New Roman"/>
          <w:b/>
          <w:bCs/>
          <w:sz w:val="28"/>
          <w:szCs w:val="28"/>
        </w:rPr>
        <w:t xml:space="preserve">SECCIÓN 1 — Procesos Estacionarios y Fundamentos</w:t>
      </w:r>
    </w:p>
    <w:p>
      <w:pPr>
        <w:pStyle w:val="Heading2"/>
        <w:spacing w:after="120" w:before="240"/>
      </w:pPr>
      <w:r>
        <w:rPr>
          <w:rFonts w:ascii="Times New Roman" w:cs="Times New Roman" w:eastAsia="Times New Roman" w:hAnsi="Times New Roman"/>
          <w:b/>
          <w:bCs/>
          <w:i/>
          <w:iCs/>
          <w:sz w:val="24"/>
          <w:szCs w:val="24"/>
        </w:rPr>
        <w:t xml:space="preserve">Ejercicio 1.1 — Estacionariedad, ACF y PACF</w:t>
      </w:r>
    </w:p>
    <w:p>
      <w:pPr>
        <w:spacing w:after="80" w:before="180"/>
      </w:pPr>
      <w:r>
        <w:rPr>
          <w:rFonts w:ascii="Times New Roman" w:cs="Times New Roman" w:eastAsia="Times New Roman" w:hAnsi="Times New Roman"/>
          <w:b/>
          <w:bCs/>
          <w:sz w:val="22"/>
          <w:szCs w:val="22"/>
          <w:u w:val="single"/>
        </w:rPr>
        <w:t xml:space="preserve">(a) Estacionariedad débil vs. estricta</w:t>
      </w:r>
    </w:p>
    <w:p>
      <w:pPr>
        <w:spacing w:after="120" w:before="0"/>
        <w:jc w:val="both"/>
      </w:pPr>
      <w:r>
        <w:rPr>
          <w:rFonts w:ascii="Times New Roman" w:cs="Times New Roman" w:eastAsia="Times New Roman" w:hAnsi="Times New Roman"/>
          <w:sz w:val="22"/>
          <w:szCs w:val="22"/>
        </w:rPr>
        <w:t xml:space="preserve">Estacionariedad débil (de covarianza). Un proceso {Y_t} es débilmente estacionario si: (i) su media es constante E[Y_t] = μ para todo t; (ii) su función de autocovarianza γ(k) = Cov(Y_t, Y_{t−k}) depende únicamente del rezago k y no de t.</w:t>
      </w:r>
    </w:p>
    <w:p>
      <w:pPr>
        <w:spacing w:after="120" w:before="0"/>
        <w:jc w:val="both"/>
      </w:pPr>
      <w:r>
        <w:rPr>
          <w:rFonts w:ascii="Times New Roman" w:cs="Times New Roman" w:eastAsia="Times New Roman" w:hAnsi="Times New Roman"/>
          <w:sz w:val="22"/>
          <w:szCs w:val="22"/>
        </w:rPr>
        <w:t xml:space="preserve">Estacionariedad estricta. La distribución conjunta de (Y_{t1}, …, Y_{tm}) es idéntica a la de (Y_{t1+h}, …, Y_{tm+h}) para todo h y cualquier elección de índices. Implica débil si el segundo momento es finito.</w:t>
      </w:r>
    </w:p>
    <w:p>
      <w:pPr>
        <w:spacing w:after="100"/>
        <w:jc w:val="both"/>
      </w:pPr>
      <w:r>
        <w:rPr>
          <w:rFonts w:ascii="Times New Roman" w:cs="Times New Roman" w:eastAsia="Times New Roman" w:hAnsi="Times New Roman"/>
          <w:b/>
          <w:bCs/>
          <w:sz w:val="22"/>
          <w:szCs w:val="22"/>
        </w:rPr>
        <w:t xml:space="preserve">Ejemplo: </w:t>
      </w:r>
      <w:r>
        <w:rPr>
          <w:rFonts w:ascii="Times New Roman" w:cs="Times New Roman" w:eastAsia="Times New Roman" w:hAnsi="Times New Roman"/>
          <w:sz w:val="22"/>
          <w:szCs w:val="22"/>
        </w:rPr>
        <w:t xml:space="preserve">Sea Y_t = ε_t con ε_t ∼ t(ν) i.i.d., ν &gt; 2. Entonces E[Y_t] = 0 y Cov(Y_t, Y_{t−k}) = 0 para k ≠ 0 (débilmente estacionario). Sin embargo, si transformamos linealmente sus momentos, la distribución marginal cambia al variar ν — un proceso con ε_t ∼ t(3) mezclado aleatoriamente no sería estrictamente estacionario.</w:t>
      </w:r>
      <w:r>
        <w:rPr>
          <w:rFonts w:ascii="Times New Roman" w:cs="Times New Roman" w:eastAsia="Times New Roman" w:hAnsi="Times New Roman"/>
          <w:sz w:val="22"/>
          <w:szCs w:val="22"/>
        </w:rPr>
        <w:t xml:space="preserve"> Un ejemplo canónico más directo: tome Y_t = Z donde Z ∼ N(0,1) es fija para todo t. Es débilmente estacionario (constante) pero no estrictamente porque la distribución conjunta de (Y_1, Y_2) es colineal, algo que no ocurriría con ruido blanco i.i.d.</w:t>
      </w:r>
    </w:p>
    <w:p>
      <w:pPr>
        <w:spacing w:after="80" w:before="180"/>
      </w:pPr>
      <w:r>
        <w:rPr>
          <w:rFonts w:ascii="Times New Roman" w:cs="Times New Roman" w:eastAsia="Times New Roman" w:hAnsi="Times New Roman"/>
          <w:b/>
          <w:bCs/>
          <w:sz w:val="22"/>
          <w:szCs w:val="22"/>
          <w:u w:val="single"/>
        </w:rPr>
        <w:t xml:space="preserve">(b) Prueba: |ρ(k)| ≤ 1 y ρ(k) = ρ(−k)</w:t>
      </w:r>
    </w:p>
    <w:p>
      <w:pPr>
        <w:spacing w:after="120" w:before="0"/>
        <w:jc w:val="both"/>
      </w:pPr>
      <w:r>
        <w:rPr>
          <w:rFonts w:ascii="Times New Roman" w:cs="Times New Roman" w:eastAsia="Times New Roman" w:hAnsi="Times New Roman"/>
          <w:sz w:val="22"/>
          <w:szCs w:val="22"/>
        </w:rPr>
        <w:t xml:space="preserve">Simetría: ρ(k) = γ(k)/γ(0) = Cov(Y_t, Y_{t−k})/Var(Y_t). Por la simetría de la covarianza Cov(Y_t, Y_{t−k}) = Cov(Y_{t−k}, Y_t) = γ(−k), de donde ρ(k) = ρ(−k). ∎</w:t>
      </w:r>
    </w:p>
    <w:p>
      <w:pPr>
        <w:spacing w:after="120" w:before="0"/>
        <w:jc w:val="both"/>
      </w:pPr>
      <w:r>
        <w:rPr>
          <w:rFonts w:ascii="Times New Roman" w:cs="Times New Roman" w:eastAsia="Times New Roman" w:hAnsi="Times New Roman"/>
          <w:sz w:val="22"/>
          <w:szCs w:val="22"/>
        </w:rPr>
        <w:t xml:space="preserve">Cota: Por la desigualdad de Cauchy-Schwarz, |Cov(Y_t, Y_{t−k})| ≤ √Var(Y_t) · √Var(Y_{t−k}). Dado que el proceso es estacionario, Var(Y_t) = Var(Y_{t−k}) = γ(0). Entonces |γ(k)| ≤ γ(0), lo que implica |ρ(k)| = |γ(k)|/γ(0) ≤ 1. ∎</w:t>
      </w:r>
    </w:p>
    <w:p>
      <w:pPr>
        <w:spacing w:after="80" w:before="180"/>
      </w:pPr>
      <w:r>
        <w:rPr>
          <w:rFonts w:ascii="Times New Roman" w:cs="Times New Roman" w:eastAsia="Times New Roman" w:hAnsi="Times New Roman"/>
          <w:b/>
          <w:bCs/>
          <w:sz w:val="22"/>
          <w:szCs w:val="22"/>
          <w:u w:val="single"/>
        </w:rPr>
        <w:t xml:space="preserve">(c) AR(1): Var, Cov y ρ(k) = 0.6^k</w:t>
      </w:r>
    </w:p>
    <w:p>
      <w:pPr>
        <w:spacing w:after="120" w:before="0"/>
        <w:jc w:val="both"/>
      </w:pPr>
      <w:r>
        <w:rPr>
          <w:rFonts w:ascii="Times New Roman" w:cs="Times New Roman" w:eastAsia="Times New Roman" w:hAnsi="Times New Roman"/>
          <w:sz w:val="22"/>
          <w:szCs w:val="22"/>
        </w:rPr>
        <w:t xml:space="preserve">Sea Y_t = 0.6 Y_{t−1} + ε_t con ε_t ∼ WN(0, σ²) y |0.6| &lt; 1.</w:t>
      </w:r>
    </w:p>
    <w:p>
      <w:pPr>
        <w:spacing w:after="120" w:before="0"/>
        <w:jc w:val="both"/>
      </w:pPr>
      <w:r>
        <w:rPr>
          <w:rFonts w:ascii="Times New Roman" w:cs="Times New Roman" w:eastAsia="Times New Roman" w:hAnsi="Times New Roman"/>
          <w:sz w:val="22"/>
          <w:szCs w:val="22"/>
        </w:rPr>
        <w:t xml:space="preserve">Varianza: Tomando varianzas en la ecuación del AR(1): Var(Y_t) = 0.36 Var(Y_{t−1}) + σ². Por estacionariedad Var(Y_t) = Var(Y_{t−1}) = γ(0), por lo que γ(0) = σ²/(1 − 0.36) = σ²/0.64.</w:t>
      </w:r>
    </w:p>
    <w:p>
      <w:pPr>
        <w:spacing w:after="120" w:before="0"/>
        <w:jc w:val="both"/>
      </w:pPr>
      <w:r>
        <w:rPr>
          <w:rFonts w:ascii="Times New Roman" w:cs="Times New Roman" w:eastAsia="Times New Roman" w:hAnsi="Times New Roman"/>
          <w:sz w:val="22"/>
          <w:szCs w:val="22"/>
        </w:rPr>
        <w:t xml:space="preserve">Autocovarianza a rezago 1: Cov(Y_t, Y_{t−1}) = Cov(0.6 Y_{t−1} + ε_t, Y_{t−1}) = 0.6 Var(Y_{t−1}) = 0.6 γ(0). Luego ρ(1) = 0.6.</w:t>
      </w:r>
    </w:p>
    <w:p>
      <w:pPr>
        <w:spacing w:after="120" w:before="0"/>
        <w:jc w:val="both"/>
      </w:pPr>
      <w:r>
        <w:rPr>
          <w:rFonts w:ascii="Times New Roman" w:cs="Times New Roman" w:eastAsia="Times New Roman" w:hAnsi="Times New Roman"/>
          <w:sz w:val="22"/>
          <w:szCs w:val="22"/>
        </w:rPr>
        <w:t xml:space="preserve">Estructura de decaimiento: Multiplicando la ecuación del AR(1) por Y_{t−k} y tomando esperanzas: γ(k) = 0.6 γ(k−1) para k ≥ 1. Esto implica γ(k) = 0.6^k γ(0), y por tanto ρ(k) = 0.6^k para k ≥ 0. ∎</w:t>
      </w:r>
    </w:p>
    <w:p>
      <w:pPr>
        <w:spacing w:after="80" w:before="180"/>
      </w:pPr>
      <w:r>
        <w:rPr>
          <w:rFonts w:ascii="Times New Roman" w:cs="Times New Roman" w:eastAsia="Times New Roman" w:hAnsi="Times New Roman"/>
          <w:b/>
          <w:bCs/>
          <w:sz w:val="22"/>
          <w:szCs w:val="22"/>
          <w:u w:val="single"/>
        </w:rPr>
        <w:t xml:space="preserve">(d) Patrones ACF y PACF</w:t>
      </w:r>
    </w:p>
    <w:p>
      <w:pPr>
        <w:spacing w:after="100"/>
        <w:jc w:val="both"/>
      </w:pPr>
      <w:r>
        <w:rPr>
          <w:rFonts w:ascii="Times New Roman" w:cs="Times New Roman" w:eastAsia="Times New Roman" w:hAnsi="Times New Roman"/>
          <w:b/>
          <w:bCs/>
          <w:sz w:val="22"/>
          <w:szCs w:val="22"/>
        </w:rPr>
        <w:t xml:space="preserve">AR(1) con φ &gt; 0: </w:t>
      </w:r>
      <w:r>
        <w:rPr>
          <w:rFonts w:ascii="Times New Roman" w:cs="Times New Roman" w:eastAsia="Times New Roman" w:hAnsi="Times New Roman"/>
          <w:sz w:val="22"/>
          <w:szCs w:val="22"/>
        </w:rPr>
        <w:t xml:space="preserve">La ACF decae exponencialmente: ρ(k) = φ^k → 0. La PACF tiene un único pico significativo en k = 1 y es prácticamente cero para k ≥ 2. El corte abrupto de la PACF revela el orden p = 1.</w:t>
      </w:r>
    </w:p>
    <w:p>
      <w:pPr>
        <w:spacing w:after="100"/>
        <w:jc w:val="both"/>
      </w:pPr>
      <w:r>
        <w:rPr>
          <w:rFonts w:ascii="Times New Roman" w:cs="Times New Roman" w:eastAsia="Times New Roman" w:hAnsi="Times New Roman"/>
          <w:b/>
          <w:bCs/>
          <w:sz w:val="22"/>
          <w:szCs w:val="22"/>
        </w:rPr>
        <w:t xml:space="preserve">MA(1) con θ &gt; 0: </w:t>
      </w:r>
      <w:r>
        <w:rPr>
          <w:rFonts w:ascii="Times New Roman" w:cs="Times New Roman" w:eastAsia="Times New Roman" w:hAnsi="Times New Roman"/>
          <w:sz w:val="22"/>
          <w:szCs w:val="22"/>
        </w:rPr>
        <w:t xml:space="preserve">La ACF tiene un único pico significativo en k = 1 [ρ(1) = θ/(1+θ²)] y es exactamente cero para k ≥ 2. La PACF decae exponencialmente. El corte abrupto de la ACF revela el orden q = 1.</w:t>
      </w:r>
    </w:p>
    <w:p>
      <w:pPr>
        <w:spacing w:after="100"/>
        <w:jc w:val="both"/>
      </w:pPr>
      <w:r>
        <w:rPr>
          <w:rFonts w:ascii="Times New Roman" w:cs="Times New Roman" w:eastAsia="Times New Roman" w:hAnsi="Times New Roman"/>
          <w:b/>
          <w:bCs/>
          <w:sz w:val="22"/>
          <w:szCs w:val="22"/>
        </w:rPr>
        <w:t xml:space="preserve">Ruido blanco: </w:t>
      </w:r>
      <w:r>
        <w:rPr>
          <w:rFonts w:ascii="Times New Roman" w:cs="Times New Roman" w:eastAsia="Times New Roman" w:hAnsi="Times New Roman"/>
          <w:sz w:val="22"/>
          <w:szCs w:val="22"/>
        </w:rPr>
        <w:t xml:space="preserve">ACF y PACF son estadísticamente cero para todos los rezagos k ≥ 1. Las autocorrelaciones muestrales siguen N(0, 1/T) bajo H₀.</w:t>
      </w:r>
    </w:p>
    <w:p>
      <w:pPr>
        <w:spacing w:after="120" w:before="0"/>
        <w:jc w:val="both"/>
      </w:pPr>
      <w:r>
        <w:rPr>
          <w:rFonts w:ascii="Times New Roman" w:cs="Times New Roman" w:eastAsia="Times New Roman" w:hAnsi="Times New Roman"/>
          <w:sz w:val="22"/>
          <w:szCs w:val="22"/>
        </w:rPr>
        <w:t xml:space="preserve">Utilidad para identificación: cada tipo de modelo produce una firma característica en ACF/PACF. El investigador contrasta el patrón observado contra las tres plantillas para determinar los órdenes p y q antes de estimar los parámetros.</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1.2 — Procesos AR, MA y ARMA</w:t>
      </w:r>
    </w:p>
    <w:p>
      <w:pPr>
        <w:spacing w:after="80" w:before="180"/>
      </w:pPr>
      <w:r>
        <w:rPr>
          <w:rFonts w:ascii="Times New Roman" w:cs="Times New Roman" w:eastAsia="Times New Roman" w:hAnsi="Times New Roman"/>
          <w:b/>
          <w:bCs/>
          <w:sz w:val="22"/>
          <w:szCs w:val="22"/>
          <w:u w:val="single"/>
        </w:rPr>
        <w:t xml:space="preserve">(a) AR(2): raíces de Φ(z)</w:t>
      </w:r>
    </w:p>
    <w:p>
      <w:pPr>
        <w:spacing w:after="120" w:before="0"/>
        <w:jc w:val="both"/>
      </w:pPr>
      <w:r>
        <w:rPr>
          <w:rFonts w:ascii="Times New Roman" w:cs="Times New Roman" w:eastAsia="Times New Roman" w:hAnsi="Times New Roman"/>
          <w:sz w:val="22"/>
          <w:szCs w:val="22"/>
        </w:rPr>
        <w:t xml:space="preserve">El modelo es Y_t = 1.2 Y_{t−1} − 0.32 Y_{t−2} + ε_t. El polinomio autorregresivo es:</w:t>
      </w:r>
    </w:p>
    <w:p>
      <w:pPr>
        <w:spacing w:after="120" w:before="0"/>
        <w:jc w:val="both"/>
      </w:pPr>
      <w:r>
        <w:rPr>
          <w:rFonts w:ascii="Times New Roman" w:cs="Times New Roman" w:eastAsia="Times New Roman" w:hAnsi="Times New Roman"/>
          <w:sz w:val="22"/>
          <w:szCs w:val="22"/>
        </w:rPr>
        <w:t xml:space="preserve">Φ(z) = 1 − 1.2z + 0.32z²</w:t>
      </w:r>
    </w:p>
    <w:p>
      <w:pPr>
        <w:spacing w:after="120" w:before="0"/>
        <w:jc w:val="both"/>
      </w:pPr>
      <w:r>
        <w:rPr>
          <w:rFonts w:ascii="Times New Roman" w:cs="Times New Roman" w:eastAsia="Times New Roman" w:hAnsi="Times New Roman"/>
          <w:sz w:val="22"/>
          <w:szCs w:val="22"/>
        </w:rPr>
        <w:t xml:space="preserve">Aplicando la fórmula cuadrática: z = [1.2 ± √(1.44 − 4 × 0.32)] / (2 × 0.32) = [1.2 ± √(1.44 − 1.28)] / 0.64 = [1.2 ± √0.16] / 0.64 = [1.2 ± 0.4] / 0.64.</w:t>
      </w:r>
    </w:p>
    <w:p>
      <w:pPr>
        <w:spacing w:after="120" w:before="0"/>
        <w:jc w:val="both"/>
      </w:pPr>
      <w:r>
        <w:rPr>
          <w:rFonts w:ascii="Times New Roman" w:cs="Times New Roman" w:eastAsia="Times New Roman" w:hAnsi="Times New Roman"/>
          <w:sz w:val="22"/>
          <w:szCs w:val="22"/>
        </w:rPr>
        <w:t xml:space="preserve">Raíz 1: z₁ = 1.6/0.64 = 2.5. Raíz 2: z₂ = 0.8/0.64 = 1.25.</w:t>
      </w:r>
    </w:p>
    <w:p>
      <w:pPr>
        <w:spacing w:after="120" w:before="0"/>
        <w:jc w:val="both"/>
      </w:pPr>
      <w:r>
        <w:rPr>
          <w:rFonts w:ascii="Times New Roman" w:cs="Times New Roman" w:eastAsia="Times New Roman" w:hAnsi="Times New Roman"/>
          <w:sz w:val="22"/>
          <w:szCs w:val="22"/>
        </w:rPr>
        <w:t xml:space="preserve">Ambas raíces tienen módulo mayor que 1 (|z₁| = 2.5 &gt; 1 y |z₂| = 1.25 &gt; 1), por lo que se encuentran fuera del círculo unitario. El proceso AR(2) es estacionario.</w:t>
      </w:r>
    </w:p>
    <w:p>
      <w:pPr>
        <w:spacing w:after="80" w:before="180"/>
      </w:pPr>
      <w:r>
        <w:rPr>
          <w:rFonts w:ascii="Times New Roman" w:cs="Times New Roman" w:eastAsia="Times New Roman" w:hAnsi="Times New Roman"/>
          <w:b/>
          <w:bCs/>
          <w:sz w:val="22"/>
          <w:szCs w:val="22"/>
          <w:u w:val="single"/>
        </w:rPr>
        <w:t xml:space="preserve">(b) MA(2): varianza y covarianzas</w:t>
      </w:r>
    </w:p>
    <w:p>
      <w:pPr>
        <w:spacing w:after="120" w:before="0"/>
        <w:jc w:val="both"/>
      </w:pPr>
      <w:r>
        <w:rPr>
          <w:rFonts w:ascii="Times New Roman" w:cs="Times New Roman" w:eastAsia="Times New Roman" w:hAnsi="Times New Roman"/>
          <w:sz w:val="22"/>
          <w:szCs w:val="22"/>
        </w:rPr>
        <w:t xml:space="preserve">Sea Y_t = ε_t + 0.5 ε_{t−1} − 0.3 ε_{t−2}, con ε_t ∼ WN(0, σ²).</w:t>
      </w:r>
    </w:p>
    <w:p>
      <w:pPr>
        <w:spacing w:after="120" w:before="0"/>
        <w:jc w:val="both"/>
      </w:pPr>
      <w:r>
        <w:rPr>
          <w:rFonts w:ascii="Times New Roman" w:cs="Times New Roman" w:eastAsia="Times New Roman" w:hAnsi="Times New Roman"/>
          <w:sz w:val="22"/>
          <w:szCs w:val="22"/>
        </w:rPr>
        <w:t xml:space="preserve">Var(Y_t) = (1 + 0.5² + 0.3²) σ² = (1 + 0.25 + 0.09) σ² = 1.34 σ²</w:t>
      </w:r>
    </w:p>
    <w:p>
      <w:pPr>
        <w:spacing w:after="120" w:before="0"/>
        <w:jc w:val="both"/>
      </w:pPr>
      <w:r>
        <w:rPr>
          <w:rFonts w:ascii="Times New Roman" w:cs="Times New Roman" w:eastAsia="Times New Roman" w:hAnsi="Times New Roman"/>
          <w:sz w:val="22"/>
          <w:szCs w:val="22"/>
        </w:rPr>
        <w:t xml:space="preserve">Cov(Y_t, Y_{t−1}) = (0.5 × 1 + (−0.3) × 0.5) σ² = (0.5 − 0.15) σ² = 0.35 σ²</w:t>
      </w:r>
    </w:p>
    <w:p>
      <w:pPr>
        <w:spacing w:after="120" w:before="0"/>
        <w:jc w:val="both"/>
      </w:pPr>
      <w:r>
        <w:rPr>
          <w:rFonts w:ascii="Times New Roman" w:cs="Times New Roman" w:eastAsia="Times New Roman" w:hAnsi="Times New Roman"/>
          <w:sz w:val="22"/>
          <w:szCs w:val="22"/>
        </w:rPr>
        <w:t xml:space="preserve">Cov(Y_t, Y_{t−2}) = (−0.3 × 1) σ² = −0.3 σ²</w:t>
      </w:r>
    </w:p>
    <w:p>
      <w:pPr>
        <w:spacing w:after="120" w:before="0"/>
        <w:jc w:val="both"/>
      </w:pPr>
      <w:r>
        <w:rPr>
          <w:rFonts w:ascii="Times New Roman" w:cs="Times New Roman" w:eastAsia="Times New Roman" w:hAnsi="Times New Roman"/>
          <w:sz w:val="22"/>
          <w:szCs w:val="22"/>
        </w:rPr>
        <w:t xml:space="preserve">Cov(Y_t, Y_{t−k}) = 0 para k ≥ 3, porque los pesos MA no se superponen más allá del orden q = 2.</w:t>
      </w:r>
    </w:p>
    <w:p>
      <w:pPr>
        <w:spacing w:after="80" w:before="180"/>
      </w:pPr>
      <w:r>
        <w:rPr>
          <w:rFonts w:ascii="Times New Roman" w:cs="Times New Roman" w:eastAsia="Times New Roman" w:hAnsi="Times New Roman"/>
          <w:b/>
          <w:bCs/>
          <w:sz w:val="22"/>
          <w:szCs w:val="22"/>
          <w:u w:val="single"/>
        </w:rPr>
        <w:t xml:space="preserve">(c) Invertibilidad de un MA(q)</w:t>
      </w:r>
    </w:p>
    <w:p>
      <w:pPr>
        <w:spacing w:after="120" w:before="0"/>
        <w:jc w:val="both"/>
      </w:pPr>
      <w:r>
        <w:rPr>
          <w:rFonts w:ascii="Times New Roman" w:cs="Times New Roman" w:eastAsia="Times New Roman" w:hAnsi="Times New Roman"/>
          <w:sz w:val="22"/>
          <w:szCs w:val="22"/>
        </w:rPr>
        <w:t xml:space="preserve">Un MA(q) es invertible si todas las raíces del polinomio de medias móviles Θ(z) = 1 + θ₁z + ⋯ + θ_q z^q se ubican fuera del círculo unitario, es decir, |z_j| &gt; 1 para todo j.</w:t>
      </w:r>
    </w:p>
    <w:p>
      <w:pPr>
        <w:spacing w:after="120" w:before="0"/>
        <w:jc w:val="both"/>
      </w:pPr>
      <w:r>
        <w:rPr>
          <w:rFonts w:ascii="Times New Roman" w:cs="Times New Roman" w:eastAsia="Times New Roman" w:hAnsi="Times New Roman"/>
          <w:sz w:val="22"/>
          <w:szCs w:val="22"/>
        </w:rPr>
        <w:t xml:space="preserve">Importancia para el pronóstico: la invertibilidad garantiza que el proceso admite una representación AR(∞) convergente: ε_t = Y_t + π₁ Y_{t−1} + π₂ Y_{t−2} + ⋯. Esto permite expresar el error actual como función del historial observable, lo que es indispensable para construir pronósticos de mínimo error cuadrático medio. Sin invertibilidad, los pronósticos serían inestables e irrealizables.</w:t>
      </w:r>
    </w:p>
    <w:p>
      <w:pPr>
        <w:spacing w:after="80" w:before="180"/>
      </w:pPr>
      <w:r>
        <w:rPr>
          <w:rFonts w:ascii="Times New Roman" w:cs="Times New Roman" w:eastAsia="Times New Roman" w:hAnsi="Times New Roman"/>
          <w:b/>
          <w:bCs/>
          <w:sz w:val="22"/>
          <w:szCs w:val="22"/>
          <w:u w:val="single"/>
        </w:rPr>
        <w:t xml:space="preserve">(d) Representación MA(∞) del AR(1) estacionario</w:t>
      </w:r>
    </w:p>
    <w:p>
      <w:pPr>
        <w:spacing w:after="120" w:before="0"/>
        <w:jc w:val="both"/>
      </w:pPr>
      <w:r>
        <w:rPr>
          <w:rFonts w:ascii="Times New Roman" w:cs="Times New Roman" w:eastAsia="Times New Roman" w:hAnsi="Times New Roman"/>
          <w:sz w:val="22"/>
          <w:szCs w:val="22"/>
        </w:rPr>
        <w:t xml:space="preserve">Sea Y_t = φ Y_{t−1} + ε_t con |φ| &lt; 1. Sustituyendo recursivamente:</w:t>
      </w:r>
    </w:p>
    <w:p>
      <w:pPr>
        <w:spacing w:after="120" w:before="0"/>
        <w:jc w:val="both"/>
      </w:pPr>
      <w:r>
        <w:rPr>
          <w:rFonts w:ascii="Times New Roman" w:cs="Times New Roman" w:eastAsia="Times New Roman" w:hAnsi="Times New Roman"/>
          <w:sz w:val="22"/>
          <w:szCs w:val="22"/>
        </w:rPr>
        <w:t xml:space="preserve">Y_t = ε_t + φ Y_{t−1} = ε_t + φ(ε_{t−1} + φ Y_{t−2}) = ε_t + φ ε_{t−1} + φ² Y_{t−2}</w:t>
      </w:r>
    </w:p>
    <w:p>
      <w:pPr>
        <w:spacing w:after="120" w:before="0"/>
        <w:jc w:val="both"/>
      </w:pPr>
      <w:r>
        <w:rPr>
          <w:rFonts w:ascii="Times New Roman" w:cs="Times New Roman" w:eastAsia="Times New Roman" w:hAnsi="Times New Roman"/>
          <w:sz w:val="22"/>
          <w:szCs w:val="22"/>
        </w:rPr>
        <w:t xml:space="preserve">= ε_t + φ ε_{t−1} + φ² ε_{t−2} + φ³ Y_{t−3} = … = Σ_{j=0}^{N} φ^j ε_{t−j} + φ^{N+1} Y_{t−N−1}.</w:t>
      </w:r>
    </w:p>
    <w:p>
      <w:pPr>
        <w:spacing w:after="120" w:before="0"/>
        <w:jc w:val="both"/>
      </w:pPr>
      <w:r>
        <w:rPr>
          <w:rFonts w:ascii="Times New Roman" w:cs="Times New Roman" w:eastAsia="Times New Roman" w:hAnsi="Times New Roman"/>
          <w:sz w:val="22"/>
          <w:szCs w:val="22"/>
        </w:rPr>
        <w:t xml:space="preserve">Cuando N → ∞, el término φ^{N+1} Y_{t−N−1} → 0 en media cuadrática porque |φ| &lt; 1 y Var(Y_{t−N−1}) = γ(0) &lt; ∞. Por lo tanto: Y_t = Σ_{j=0}^{∞} φ^j ε_{t−j}. ∎</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1.3 — Raíces unitarias y prueba de Dickey-Fuller</w:t>
      </w:r>
    </w:p>
    <w:p>
      <w:pPr>
        <w:spacing w:after="80" w:before="180"/>
      </w:pPr>
      <w:r>
        <w:rPr>
          <w:rFonts w:ascii="Times New Roman" w:cs="Times New Roman" w:eastAsia="Times New Roman" w:hAnsi="Times New Roman"/>
          <w:b/>
          <w:bCs/>
          <w:sz w:val="22"/>
          <w:szCs w:val="22"/>
          <w:u w:val="single"/>
        </w:rPr>
        <w:t xml:space="preserve">(a) No estacionariedad de la caminata aleatoria</w:t>
      </w:r>
    </w:p>
    <w:p>
      <w:pPr>
        <w:spacing w:after="120" w:before="0"/>
        <w:jc w:val="both"/>
      </w:pPr>
      <w:r>
        <w:rPr>
          <w:rFonts w:ascii="Times New Roman" w:cs="Times New Roman" w:eastAsia="Times New Roman" w:hAnsi="Times New Roman"/>
          <w:sz w:val="22"/>
          <w:szCs w:val="22"/>
        </w:rPr>
        <w:t xml:space="preserve">Sea Y_t = Y_{t−1} + ε_t con Y_0 = 0. Entonces Y_t = Σ_{s=1}^{t} ε_s.</w:t>
      </w:r>
    </w:p>
    <w:p>
      <w:pPr>
        <w:spacing w:after="120" w:before="0"/>
        <w:jc w:val="both"/>
      </w:pPr>
      <w:r>
        <w:rPr>
          <w:rFonts w:ascii="Times New Roman" w:cs="Times New Roman" w:eastAsia="Times New Roman" w:hAnsi="Times New Roman"/>
          <w:sz w:val="22"/>
          <w:szCs w:val="22"/>
        </w:rPr>
        <w:t xml:space="preserve">Var(Y_t) = Var(Σ_{s=1}^{t} ε_s) = t σ², que crece sin límite con t. Un proceso estacionario requiere varianza finita y constante: la caminata aleatoria viola ambas condiciones.</w:t>
      </w:r>
    </w:p>
    <w:p>
      <w:pPr>
        <w:spacing w:after="120" w:before="0"/>
        <w:jc w:val="both"/>
      </w:pPr>
      <w:r>
        <w:rPr>
          <w:rFonts w:ascii="Times New Roman" w:cs="Times New Roman" w:eastAsia="Times New Roman" w:hAnsi="Times New Roman"/>
          <w:sz w:val="22"/>
          <w:szCs w:val="22"/>
        </w:rPr>
        <w:t xml:space="preserve">Covarianza: Cov(Y_t, Y_s) = Cov(Σ_{r=1}^{t} ε_r, Σ_{r=1}^{s} ε_r) = min(s,t) σ², que depende de los tiempos t y s, no sólo del rezago |t − s|. ∎</w:t>
      </w:r>
    </w:p>
    <w:p>
      <w:pPr>
        <w:spacing w:after="80" w:before="180"/>
      </w:pPr>
      <w:r>
        <w:rPr>
          <w:rFonts w:ascii="Times New Roman" w:cs="Times New Roman" w:eastAsia="Times New Roman" w:hAnsi="Times New Roman"/>
          <w:b/>
          <w:bCs/>
          <w:sz w:val="22"/>
          <w:szCs w:val="22"/>
          <w:u w:val="single"/>
        </w:rPr>
        <w:t xml:space="preserve">(b) Primera diferencia de la caminata aleatoria</w:t>
      </w:r>
    </w:p>
    <w:p>
      <w:pPr>
        <w:spacing w:after="120" w:before="0"/>
        <w:jc w:val="both"/>
      </w:pPr>
      <w:r>
        <w:rPr>
          <w:rFonts w:ascii="Times New Roman" w:cs="Times New Roman" w:eastAsia="Times New Roman" w:hAnsi="Times New Roman"/>
          <w:sz w:val="22"/>
          <w:szCs w:val="22"/>
        </w:rPr>
        <w:t xml:space="preserve">ΔY_t = Y_t − Y_{t−1} = (Y_{t−1} + ε_t) − Y_{t−1} = ε_t ∼ WN(0, σ²).</w:t>
      </w:r>
    </w:p>
    <w:p>
      <w:pPr>
        <w:spacing w:after="120" w:before="0"/>
        <w:jc w:val="both"/>
      </w:pPr>
      <w:r>
        <w:rPr>
          <w:rFonts w:ascii="Times New Roman" w:cs="Times New Roman" w:eastAsia="Times New Roman" w:hAnsi="Times New Roman"/>
          <w:sz w:val="22"/>
          <w:szCs w:val="22"/>
        </w:rPr>
        <w:t xml:space="preserve">La primera diferencia es ruido blanco, un proceso estacionario. Esto confirma que la caminata aleatoria es integrada de orden 1, I(1).</w:t>
      </w:r>
    </w:p>
    <w:p>
      <w:pPr>
        <w:spacing w:after="80" w:before="180"/>
      </w:pPr>
      <w:r>
        <w:rPr>
          <w:rFonts w:ascii="Times New Roman" w:cs="Times New Roman" w:eastAsia="Times New Roman" w:hAnsi="Times New Roman"/>
          <w:b/>
          <w:bCs/>
          <w:sz w:val="22"/>
          <w:szCs w:val="22"/>
          <w:u w:val="single"/>
        </w:rPr>
        <w:t xml:space="preserve">(c) Distribución no estándar bajo H₀ en la prueba ADF</w:t>
      </w:r>
    </w:p>
    <w:p>
      <w:pPr>
        <w:spacing w:after="120" w:before="0"/>
        <w:jc w:val="both"/>
      </w:pPr>
      <w:r>
        <w:rPr>
          <w:rFonts w:ascii="Times New Roman" w:cs="Times New Roman" w:eastAsia="Times New Roman" w:hAnsi="Times New Roman"/>
          <w:sz w:val="22"/>
          <w:szCs w:val="22"/>
        </w:rPr>
        <w:t xml:space="preserve">Bajo H₀: δ = 0 en ΔY_t = μ + δ Y_{t−1} + Σ_j ψ_j ΔY_{t−j} + ε_t, el regresor Y_{t−1} no es estacionario. En particular, Y_{t−1} ≈ σ·W(t), donde W(·) es un proceso de Wiener. El estadístico de δ̂ no sigue la distribución t-student de Student porque los regresores no son independientes del término de error y divergen al infinito. La distribución límite correcta está dada por funcionales del movimiento browniano estándar (distribución de Dickey-Fuller), que tiene colas más pesadas que la t. Usar cuantiles t estándar provocaría rechazar H₀ con mayor frecuencia de la nominal.</w:t>
      </w:r>
    </w:p>
    <w:p>
      <w:pPr>
        <w:spacing w:after="80" w:before="180"/>
      </w:pPr>
      <w:r>
        <w:rPr>
          <w:rFonts w:ascii="Times New Roman" w:cs="Times New Roman" w:eastAsia="Times New Roman" w:hAnsi="Times New Roman"/>
          <w:b/>
          <w:bCs/>
          <w:sz w:val="22"/>
          <w:szCs w:val="22"/>
          <w:u w:val="single"/>
        </w:rPr>
        <w:t xml:space="preserve">(d) Series I(1) vs I(0) en finanzas</w:t>
      </w:r>
    </w:p>
    <w:p>
      <w:pPr>
        <w:spacing w:after="120" w:before="0"/>
        <w:jc w:val="both"/>
      </w:pPr>
      <w:r>
        <w:rPr>
          <w:rFonts w:ascii="Times New Roman" w:cs="Times New Roman" w:eastAsia="Times New Roman" w:hAnsi="Times New Roman"/>
          <w:sz w:val="22"/>
          <w:szCs w:val="22"/>
        </w:rPr>
        <w:t xml:space="preserve">Los log-precios P_t = log(S_t) son típicamente I(1): tienen varianza que crece con el tiempo, tendencia estocástica y no tienen nivel de reversión. Son, esencialmente, caminatas aleatorias.</w:t>
      </w:r>
    </w:p>
    <w:p>
      <w:pPr>
        <w:spacing w:after="120" w:before="0"/>
        <w:jc w:val="both"/>
      </w:pPr>
      <w:r>
        <w:rPr>
          <w:rFonts w:ascii="Times New Roman" w:cs="Times New Roman" w:eastAsia="Times New Roman" w:hAnsi="Times New Roman"/>
          <w:sz w:val="22"/>
          <w:szCs w:val="22"/>
        </w:rPr>
        <w:t xml:space="preserve">Los log-retornos r_t = ΔP_t = log(S_t/S_{t−1}) son I(0): estacionarios, con media y varianza finitas y constantes.</w:t>
      </w:r>
    </w:p>
    <w:p>
      <w:pPr>
        <w:spacing w:after="120" w:before="0"/>
        <w:jc w:val="both"/>
      </w:pPr>
      <w:r>
        <w:rPr>
          <w:rFonts w:ascii="Times New Roman" w:cs="Times New Roman" w:eastAsia="Times New Roman" w:hAnsi="Times New Roman"/>
          <w:sz w:val="22"/>
          <w:szCs w:val="22"/>
        </w:rPr>
        <w:t xml:space="preserve">Implicación para modelado: no se debe aplicar regresión directa entre dos series I(1) sin verificar cointegración (riesgo de regresión espuria). El modelado de volatilidad, predicciones de corto plazo y pruebas de hipótesis se realizan sobre los retornos I(0). Para predicción de niveles a largo plazo, se necesita integrar las predicciones de retornos.</w:t>
      </w:r>
    </w:p>
    <w:p>
      <w:pPr>
        <w:spacing w:after="60"/>
      </w:pPr>
      <w:r>
        <w:t xml:space="preserve"/>
      </w:r>
    </w:p>
    <w:p>
      <w:pPr>
        <w:pBdr>
          <w:bottom w:val="single" w:color="999999" w:sz="4" w:space="1"/>
        </w:pBdr>
        <w:spacing w:after="120"/>
      </w:pPr>
    </w:p>
    <w:p>
      <w:pPr>
        <w:pStyle w:val="Heading1"/>
        <w:spacing w:after="180" w:before="360"/>
      </w:pPr>
      <w:r>
        <w:rPr>
          <w:rFonts w:ascii="Times New Roman" w:cs="Times New Roman" w:eastAsia="Times New Roman" w:hAnsi="Times New Roman"/>
          <w:b/>
          <w:bCs/>
          <w:sz w:val="28"/>
          <w:szCs w:val="28"/>
        </w:rPr>
        <w:t xml:space="preserve">SECCIÓN 2 — Modelos ARIMA(p, d, q)</w:t>
      </w:r>
    </w:p>
    <w:p>
      <w:pPr>
        <w:pStyle w:val="Heading2"/>
        <w:spacing w:after="120" w:before="240"/>
      </w:pPr>
      <w:r>
        <w:rPr>
          <w:rFonts w:ascii="Times New Roman" w:cs="Times New Roman" w:eastAsia="Times New Roman" w:hAnsi="Times New Roman"/>
          <w:b/>
          <w:bCs/>
          <w:i/>
          <w:iCs/>
          <w:sz w:val="24"/>
          <w:szCs w:val="24"/>
        </w:rPr>
        <w:t xml:space="preserve">Ejercicio 2.1 — Identificación, estimación y diagnóstico</w:t>
      </w:r>
    </w:p>
    <w:p>
      <w:pPr>
        <w:spacing w:after="80" w:before="180"/>
      </w:pPr>
      <w:r>
        <w:rPr>
          <w:rFonts w:ascii="Times New Roman" w:cs="Times New Roman" w:eastAsia="Times New Roman" w:hAnsi="Times New Roman"/>
          <w:b/>
          <w:bCs/>
          <w:sz w:val="22"/>
          <w:szCs w:val="22"/>
          <w:u w:val="single"/>
        </w:rPr>
        <w:t xml:space="preserve">(a) Patrones ACF/PACF e identificación del modelo</w:t>
      </w:r>
    </w:p>
    <w:p>
      <w:pPr>
        <w:spacing w:after="100"/>
        <w:jc w:val="both"/>
      </w:pPr>
      <w:r>
        <w:rPr>
          <w:rFonts w:ascii="Times New Roman" w:cs="Times New Roman" w:eastAsia="Times New Roman" w:hAnsi="Times New Roman"/>
          <w:b/>
          <w:bCs/>
          <w:sz w:val="22"/>
          <w:szCs w:val="22"/>
        </w:rPr>
        <w:t xml:space="preserve">(i) ACF decae exponencialmente; PACF se corta en rezago 2: </w:t>
      </w:r>
      <w:r>
        <w:rPr>
          <w:rFonts w:ascii="Times New Roman" w:cs="Times New Roman" w:eastAsia="Times New Roman" w:hAnsi="Times New Roman"/>
          <w:sz w:val="22"/>
          <w:szCs w:val="22"/>
        </w:rPr>
        <w:t xml:space="preserve">Sugiere AR(2). La PACF con corte abrupto en el orden p identifica el componente autorregresivo.</w:t>
      </w:r>
    </w:p>
    <w:p>
      <w:pPr>
        <w:spacing w:after="100"/>
        <w:jc w:val="both"/>
      </w:pPr>
      <w:r>
        <w:rPr>
          <w:rFonts w:ascii="Times New Roman" w:cs="Times New Roman" w:eastAsia="Times New Roman" w:hAnsi="Times New Roman"/>
          <w:b/>
          <w:bCs/>
          <w:sz w:val="22"/>
          <w:szCs w:val="22"/>
        </w:rPr>
        <w:t xml:space="preserve">(ii) ACF se corta en rezago 1; PACF decae exponencialmente: </w:t>
      </w:r>
      <w:r>
        <w:rPr>
          <w:rFonts w:ascii="Times New Roman" w:cs="Times New Roman" w:eastAsia="Times New Roman" w:hAnsi="Times New Roman"/>
          <w:sz w:val="22"/>
          <w:szCs w:val="22"/>
        </w:rPr>
        <w:t xml:space="preserve">Sugiere MA(1). El corte abrupto de la ACF en el orden q identifica el componente de medias móviles.</w:t>
      </w:r>
    </w:p>
    <w:p>
      <w:pPr>
        <w:spacing w:after="100"/>
        <w:jc w:val="both"/>
      </w:pPr>
      <w:r>
        <w:rPr>
          <w:rFonts w:ascii="Times New Roman" w:cs="Times New Roman" w:eastAsia="Times New Roman" w:hAnsi="Times New Roman"/>
          <w:b/>
          <w:bCs/>
          <w:sz w:val="22"/>
          <w:szCs w:val="22"/>
        </w:rPr>
        <w:t xml:space="preserve">(iii) Ambas ACF y PACF decaen sin cortarse: </w:t>
      </w:r>
      <w:r>
        <w:rPr>
          <w:rFonts w:ascii="Times New Roman" w:cs="Times New Roman" w:eastAsia="Times New Roman" w:hAnsi="Times New Roman"/>
          <w:sz w:val="22"/>
          <w:szCs w:val="22"/>
        </w:rPr>
        <w:t xml:space="preserve">Sugiere ARMA(p,q) con p ≥ 1 y q ≥ 1. Ninguna exhibe el corte característico de un proceso puro AR o MA.</w:t>
      </w:r>
    </w:p>
    <w:p>
      <w:pPr>
        <w:spacing w:after="100"/>
        <w:jc w:val="both"/>
      </w:pPr>
      <w:r>
        <w:rPr>
          <w:rFonts w:ascii="Times New Roman" w:cs="Times New Roman" w:eastAsia="Times New Roman" w:hAnsi="Times New Roman"/>
          <w:b/>
          <w:bCs/>
          <w:sz w:val="22"/>
          <w:szCs w:val="22"/>
        </w:rPr>
        <w:t xml:space="preserve">(iv) ACF con pico significativo sólo en rezago 1, cero después: </w:t>
      </w:r>
      <w:r>
        <w:rPr>
          <w:rFonts w:ascii="Times New Roman" w:cs="Times New Roman" w:eastAsia="Times New Roman" w:hAnsi="Times New Roman"/>
          <w:sz w:val="22"/>
          <w:szCs w:val="22"/>
        </w:rPr>
        <w:t xml:space="preserve">Sugiere MA(1). Es el caso de corte abrupto de la ACF en q = 1.</w:t>
      </w:r>
    </w:p>
    <w:p>
      <w:pPr>
        <w:spacing w:after="80" w:before="180"/>
      </w:pPr>
      <w:r>
        <w:rPr>
          <w:rFonts w:ascii="Times New Roman" w:cs="Times New Roman" w:eastAsia="Times New Roman" w:hAnsi="Times New Roman"/>
          <w:b/>
          <w:bCs/>
          <w:sz w:val="22"/>
          <w:szCs w:val="22"/>
          <w:u w:val="single"/>
        </w:rPr>
        <w:t xml:space="preserve">(b) Criterios AIC y BIC</w:t>
      </w:r>
    </w:p>
    <w:p>
      <w:pPr>
        <w:spacing w:after="120" w:before="0"/>
        <w:jc w:val="both"/>
      </w:pPr>
      <w:r>
        <w:rPr>
          <w:rFonts w:ascii="Times New Roman" w:cs="Times New Roman" w:eastAsia="Times New Roman" w:hAnsi="Times New Roman"/>
          <w:sz w:val="22"/>
          <w:szCs w:val="22"/>
        </w:rPr>
        <w:t xml:space="preserve">AIC = −2 log L̂ + 2k. Penaliza cada parámetro adicional con 2 unidades. Tiende a seleccionar modelos más complejos, especialmente con muestras grandes.</w:t>
      </w:r>
    </w:p>
    <w:p>
      <w:pPr>
        <w:spacing w:after="120" w:before="0"/>
        <w:jc w:val="both"/>
      </w:pPr>
      <w:r>
        <w:rPr>
          <w:rFonts w:ascii="Times New Roman" w:cs="Times New Roman" w:eastAsia="Times New Roman" w:hAnsi="Times New Roman"/>
          <w:sz w:val="22"/>
          <w:szCs w:val="22"/>
        </w:rPr>
        <w:t xml:space="preserve">BIC = −2 log L̂ + k log n. La penalidad por parámetro es log n, que supera a 2 cuando n &gt; e² ≈ 7.4. Para muestras financieras típicas (n ≥ 250), BIC penaliza mucho más la complejidad y selecciona modelos más parsimoniosos.</w:t>
      </w:r>
    </w:p>
    <w:p>
      <w:pPr>
        <w:spacing w:after="120" w:before="0"/>
        <w:jc w:val="both"/>
      </w:pPr>
      <w:r>
        <w:rPr>
          <w:rFonts w:ascii="Times New Roman" w:cs="Times New Roman" w:eastAsia="Times New Roman" w:hAnsi="Times New Roman"/>
          <w:sz w:val="22"/>
          <w:szCs w:val="22"/>
        </w:rPr>
        <w:t xml:space="preserve">BIC penaliza más cuando n &gt; 7 (condición dada en la tarea), lo que en la práctica financiera siempre se cumple. Se prefiere BIC para selección de modelos cuando la parsimonia es prioritaria; AIC cuando el objetivo es el pronóstico.</w:t>
      </w:r>
    </w:p>
    <w:p>
      <w:pPr>
        <w:spacing w:after="80" w:before="180"/>
      </w:pPr>
      <w:r>
        <w:rPr>
          <w:rFonts w:ascii="Times New Roman" w:cs="Times New Roman" w:eastAsia="Times New Roman" w:hAnsi="Times New Roman"/>
          <w:b/>
          <w:bCs/>
          <w:sz w:val="22"/>
          <w:szCs w:val="22"/>
          <w:u w:val="single"/>
        </w:rPr>
        <w:t xml:space="preserve">(c) Procedimiento de Box-Jenkins</w:t>
      </w:r>
    </w:p>
    <w:p>
      <w:pPr>
        <w:spacing w:after="100"/>
        <w:jc w:val="both"/>
      </w:pPr>
      <w:r>
        <w:rPr>
          <w:rFonts w:ascii="Times New Roman" w:cs="Times New Roman" w:eastAsia="Times New Roman" w:hAnsi="Times New Roman"/>
          <w:b/>
          <w:bCs/>
          <w:sz w:val="22"/>
          <w:szCs w:val="22"/>
        </w:rPr>
        <w:t xml:space="preserve">Etapa 1 — Identificación: </w:t>
      </w:r>
      <w:r>
        <w:rPr>
          <w:rFonts w:ascii="Times New Roman" w:cs="Times New Roman" w:eastAsia="Times New Roman" w:hAnsi="Times New Roman"/>
          <w:sz w:val="22"/>
          <w:szCs w:val="22"/>
        </w:rPr>
        <w:t xml:space="preserve">Graficar la serie original Y_t para detectar tendencia, estacionalidad o heteroscedasticidad. Calcular y graficar ACF y PACF; determinar si es necesario diferenciar (raíz unitaria: ADF/KPSS). Proponer posibles órdenes (p, d, q).</w:t>
      </w:r>
    </w:p>
    <w:p>
      <w:pPr>
        <w:spacing w:after="100"/>
        <w:jc w:val="both"/>
      </w:pPr>
      <w:r>
        <w:rPr>
          <w:rFonts w:ascii="Times New Roman" w:cs="Times New Roman" w:eastAsia="Times New Roman" w:hAnsi="Times New Roman"/>
          <w:b/>
          <w:bCs/>
          <w:sz w:val="22"/>
          <w:szCs w:val="22"/>
        </w:rPr>
        <w:t xml:space="preserve">Etapa 2 — Estimación: </w:t>
      </w:r>
      <w:r>
        <w:rPr>
          <w:rFonts w:ascii="Times New Roman" w:cs="Times New Roman" w:eastAsia="Times New Roman" w:hAnsi="Times New Roman"/>
          <w:sz w:val="22"/>
          <w:szCs w:val="22"/>
        </w:rPr>
        <w:t xml:space="preserve">Estimar los parámetros por máxima verosimilitud (MV) o mínimos cuadrados condicionales para cada modelo candidato. Comparar AIC/BIC.</w:t>
      </w:r>
    </w:p>
    <w:p>
      <w:pPr>
        <w:spacing w:after="100"/>
        <w:jc w:val="both"/>
      </w:pPr>
      <w:r>
        <w:rPr>
          <w:rFonts w:ascii="Times New Roman" w:cs="Times New Roman" w:eastAsia="Times New Roman" w:hAnsi="Times New Roman"/>
          <w:b/>
          <w:bCs/>
          <w:sz w:val="22"/>
          <w:szCs w:val="22"/>
        </w:rPr>
        <w:t xml:space="preserve">Etapa 3 — Diagnóstico: </w:t>
      </w:r>
      <w:r>
        <w:rPr>
          <w:rFonts w:ascii="Times New Roman" w:cs="Times New Roman" w:eastAsia="Times New Roman" w:hAnsi="Times New Roman"/>
          <w:sz w:val="22"/>
          <w:szCs w:val="22"/>
        </w:rPr>
        <w:t xml:space="preserve">Graficar los residuos ε̂_t; verificar que sean ruido blanco mediante la ACF de residuos y la prueba de Ljung-Box (H₀: residuos no correlacionados). Graficar QQ-plot para verificar normalidad. Si los residuos presentan estructura, revisar el orden y reiniciar.</w:t>
      </w:r>
    </w:p>
    <w:p>
      <w:pPr>
        <w:spacing w:after="80" w:before="180"/>
      </w:pPr>
      <w:r>
        <w:rPr>
          <w:rFonts w:ascii="Times New Roman" w:cs="Times New Roman" w:eastAsia="Times New Roman" w:hAnsi="Times New Roman"/>
          <w:b/>
          <w:bCs/>
          <w:sz w:val="22"/>
          <w:szCs w:val="22"/>
          <w:u w:val="single"/>
        </w:rPr>
        <w:t xml:space="preserve">(d) Prueba de Ljung-Box</w:t>
      </w:r>
    </w:p>
    <w:p>
      <w:pPr>
        <w:spacing w:after="120" w:before="0"/>
        <w:jc w:val="both"/>
      </w:pPr>
      <w:r>
        <w:rPr>
          <w:rFonts w:ascii="Times New Roman" w:cs="Times New Roman" w:eastAsia="Times New Roman" w:hAnsi="Times New Roman"/>
          <w:sz w:val="22"/>
          <w:szCs w:val="22"/>
        </w:rPr>
        <w:t xml:space="preserve">Q = n(n+2) Σ_{k=1}^{h} ρ̂_k² / (n−k) ~ χ²(h − p − q) bajo H₀ (residuos son ruido blanco).</w:t>
      </w:r>
    </w:p>
    <w:p>
      <w:pPr>
        <w:spacing w:after="120" w:before="0"/>
        <w:jc w:val="both"/>
      </w:pPr>
      <w:r>
        <w:rPr>
          <w:rFonts w:ascii="Times New Roman" w:cs="Times New Roman" w:eastAsia="Times New Roman" w:hAnsi="Times New Roman"/>
          <w:sz w:val="22"/>
          <w:szCs w:val="22"/>
        </w:rPr>
        <w:t xml:space="preserve">Se rechaza H₀ si Q &gt; χ²_{1−α}(h−p−q). Se usa h = min(10, n/5) para equilibrar potencia y grados de libertad. Si se rechaza, el modelo tiene estructura residual no capturada y debe respecificarse.</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2.2 — ARIMA(1,1,1) para log-precios</w:t>
      </w:r>
    </w:p>
    <w:p>
      <w:pPr>
        <w:spacing w:after="80" w:before="180"/>
      </w:pPr>
      <w:r>
        <w:rPr>
          <w:rFonts w:ascii="Times New Roman" w:cs="Times New Roman" w:eastAsia="Times New Roman" w:hAnsi="Times New Roman"/>
          <w:b/>
          <w:bCs/>
          <w:sz w:val="22"/>
          <w:szCs w:val="22"/>
          <w:u w:val="single"/>
        </w:rPr>
        <w:t xml:space="preserve">(a) Conversión a ARMA(1,1) para los retornos</w:t>
      </w:r>
    </w:p>
    <w:p>
      <w:pPr>
        <w:spacing w:after="120" w:before="0"/>
        <w:jc w:val="both"/>
      </w:pPr>
      <w:r>
        <w:rPr>
          <w:rFonts w:ascii="Times New Roman" w:cs="Times New Roman" w:eastAsia="Times New Roman" w:hAnsi="Times New Roman"/>
          <w:sz w:val="22"/>
          <w:szCs w:val="22"/>
        </w:rPr>
        <w:t xml:space="preserve">Definiendo r_t = Δy_t = y_t − y_{t−1} y aplicando el operador diferencia al modelo:</w:t>
      </w:r>
    </w:p>
    <w:p>
      <w:pPr>
        <w:spacing w:after="120" w:before="0"/>
        <w:jc w:val="both"/>
      </w:pPr>
      <w:r>
        <w:rPr>
          <w:rFonts w:ascii="Times New Roman" w:cs="Times New Roman" w:eastAsia="Times New Roman" w:hAnsi="Times New Roman"/>
          <w:sz w:val="22"/>
          <w:szCs w:val="22"/>
        </w:rPr>
        <w:t xml:space="preserve">(1 − φ₁B) r_t = (1 + θ₁B) ε_t</w:t>
      </w:r>
    </w:p>
    <w:p>
      <w:pPr>
        <w:spacing w:after="120" w:before="0"/>
        <w:jc w:val="both"/>
      </w:pPr>
      <w:r>
        <w:rPr>
          <w:rFonts w:ascii="Times New Roman" w:cs="Times New Roman" w:eastAsia="Times New Roman" w:hAnsi="Times New Roman"/>
          <w:sz w:val="22"/>
          <w:szCs w:val="22"/>
        </w:rPr>
        <w:t xml:space="preserve">Expandiendo: r_t − φ₁ r_{t−1} = ε_t + θ₁ ε_{t−1}</w:t>
      </w:r>
    </w:p>
    <w:p>
      <w:pPr>
        <w:spacing w:after="120" w:before="0"/>
        <w:jc w:val="both"/>
      </w:pPr>
      <w:r>
        <w:rPr>
          <w:rFonts w:ascii="Times New Roman" w:cs="Times New Roman" w:eastAsia="Times New Roman" w:hAnsi="Times New Roman"/>
          <w:sz w:val="22"/>
          <w:szCs w:val="22"/>
        </w:rPr>
        <w:t xml:space="preserve">Ecuación explícita del ARMA(1,1): r_t = φ₁ r_{t−1} + ε_t + θ₁ ε_{t−1}</w:t>
      </w:r>
    </w:p>
    <w:p>
      <w:pPr>
        <w:spacing w:after="120" w:before="0"/>
        <w:jc w:val="both"/>
      </w:pPr>
      <w:r>
        <w:rPr>
          <w:rFonts w:ascii="Times New Roman" w:cs="Times New Roman" w:eastAsia="Times New Roman" w:hAnsi="Times New Roman"/>
          <w:sz w:val="22"/>
          <w:szCs w:val="22"/>
        </w:rPr>
        <w:t xml:space="preserve">Este es exactamente un ARMA(1,1) para los log-retornos r_t, con el componente AR dado por φ₁ y el componente MA por θ₁.</w:t>
      </w:r>
    </w:p>
    <w:p>
      <w:pPr>
        <w:spacing w:after="80" w:before="180"/>
      </w:pPr>
      <w:r>
        <w:rPr>
          <w:rFonts w:ascii="Times New Roman" w:cs="Times New Roman" w:eastAsia="Times New Roman" w:hAnsi="Times New Roman"/>
          <w:b/>
          <w:bCs/>
          <w:sz w:val="22"/>
          <w:szCs w:val="22"/>
          <w:u w:val="single"/>
        </w:rPr>
        <w:t xml:space="preserve">(b) Pronóstico r̂_{T+1|T}</w:t>
      </w:r>
    </w:p>
    <w:p>
      <w:pPr>
        <w:spacing w:after="120" w:before="0"/>
        <w:jc w:val="both"/>
      </w:pPr>
      <w:r>
        <w:rPr>
          <w:rFonts w:ascii="Times New Roman" w:cs="Times New Roman" w:eastAsia="Times New Roman" w:hAnsi="Times New Roman"/>
          <w:sz w:val="22"/>
          <w:szCs w:val="22"/>
        </w:rPr>
        <w:t xml:space="preserve">Con φ̂₁ = 0.15 y θ̂₁ = −0.08:</w:t>
      </w:r>
    </w:p>
    <w:p>
      <w:pPr>
        <w:spacing w:after="120" w:before="0"/>
        <w:jc w:val="both"/>
      </w:pPr>
      <w:r>
        <w:rPr>
          <w:rFonts w:ascii="Times New Roman" w:cs="Times New Roman" w:eastAsia="Times New Roman" w:hAnsi="Times New Roman"/>
          <w:sz w:val="22"/>
          <w:szCs w:val="22"/>
        </w:rPr>
        <w:t xml:space="preserve">r̂_{T+1|T} = E[r_{T+1} | ℱ_T] = φ̂₁ r_T + θ̂₁ ε̂_T</w:t>
      </w:r>
    </w:p>
    <w:p>
      <w:pPr>
        <w:spacing w:after="120" w:before="0"/>
        <w:jc w:val="both"/>
      </w:pPr>
      <w:r>
        <w:rPr>
          <w:rFonts w:ascii="Times New Roman" w:cs="Times New Roman" w:eastAsia="Times New Roman" w:hAnsi="Times New Roman"/>
          <w:sz w:val="22"/>
          <w:szCs w:val="22"/>
        </w:rPr>
        <w:t xml:space="preserve">La fórmula completa del ARMA(1,1) un paso adelante es:</w:t>
      </w:r>
    </w:p>
    <w:p>
      <w:pPr>
        <w:spacing w:after="120" w:before="0"/>
        <w:jc w:val="both"/>
      </w:pPr>
      <w:r>
        <w:rPr>
          <w:rFonts w:ascii="Times New Roman" w:cs="Times New Roman" w:eastAsia="Times New Roman" w:hAnsi="Times New Roman"/>
          <w:sz w:val="22"/>
          <w:szCs w:val="22"/>
        </w:rPr>
        <w:t xml:space="preserve">r̂_{T+1|T} = φ̂₁ r_T + θ̂₁ ε̂_T = 0.15 r_T + (−0.08) ε̂_T = 0.15 r_T − 0.08 ε̂_T</w:t>
      </w:r>
    </w:p>
    <w:p>
      <w:pPr>
        <w:spacing w:after="120" w:before="0"/>
        <w:jc w:val="both"/>
      </w:pPr>
      <w:r>
        <w:rPr>
          <w:rFonts w:ascii="Times New Roman" w:cs="Times New Roman" w:eastAsia="Times New Roman" w:hAnsi="Times New Roman"/>
          <w:sz w:val="22"/>
          <w:szCs w:val="22"/>
        </w:rPr>
        <w:t xml:space="preserve">(La expresión φ̂₁ θ̂₁ ε̂_{T−1} en la tarea corresponde al término de ajuste cuando se expande desde un estado anterior; la representación simplificada condicional al error corriente es la mostrada.)</w:t>
      </w:r>
    </w:p>
    <w:p>
      <w:pPr>
        <w:spacing w:after="80" w:before="180"/>
      </w:pPr>
      <w:r>
        <w:rPr>
          <w:rFonts w:ascii="Times New Roman" w:cs="Times New Roman" w:eastAsia="Times New Roman" w:hAnsi="Times New Roman"/>
          <w:b/>
          <w:bCs/>
          <w:sz w:val="22"/>
          <w:szCs w:val="22"/>
          <w:u w:val="single"/>
        </w:rPr>
        <w:t xml:space="preserve">(c) Intervalo de predicción al 95%</w:t>
      </w:r>
    </w:p>
    <w:p>
      <w:pPr>
        <w:spacing w:after="120" w:before="0"/>
        <w:jc w:val="both"/>
      </w:pPr>
      <w:r>
        <w:rPr>
          <w:rFonts w:ascii="Times New Roman" w:cs="Times New Roman" w:eastAsia="Times New Roman" w:hAnsi="Times New Roman"/>
          <w:sz w:val="22"/>
          <w:szCs w:val="22"/>
        </w:rPr>
        <w:t xml:space="preserve">El error de predicción a un paso es ε_{T+1}, con varianza σ². El intervalo al 95% para r_{T+1} es:</w:t>
      </w:r>
    </w:p>
    <w:p>
      <w:pPr>
        <w:spacing w:after="120" w:before="0"/>
        <w:jc w:val="both"/>
      </w:pPr>
      <w:r>
        <w:rPr>
          <w:rFonts w:ascii="Times New Roman" w:cs="Times New Roman" w:eastAsia="Times New Roman" w:hAnsi="Times New Roman"/>
          <w:sz w:val="22"/>
          <w:szCs w:val="22"/>
        </w:rPr>
        <w:t xml:space="preserve">r̂_{T+1|T} ± 1.96 σ̂</w:t>
      </w:r>
    </w:p>
    <w:p>
      <w:pPr>
        <w:spacing w:after="120" w:before="0"/>
        <w:jc w:val="both"/>
      </w:pPr>
      <w:r>
        <w:rPr>
          <w:rFonts w:ascii="Times New Roman" w:cs="Times New Roman" w:eastAsia="Times New Roman" w:hAnsi="Times New Roman"/>
          <w:sz w:val="22"/>
          <w:szCs w:val="22"/>
        </w:rPr>
        <w:t xml:space="preserve">Traducción a nivel de precio: dado que r_{T+1} = log(P_{T+1}/P_T), se tiene P_{T+1} = P_T · exp(r_{T+1}). El intervalo para P_{T+1} es:</w:t>
      </w:r>
    </w:p>
    <w:p>
      <w:pPr>
        <w:spacing w:after="120" w:before="0"/>
        <w:jc w:val="both"/>
      </w:pPr>
      <w:r>
        <w:rPr>
          <w:rFonts w:ascii="Times New Roman" w:cs="Times New Roman" w:eastAsia="Times New Roman" w:hAnsi="Times New Roman"/>
          <w:sz w:val="22"/>
          <w:szCs w:val="22"/>
        </w:rPr>
        <w:t xml:space="preserve">[ P_T · exp(r̂_{T+1|T} − 1.96 σ̂), P_T · exp(r̂_{T+1|T} + 1.96 σ̂) ]</w:t>
      </w:r>
    </w:p>
    <w:p>
      <w:pPr>
        <w:spacing w:after="120" w:before="0"/>
        <w:jc w:val="both"/>
      </w:pPr>
      <w:r>
        <w:rPr>
          <w:rFonts w:ascii="Times New Roman" w:cs="Times New Roman" w:eastAsia="Times New Roman" w:hAnsi="Times New Roman"/>
          <w:sz w:val="22"/>
          <w:szCs w:val="22"/>
        </w:rPr>
        <w:t xml:space="preserve">La transformación exponencial hace que el intervalo sea asimétrico alrededor del punto central, con la cola derecha más ancha que la izquierda.</w:t>
      </w:r>
    </w:p>
    <w:p>
      <w:pPr>
        <w:spacing w:after="80" w:before="180"/>
      </w:pPr>
      <w:r>
        <w:rPr>
          <w:rFonts w:ascii="Times New Roman" w:cs="Times New Roman" w:eastAsia="Times New Roman" w:hAnsi="Times New Roman"/>
          <w:b/>
          <w:bCs/>
          <w:sz w:val="22"/>
          <w:szCs w:val="22"/>
          <w:u w:val="single"/>
        </w:rPr>
        <w:t xml:space="preserve">(d) Asimetría en volatilidad</w:t>
      </w:r>
    </w:p>
    <w:p>
      <w:pPr>
        <w:spacing w:after="120" w:before="0"/>
        <w:jc w:val="both"/>
      </w:pPr>
      <w:r>
        <w:rPr>
          <w:rFonts w:ascii="Times New Roman" w:cs="Times New Roman" w:eastAsia="Times New Roman" w:hAnsi="Times New Roman"/>
          <w:sz w:val="22"/>
          <w:szCs w:val="22"/>
        </w:rPr>
        <w:t xml:space="preserve">El modelo ARIMA(1,1,1) NO captura el efecto de asimetría en volatilidad (leverage effect), porque su estructura es lineal y simétrica: un shock positivo y uno negativo de igual magnitud producen el mismo impacto sobre la varianza del pronóstico.</w:t>
      </w:r>
    </w:p>
    <w:p>
      <w:pPr>
        <w:spacing w:after="120" w:before="0"/>
        <w:jc w:val="both"/>
      </w:pPr>
      <w:r>
        <w:rPr>
          <w:rFonts w:ascii="Times New Roman" w:cs="Times New Roman" w:eastAsia="Times New Roman" w:hAnsi="Times New Roman"/>
          <w:sz w:val="22"/>
          <w:szCs w:val="22"/>
        </w:rPr>
        <w:t xml:space="preserve">Para capturar este efecto se necesita modelar la varianza condicional. Las extensiones requeridas son los modelos ARCH/GARCH asimétricos, como el EGARCH (Nelson, 1991) o el GJR-GARCH (Glosten-Jagannathan-Runkle), donde el parámetro de asimetría γ distingue entre el impacto de ε_t &gt; 0 y ε_t &lt; 0 sobre la volatilidad futura.</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2.3 — Pronóstico multi-horizonte con ARIMA(2,1,0)</w:t>
      </w:r>
    </w:p>
    <w:p>
      <w:pPr>
        <w:spacing w:after="80" w:before="180"/>
      </w:pPr>
      <w:r>
        <w:rPr>
          <w:rFonts w:ascii="Times New Roman" w:cs="Times New Roman" w:eastAsia="Times New Roman" w:hAnsi="Times New Roman"/>
          <w:b/>
          <w:bCs/>
          <w:sz w:val="22"/>
          <w:szCs w:val="22"/>
          <w:u w:val="single"/>
        </w:rPr>
        <w:t xml:space="preserve">(a) AR(2) para W_t = ΔY_t</w:t>
      </w:r>
    </w:p>
    <w:p>
      <w:pPr>
        <w:spacing w:after="120" w:before="0"/>
        <w:jc w:val="both"/>
      </w:pPr>
      <w:r>
        <w:rPr>
          <w:rFonts w:ascii="Times New Roman" w:cs="Times New Roman" w:eastAsia="Times New Roman" w:hAnsi="Times New Roman"/>
          <w:sz w:val="22"/>
          <w:szCs w:val="22"/>
        </w:rPr>
        <w:t xml:space="preserve">W_t = ΔY_t = Y_t − Y_{t−1}. El modelo ARIMA(2,1,0) implica que W_t sigue un AR(2):</w:t>
      </w:r>
    </w:p>
    <w:p>
      <w:pPr>
        <w:spacing w:after="120" w:before="0"/>
        <w:jc w:val="both"/>
      </w:pPr>
      <w:r>
        <w:rPr>
          <w:rFonts w:ascii="Times New Roman" w:cs="Times New Roman" w:eastAsia="Times New Roman" w:hAnsi="Times New Roman"/>
          <w:sz w:val="22"/>
          <w:szCs w:val="22"/>
        </w:rPr>
        <w:t xml:space="preserve">W_t = φ₁ W_{t−1} + φ₂ W_{t−2} + ε_t = 0.5 W_{t−1} − 0.2 W_{t−2} + ε_t</w:t>
      </w:r>
    </w:p>
    <w:p>
      <w:pPr>
        <w:spacing w:after="80" w:before="180"/>
      </w:pPr>
      <w:r>
        <w:rPr>
          <w:rFonts w:ascii="Times New Roman" w:cs="Times New Roman" w:eastAsia="Times New Roman" w:hAnsi="Times New Roman"/>
          <w:b/>
          <w:bCs/>
          <w:sz w:val="22"/>
          <w:szCs w:val="22"/>
          <w:u w:val="single"/>
        </w:rPr>
        <w:t xml:space="preserve">(b) Pronósticos Ŵ_{T+1|T} y Ŵ_{T+2|T}</w:t>
      </w:r>
    </w:p>
    <w:p>
      <w:pPr>
        <w:spacing w:after="120" w:before="0"/>
        <w:jc w:val="both"/>
      </w:pPr>
      <w:r>
        <w:rPr>
          <w:rFonts w:ascii="Times New Roman" w:cs="Times New Roman" w:eastAsia="Times New Roman" w:hAnsi="Times New Roman"/>
          <w:sz w:val="22"/>
          <w:szCs w:val="22"/>
        </w:rPr>
        <w:t xml:space="preserve">Con W_T = 1.2, W_{T−1} = 0.8, φ₁ = 0.5, φ₂ = −0.2:</w:t>
      </w:r>
    </w:p>
    <w:p>
      <w:pPr>
        <w:spacing w:after="120" w:before="0"/>
        <w:jc w:val="both"/>
      </w:pPr>
      <w:r>
        <w:rPr>
          <w:rFonts w:ascii="Times New Roman" w:cs="Times New Roman" w:eastAsia="Times New Roman" w:hAnsi="Times New Roman"/>
          <w:sz w:val="22"/>
          <w:szCs w:val="22"/>
        </w:rPr>
        <w:t xml:space="preserve">Ŵ_{T+1|T} = 0.5 × 1.2 + (−0.2) × 0.8 = 0.6 − 0.16 = 0.44</w:t>
      </w:r>
    </w:p>
    <w:p>
      <w:pPr>
        <w:spacing w:after="120" w:before="0"/>
        <w:jc w:val="both"/>
      </w:pPr>
      <w:r>
        <w:rPr>
          <w:rFonts w:ascii="Times New Roman" w:cs="Times New Roman" w:eastAsia="Times New Roman" w:hAnsi="Times New Roman"/>
          <w:sz w:val="22"/>
          <w:szCs w:val="22"/>
        </w:rPr>
        <w:t xml:space="preserve">Ŵ_{T+2|T} = 0.5 × Ŵ_{T+1|T} + (−0.2) × W_T = 0.5 × 0.44 + (−0.2) × 1.2 = 0.22 − 0.24 = −0.02</w:t>
      </w:r>
    </w:p>
    <w:p>
      <w:pPr>
        <w:spacing w:after="80" w:before="180"/>
      </w:pPr>
      <w:r>
        <w:rPr>
          <w:rFonts w:ascii="Times New Roman" w:cs="Times New Roman" w:eastAsia="Times New Roman" w:hAnsi="Times New Roman"/>
          <w:b/>
          <w:bCs/>
          <w:sz w:val="22"/>
          <w:szCs w:val="22"/>
          <w:u w:val="single"/>
        </w:rPr>
        <w:t xml:space="preserve">(c) Coeficientes ψ_j y ECM a horizonte h</w:t>
      </w:r>
    </w:p>
    <w:p>
      <w:pPr>
        <w:spacing w:after="120" w:before="0"/>
        <w:jc w:val="both"/>
      </w:pPr>
      <w:r>
        <w:rPr>
          <w:rFonts w:ascii="Times New Roman" w:cs="Times New Roman" w:eastAsia="Times New Roman" w:hAnsi="Times New Roman"/>
          <w:sz w:val="22"/>
          <w:szCs w:val="22"/>
        </w:rPr>
        <w:t xml:space="preserve">Los coeficientes MA(∞): ψ₀ = 1, ψ₁ = φ₁ = 0.5</w:t>
      </w:r>
    </w:p>
    <w:p>
      <w:pPr>
        <w:spacing w:after="120" w:before="0"/>
        <w:jc w:val="both"/>
      </w:pPr>
      <w:r>
        <w:rPr>
          <w:rFonts w:ascii="Times New Roman" w:cs="Times New Roman" w:eastAsia="Times New Roman" w:hAnsi="Times New Roman"/>
          <w:sz w:val="22"/>
          <w:szCs w:val="22"/>
        </w:rPr>
        <w:t xml:space="preserve">ψ₂ = φ₁ ψ₁ + φ₂ ψ₀ = 0.5 × 0.5 + (−0.2) × 1 = 0.25 − 0.20 = 0.05</w:t>
      </w:r>
    </w:p>
    <w:p>
      <w:pPr>
        <w:spacing w:after="120" w:before="0"/>
        <w:jc w:val="both"/>
      </w:pPr>
      <w:r>
        <w:rPr>
          <w:rFonts w:ascii="Times New Roman" w:cs="Times New Roman" w:eastAsia="Times New Roman" w:hAnsi="Times New Roman"/>
          <w:sz w:val="22"/>
          <w:szCs w:val="22"/>
        </w:rPr>
        <w:t xml:space="preserve">MSE_1 = σ² × ψ₀² = 1 × 1² = 1</w:t>
      </w:r>
    </w:p>
    <w:p>
      <w:pPr>
        <w:spacing w:after="120" w:before="0"/>
        <w:jc w:val="both"/>
      </w:pPr>
      <w:r>
        <w:rPr>
          <w:rFonts w:ascii="Times New Roman" w:cs="Times New Roman" w:eastAsia="Times New Roman" w:hAnsi="Times New Roman"/>
          <w:sz w:val="22"/>
          <w:szCs w:val="22"/>
        </w:rPr>
        <w:t xml:space="preserve">MSE_2 = σ² × (ψ₀² + ψ₁²) = 1 × (1 + 0.25) = 1.25</w:t>
      </w:r>
    </w:p>
    <w:p>
      <w:pPr>
        <w:spacing w:after="80" w:before="180"/>
      </w:pPr>
      <w:r>
        <w:rPr>
          <w:rFonts w:ascii="Times New Roman" w:cs="Times New Roman" w:eastAsia="Times New Roman" w:hAnsi="Times New Roman"/>
          <w:b/>
          <w:bCs/>
          <w:sz w:val="22"/>
          <w:szCs w:val="22"/>
          <w:u w:val="single"/>
        </w:rPr>
        <w:t xml:space="preserve">(d) Intervalos de predicción y traducción a Y_t</w:t>
      </w:r>
    </w:p>
    <w:p>
      <w:pPr>
        <w:spacing w:after="120" w:before="0"/>
        <w:jc w:val="both"/>
      </w:pPr>
      <w:r>
        <w:rPr>
          <w:rFonts w:ascii="Times New Roman" w:cs="Times New Roman" w:eastAsia="Times New Roman" w:hAnsi="Times New Roman"/>
          <w:sz w:val="22"/>
          <w:szCs w:val="22"/>
        </w:rPr>
        <w:t xml:space="preserve">IC 95% para W_{T+1}: Ŵ_{T+1|T} ± 1.96√MSE_1 = 0.44 ± 1.96 × 1 = [−1.52, 2.40]</w:t>
      </w:r>
    </w:p>
    <w:p>
      <w:pPr>
        <w:spacing w:after="120" w:before="0"/>
        <w:jc w:val="both"/>
      </w:pPr>
      <w:r>
        <w:rPr>
          <w:rFonts w:ascii="Times New Roman" w:cs="Times New Roman" w:eastAsia="Times New Roman" w:hAnsi="Times New Roman"/>
          <w:sz w:val="22"/>
          <w:szCs w:val="22"/>
        </w:rPr>
        <w:t xml:space="preserve">IC 95% para W_{T+2}: Ŵ_{T+2|T} ± 1.96√MSE_2 = −0.02 ± 1.96 × 1.118 = [−2.21, 2.17]</w:t>
      </w:r>
    </w:p>
    <w:p>
      <w:pPr>
        <w:spacing w:after="120" w:before="0"/>
        <w:jc w:val="both"/>
      </w:pPr>
      <w:r>
        <w:rPr>
          <w:rFonts w:ascii="Times New Roman" w:cs="Times New Roman" w:eastAsia="Times New Roman" w:hAnsi="Times New Roman"/>
          <w:sz w:val="22"/>
          <w:szCs w:val="22"/>
        </w:rPr>
        <w:t xml:space="preserve">Traducción a Y_t (recordando que W_t = ΔY_t):</w:t>
      </w:r>
    </w:p>
    <w:p>
      <w:pPr>
        <w:spacing w:after="120" w:before="0"/>
        <w:jc w:val="both"/>
      </w:pPr>
      <w:r>
        <w:rPr>
          <w:rFonts w:ascii="Times New Roman" w:cs="Times New Roman" w:eastAsia="Times New Roman" w:hAnsi="Times New Roman"/>
          <w:sz w:val="22"/>
          <w:szCs w:val="22"/>
        </w:rPr>
        <w:t xml:space="preserve">Ŷ_{T+1|T} = Y_T + Ŵ_{T+1|T} = 100 + 0.44 = 100.44, IC: [98.48, 102.40]</w:t>
      </w:r>
    </w:p>
    <w:p>
      <w:pPr>
        <w:spacing w:after="120" w:before="0"/>
        <w:jc w:val="both"/>
      </w:pPr>
      <w:r>
        <w:rPr>
          <w:rFonts w:ascii="Times New Roman" w:cs="Times New Roman" w:eastAsia="Times New Roman" w:hAnsi="Times New Roman"/>
          <w:sz w:val="22"/>
          <w:szCs w:val="22"/>
        </w:rPr>
        <w:t xml:space="preserve">Ŷ_{T+2|T} = Y_T + Ŵ_{T+1|T} + Ŵ_{T+2|T} = 100 + 0.44 − 0.02 = 100.42, IC: [97.79, 103.02]</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2.4 — Cointegración y spreads estadísticos</w:t>
      </w:r>
    </w:p>
    <w:p>
      <w:pPr>
        <w:spacing w:after="80" w:before="180"/>
      </w:pPr>
      <w:r>
        <w:rPr>
          <w:rFonts w:ascii="Times New Roman" w:cs="Times New Roman" w:eastAsia="Times New Roman" w:hAnsi="Times New Roman"/>
          <w:b/>
          <w:bCs/>
          <w:sz w:val="22"/>
          <w:szCs w:val="22"/>
          <w:u w:val="single"/>
        </w:rPr>
        <w:t xml:space="preserve">(a) Teorema de representación de Granger y corrección de error</w:t>
      </w:r>
    </w:p>
    <w:p>
      <w:pPr>
        <w:spacing w:after="120" w:before="0"/>
        <w:jc w:val="both"/>
      </w:pPr>
      <w:r>
        <w:rPr>
          <w:rFonts w:ascii="Times New Roman" w:cs="Times New Roman" w:eastAsia="Times New Roman" w:hAnsi="Times New Roman"/>
          <w:sz w:val="22"/>
          <w:szCs w:val="22"/>
        </w:rPr>
        <w:t xml:space="preserve">Enunciado: Si Y_t y X_t son ambas I(1) y cointegradas con vector (1, −β), entonces existe una representación de Corrección de Error (ECM):</w:t>
      </w:r>
    </w:p>
    <w:p>
      <w:pPr>
        <w:spacing w:after="120" w:before="0"/>
        <w:jc w:val="both"/>
      </w:pPr>
      <w:r>
        <w:rPr>
          <w:rFonts w:ascii="Times New Roman" w:cs="Times New Roman" w:eastAsia="Times New Roman" w:hAnsi="Times New Roman"/>
          <w:sz w:val="22"/>
          <w:szCs w:val="22"/>
        </w:rPr>
        <w:t xml:space="preserve">ΔY_t = α(Y_{t−1} − β X_{t−1}) + Σ_j γ_j ΔY_{t−j} + Σ_j δ_j ΔX_{t−j} + ε_t</w:t>
      </w:r>
    </w:p>
    <w:p>
      <w:pPr>
        <w:spacing w:after="120" w:before="0"/>
        <w:jc w:val="both"/>
      </w:pPr>
      <w:r>
        <w:rPr>
          <w:rFonts w:ascii="Times New Roman" w:cs="Times New Roman" w:eastAsia="Times New Roman" w:hAnsi="Times New Roman"/>
          <w:sz w:val="22"/>
          <w:szCs w:val="22"/>
        </w:rPr>
        <w:t xml:space="preserve">El término α(Y_{t−1} − β X_{t−1}) es el mecanismo de corrección de error. El factor (Y_{t−1} − β X_{t−1}) mide el desvío del equilibrio de largo plazo. El coeficiente α &lt; 0 determina la velocidad de corrección: si la relación de largo plazo se desvía hacia arriba (Y &gt; β X), Y decrece en el siguiente periodo para restaurar el equilibrio. Su magnitud |α| indica qué fracción del desvío se corrige cada periodo.</w:t>
      </w:r>
    </w:p>
    <w:p>
      <w:pPr>
        <w:spacing w:after="80" w:before="180"/>
      </w:pPr>
      <w:r>
        <w:rPr>
          <w:rFonts w:ascii="Times New Roman" w:cs="Times New Roman" w:eastAsia="Times New Roman" w:hAnsi="Times New Roman"/>
          <w:b/>
          <w:bCs/>
          <w:sz w:val="22"/>
          <w:szCs w:val="22"/>
          <w:u w:val="single"/>
        </w:rPr>
        <w:t xml:space="preserve">(b) Estimación de β y prueba de cointegración Engle-Granger</w:t>
      </w:r>
    </w:p>
    <w:p>
      <w:pPr>
        <w:spacing w:after="120" w:before="0"/>
        <w:jc w:val="both"/>
      </w:pPr>
      <w:r>
        <w:rPr>
          <w:rFonts w:ascii="Times New Roman" w:cs="Times New Roman" w:eastAsia="Times New Roman" w:hAnsi="Times New Roman"/>
          <w:sz w:val="22"/>
          <w:szCs w:val="22"/>
        </w:rPr>
        <w:t xml:space="preserve">Paso 1 — Estimar β: Regresión de cointegración por MCO: Y_t = α₀ + β X_t + Z_t. El estimador MCO de β es superconsistente (converge a T en lugar de √T) por la cointegración.</w:t>
      </w:r>
    </w:p>
    <w:p>
      <w:pPr>
        <w:spacing w:after="120" w:before="0"/>
        <w:jc w:val="both"/>
      </w:pPr>
      <w:r>
        <w:rPr>
          <w:rFonts w:ascii="Times New Roman" w:cs="Times New Roman" w:eastAsia="Times New Roman" w:hAnsi="Times New Roman"/>
          <w:sz w:val="22"/>
          <w:szCs w:val="22"/>
        </w:rPr>
        <w:t xml:space="preserve">Paso 2 — Verificar estacionariedad del spread: Obtener los residuos Ẑ_t = Y_t − β̂ X_t y aplicar la prueba ADF sobre Ẑ_t. Bajo H₀ (no cointegración) el spread es I(1); se rechaza si el estadístico ADF cae por debajo del valor crítico de Engle-Granger (más negativo que los cuantiles t estándar).</w:t>
      </w:r>
    </w:p>
    <w:p>
      <w:pPr>
        <w:spacing w:after="120" w:before="0"/>
        <w:jc w:val="both"/>
      </w:pPr>
      <w:r>
        <w:rPr>
          <w:rFonts w:ascii="Times New Roman" w:cs="Times New Roman" w:eastAsia="Times New Roman" w:hAnsi="Times New Roman"/>
          <w:sz w:val="22"/>
          <w:szCs w:val="22"/>
        </w:rPr>
        <w:t xml:space="preserve">Paso 3 — En pairs trading: los activos son cointegrados si el spread revierte a la media, lo que justifica la estrategia de abrir posición cuando el spread se desvía k desviaciones estándar.</w:t>
      </w:r>
    </w:p>
    <w:p>
      <w:pPr>
        <w:spacing w:after="80" w:before="180"/>
      </w:pPr>
      <w:r>
        <w:rPr>
          <w:rFonts w:ascii="Times New Roman" w:cs="Times New Roman" w:eastAsia="Times New Roman" w:hAnsi="Times New Roman"/>
          <w:b/>
          <w:bCs/>
          <w:sz w:val="22"/>
          <w:szCs w:val="22"/>
          <w:u w:val="single"/>
        </w:rPr>
        <w:t xml:space="preserve">(c) Propiedades del spread AR(1)</w:t>
      </w:r>
    </w:p>
    <w:p>
      <w:pPr>
        <w:spacing w:after="120" w:before="0"/>
        <w:jc w:val="both"/>
      </w:pPr>
      <w:r>
        <w:rPr>
          <w:rFonts w:ascii="Times New Roman" w:cs="Times New Roman" w:eastAsia="Times New Roman" w:hAnsi="Times New Roman"/>
          <w:sz w:val="22"/>
          <w:szCs w:val="22"/>
        </w:rPr>
        <w:t xml:space="preserve">Dado Z_t = μ + φ Z_{t−1} + ε_t con |φ| &lt; 1:</w:t>
      </w:r>
    </w:p>
    <w:p>
      <w:pPr>
        <w:spacing w:after="120" w:before="0"/>
        <w:jc w:val="both"/>
      </w:pPr>
      <w:r>
        <w:rPr>
          <w:rFonts w:ascii="Times New Roman" w:cs="Times New Roman" w:eastAsia="Times New Roman" w:hAnsi="Times New Roman"/>
          <w:sz w:val="22"/>
          <w:szCs w:val="22"/>
        </w:rPr>
        <w:t xml:space="preserve">Media: E[Z_t] = μ/(1 − φ)</w:t>
      </w:r>
    </w:p>
    <w:p>
      <w:pPr>
        <w:spacing w:after="120" w:before="0"/>
        <w:jc w:val="both"/>
      </w:pPr>
      <w:r>
        <w:rPr>
          <w:rFonts w:ascii="Times New Roman" w:cs="Times New Roman" w:eastAsia="Times New Roman" w:hAnsi="Times New Roman"/>
          <w:sz w:val="22"/>
          <w:szCs w:val="22"/>
        </w:rPr>
        <w:t xml:space="preserve">Varianza: Var(Z_t) = σ²/(1 − φ²)</w:t>
      </w:r>
    </w:p>
    <w:p>
      <w:pPr>
        <w:spacing w:after="120" w:before="0"/>
        <w:jc w:val="both"/>
      </w:pPr>
      <w:r>
        <w:rPr>
          <w:rFonts w:ascii="Times New Roman" w:cs="Times New Roman" w:eastAsia="Times New Roman" w:hAnsi="Times New Roman"/>
          <w:sz w:val="22"/>
          <w:szCs w:val="22"/>
        </w:rPr>
        <w:t xml:space="preserve">Tiempo esperado de retorno a la media: E[τ_μ] = 1/|log φ| ≈ 1/(1 − φ) periodos (para φ cercano a 1, aproximación de primer orden). Más precisamente, el tiempo de vida medio del desvío es −1/log(φ).</w:t>
      </w:r>
    </w:p>
    <w:p>
      <w:pPr>
        <w:spacing w:after="80" w:before="180"/>
      </w:pPr>
      <w:r>
        <w:rPr>
          <w:rFonts w:ascii="Times New Roman" w:cs="Times New Roman" w:eastAsia="Times New Roman" w:hAnsi="Times New Roman"/>
          <w:b/>
          <w:bCs/>
          <w:sz w:val="22"/>
          <w:szCs w:val="22"/>
          <w:u w:val="single"/>
        </w:rPr>
        <w:t xml:space="preserve">(d) Decisión de arbitraje con φ = 0.95, μ = 0, σ = 0.01</w:t>
      </w:r>
    </w:p>
    <w:p>
      <w:pPr>
        <w:spacing w:after="120" w:before="0"/>
        <w:jc w:val="both"/>
      </w:pPr>
      <w:r>
        <w:rPr>
          <w:rFonts w:ascii="Times New Roman" w:cs="Times New Roman" w:eastAsia="Times New Roman" w:hAnsi="Times New Roman"/>
          <w:sz w:val="22"/>
          <w:szCs w:val="22"/>
        </w:rPr>
        <w:t xml:space="preserve">E[Z_t] = 0/(1 − 0.95) = 0. Desv. estándar: √(0.01²/(1 − 0.9025)) = 0.01/√0.0975 ≈ 0.032.</w:t>
      </w:r>
    </w:p>
    <w:p>
      <w:pPr>
        <w:spacing w:after="120" w:before="0"/>
        <w:jc w:val="both"/>
      </w:pPr>
      <w:r>
        <w:rPr>
          <w:rFonts w:ascii="Times New Roman" w:cs="Times New Roman" w:eastAsia="Times New Roman" w:hAnsi="Times New Roman"/>
          <w:sz w:val="22"/>
          <w:szCs w:val="22"/>
        </w:rPr>
        <w:t xml:space="preserve">Tiempo esperado de retorno: −1/log(0.95) ≈ 1/0.0513 ≈ 19.5 periodos.</w:t>
      </w:r>
    </w:p>
    <w:p>
      <w:pPr>
        <w:spacing w:after="120" w:before="0"/>
        <w:jc w:val="both"/>
      </w:pPr>
      <w:r>
        <w:rPr>
          <w:rFonts w:ascii="Times New Roman" w:cs="Times New Roman" w:eastAsia="Times New Roman" w:hAnsi="Times New Roman"/>
          <w:sz w:val="22"/>
          <w:szCs w:val="22"/>
        </w:rPr>
        <w:t xml:space="preserve">Regla de apertura: abrir posición larga en Z cuando Z_t &lt; −2 × 0.032 = −0.064 (spread muy bajo) y corta cuando Z_t &gt; +0.064. Se cierra al volver a cero. El ratio retorno/riesgo mejora cuando φ es cercano a 1 (media-reversión lenta pero predecible) pero el tiempo de espera es mayor. La posición es rentable si los costos de transacción son menores que la ganancia esperada en 19.5 periodos.</w:t>
      </w:r>
    </w:p>
    <w:p>
      <w:pPr>
        <w:spacing w:after="60"/>
      </w:pPr>
      <w:r>
        <w:t xml:space="preserve"/>
      </w:r>
    </w:p>
    <w:p>
      <w:pPr>
        <w:pBdr>
          <w:bottom w:val="single" w:color="999999" w:sz="4" w:space="1"/>
        </w:pBdr>
        <w:spacing w:after="120"/>
      </w:pPr>
    </w:p>
    <w:p>
      <w:pPr>
        <w:pStyle w:val="Heading1"/>
        <w:spacing w:after="180" w:before="360"/>
      </w:pPr>
      <w:r>
        <w:rPr>
          <w:rFonts w:ascii="Times New Roman" w:cs="Times New Roman" w:eastAsia="Times New Roman" w:hAnsi="Times New Roman"/>
          <w:b/>
          <w:bCs/>
          <w:sz w:val="28"/>
          <w:szCs w:val="28"/>
        </w:rPr>
        <w:t xml:space="preserve">SECCIÓN 3 — Modelos SARIMA y Estacionalidad</w:t>
      </w:r>
    </w:p>
    <w:p>
      <w:pPr>
        <w:pStyle w:val="Heading2"/>
        <w:spacing w:after="120" w:before="240"/>
      </w:pPr>
      <w:r>
        <w:rPr>
          <w:rFonts w:ascii="Times New Roman" w:cs="Times New Roman" w:eastAsia="Times New Roman" w:hAnsi="Times New Roman"/>
          <w:b/>
          <w:bCs/>
          <w:i/>
          <w:iCs/>
          <w:sz w:val="24"/>
          <w:szCs w:val="24"/>
        </w:rPr>
        <w:t xml:space="preserve">Ejercicio 3.1 — SARIMA: estructura y notación</w:t>
      </w:r>
    </w:p>
    <w:p>
      <w:pPr>
        <w:spacing w:after="80" w:before="180"/>
      </w:pPr>
      <w:r>
        <w:rPr>
          <w:rFonts w:ascii="Times New Roman" w:cs="Times New Roman" w:eastAsia="Times New Roman" w:hAnsi="Times New Roman"/>
          <w:b/>
          <w:bCs/>
          <w:sz w:val="22"/>
          <w:szCs w:val="22"/>
          <w:u w:val="single"/>
        </w:rPr>
        <w:t xml:space="preserve">(a) SARIMA(1,1,1)(1,1,1)₁₂ expandido</w:t>
      </w:r>
    </w:p>
    <w:p>
      <w:pPr>
        <w:spacing w:after="120" w:before="0"/>
        <w:jc w:val="both"/>
      </w:pPr>
      <w:r>
        <w:rPr>
          <w:rFonts w:ascii="Times New Roman" w:cs="Times New Roman" w:eastAsia="Times New Roman" w:hAnsi="Times New Roman"/>
          <w:sz w:val="22"/>
          <w:szCs w:val="22"/>
        </w:rPr>
        <w:t xml:space="preserve">El modelo SARIMA(1,1,1)(1,1,1)₁₂ es:</w:t>
      </w:r>
    </w:p>
    <w:p>
      <w:pPr>
        <w:spacing w:after="120" w:before="0"/>
        <w:jc w:val="both"/>
      </w:pPr>
      <w:r>
        <w:rPr>
          <w:rFonts w:ascii="Times New Roman" w:cs="Times New Roman" w:eastAsia="Times New Roman" w:hAnsi="Times New Roman"/>
          <w:sz w:val="22"/>
          <w:szCs w:val="22"/>
        </w:rPr>
        <w:t xml:space="preserve">(1 − Φ₁B¹²)(1 − φ₁B)(1 − B¹²)(1 − B) Y_t = (1 + Θ₁B¹²)(1 + θ₁B) ε_t</w:t>
      </w:r>
    </w:p>
    <w:p>
      <w:pPr>
        <w:spacing w:after="120" w:before="0"/>
        <w:jc w:val="both"/>
      </w:pPr>
      <w:r>
        <w:rPr>
          <w:rFonts w:ascii="Times New Roman" w:cs="Times New Roman" w:eastAsia="Times New Roman" w:hAnsi="Times New Roman"/>
          <w:sz w:val="22"/>
          <w:szCs w:val="22"/>
        </w:rPr>
        <w:t xml:space="preserve">Expandiendo el lado izquierdo (operadores diferenciales):</w:t>
      </w:r>
    </w:p>
    <w:p>
      <w:pPr>
        <w:spacing w:after="120" w:before="0"/>
        <w:jc w:val="both"/>
      </w:pPr>
      <w:r>
        <w:rPr>
          <w:rFonts w:ascii="Times New Roman" w:cs="Times New Roman" w:eastAsia="Times New Roman" w:hAnsi="Times New Roman"/>
          <w:sz w:val="22"/>
          <w:szCs w:val="22"/>
        </w:rPr>
        <w:t xml:space="preserve">(1 − B − B¹² + B¹³)(1 − Φ₁B¹²)(1 − φ₁B) Y_t</w:t>
      </w:r>
    </w:p>
    <w:p>
      <w:pPr>
        <w:spacing w:after="120" w:before="0"/>
        <w:jc w:val="both"/>
      </w:pPr>
      <w:r>
        <w:rPr>
          <w:rFonts w:ascii="Times New Roman" w:cs="Times New Roman" w:eastAsia="Times New Roman" w:hAnsi="Times New Roman"/>
          <w:sz w:val="22"/>
          <w:szCs w:val="22"/>
        </w:rPr>
        <w:t xml:space="preserve">Desarrollando completamente:</w:t>
      </w:r>
    </w:p>
    <w:p>
      <w:pPr>
        <w:spacing w:after="120" w:before="0"/>
        <w:jc w:val="both"/>
      </w:pPr>
      <w:r>
        <w:rPr>
          <w:rFonts w:ascii="Times New Roman" w:cs="Times New Roman" w:eastAsia="Times New Roman" w:hAnsi="Times New Roman"/>
          <w:sz w:val="22"/>
          <w:szCs w:val="22"/>
        </w:rPr>
        <w:t xml:space="preserve">Y_t − φ₁Y_{t−1} − Φ₁Y_{t−12} + φ₁Φ₁Y_{t−13} − Y_{t−1} + φ₁Y_{t−2} + Φ₁Y_{t−13} − … = ε_t + θ₁ε_{t−1} + Θ₁ε_{t−12} + θ₁Θ₁ε_{t−13}</w:t>
      </w:r>
    </w:p>
    <w:p>
      <w:pPr>
        <w:spacing w:after="120" w:before="0"/>
        <w:jc w:val="both"/>
      </w:pPr>
      <w:r>
        <w:rPr>
          <w:rFonts w:ascii="Times New Roman" w:cs="Times New Roman" w:eastAsia="Times New Roman" w:hAnsi="Times New Roman"/>
          <w:sz w:val="22"/>
          <w:szCs w:val="22"/>
        </w:rPr>
        <w:t xml:space="preserve">Esta es la forma estructural completa con términos autorregresivos en rezagos 1, 12, 13 y medias móviles en rezagos 1, 12, 13.</w:t>
      </w:r>
    </w:p>
    <w:p>
      <w:pPr>
        <w:spacing w:after="80" w:before="180"/>
      </w:pPr>
      <w:r>
        <w:rPr>
          <w:rFonts w:ascii="Times New Roman" w:cs="Times New Roman" w:eastAsia="Times New Roman" w:hAnsi="Times New Roman"/>
          <w:b/>
          <w:bCs/>
          <w:sz w:val="22"/>
          <w:szCs w:val="22"/>
          <w:u w:val="single"/>
        </w:rPr>
        <w:t xml:space="preserve">(b) Cálculo de Δ₁₂(Δ₁Y_t)</w:t>
      </w:r>
    </w:p>
    <w:p>
      <w:pPr>
        <w:spacing w:after="120" w:before="0"/>
        <w:jc w:val="both"/>
      </w:pPr>
      <w:r>
        <w:rPr>
          <w:rFonts w:ascii="Times New Roman" w:cs="Times New Roman" w:eastAsia="Times New Roman" w:hAnsi="Times New Roman"/>
          <w:sz w:val="22"/>
          <w:szCs w:val="22"/>
        </w:rPr>
        <w:t xml:space="preserve">Δ₁Y_t = Y_t − Y_{t−1}</w:t>
      </w:r>
    </w:p>
    <w:p>
      <w:pPr>
        <w:spacing w:after="120" w:before="0"/>
        <w:jc w:val="both"/>
      </w:pPr>
      <w:r>
        <w:rPr>
          <w:rFonts w:ascii="Times New Roman" w:cs="Times New Roman" w:eastAsia="Times New Roman" w:hAnsi="Times New Roman"/>
          <w:sz w:val="22"/>
          <w:szCs w:val="22"/>
        </w:rPr>
        <w:t xml:space="preserve">Δ₁₂(Δ₁Y_t) = (1 − B¹²)(1 − B) Y_t = (1 − B − B¹² + B¹³) Y_t</w:t>
      </w:r>
    </w:p>
    <w:p>
      <w:pPr>
        <w:spacing w:after="120" w:before="0"/>
        <w:jc w:val="both"/>
      </w:pPr>
      <w:r>
        <w:rPr>
          <w:rFonts w:ascii="Times New Roman" w:cs="Times New Roman" w:eastAsia="Times New Roman" w:hAnsi="Times New Roman"/>
          <w:sz w:val="22"/>
          <w:szCs w:val="22"/>
        </w:rPr>
        <w:t xml:space="preserve">= Y_t − Y_{t−1} − Y_{t−12} + Y_{t−13}</w:t>
      </w:r>
    </w:p>
    <w:p>
      <w:pPr>
        <w:spacing w:after="120" w:before="0"/>
        <w:jc w:val="both"/>
      </w:pPr>
      <w:r>
        <w:rPr>
          <w:rFonts w:ascii="Times New Roman" w:cs="Times New Roman" w:eastAsia="Times New Roman" w:hAnsi="Times New Roman"/>
          <w:sz w:val="22"/>
          <w:szCs w:val="22"/>
        </w:rPr>
        <w:t xml:space="preserve">Involucra exactamente los rezagos t, t−1, t−12 y t−13.</w:t>
      </w:r>
    </w:p>
    <w:p>
      <w:pPr>
        <w:spacing w:after="80" w:before="180"/>
      </w:pPr>
      <w:r>
        <w:rPr>
          <w:rFonts w:ascii="Times New Roman" w:cs="Times New Roman" w:eastAsia="Times New Roman" w:hAnsi="Times New Roman"/>
          <w:b/>
          <w:bCs/>
          <w:sz w:val="22"/>
          <w:szCs w:val="22"/>
          <w:u w:val="single"/>
        </w:rPr>
        <w:t xml:space="preserve">(c) Patrones ACF/PACF y necesidad de diferenciación estacional</w:t>
      </w:r>
    </w:p>
    <w:p>
      <w:pPr>
        <w:spacing w:after="120" w:before="0"/>
        <w:jc w:val="both"/>
      </w:pPr>
      <w:r>
        <w:rPr>
          <w:rFonts w:ascii="Times New Roman" w:cs="Times New Roman" w:eastAsia="Times New Roman" w:hAnsi="Times New Roman"/>
          <w:sz w:val="22"/>
          <w:szCs w:val="22"/>
        </w:rPr>
        <w:t xml:space="preserve">Antes de aplicar Δ₁₂: La ACF muestral presenta picos significativos y persistentes en los rezagos múltiplos del periodo estacional: ρ(12) ≈ ρ(24) ≈ ρ(36) ≈ grande y de decaimiento lento. Esto indica presencia de raíz unitaria estacional.</w:t>
      </w:r>
    </w:p>
    <w:p>
      <w:pPr>
        <w:spacing w:after="120" w:before="0"/>
        <w:jc w:val="both"/>
      </w:pPr>
      <w:r>
        <w:rPr>
          <w:rFonts w:ascii="Times New Roman" w:cs="Times New Roman" w:eastAsia="Times New Roman" w:hAnsi="Times New Roman"/>
          <w:sz w:val="22"/>
          <w:szCs w:val="22"/>
        </w:rPr>
        <w:t xml:space="preserve">Después de aplicar Δ₁₂: Los picos en múltiplos de 12 desaparecen o se vuelven estadísticamente insignificantes. La ACF resultante sólo muestra la estructura de dependencia de corto plazo.</w:t>
      </w:r>
    </w:p>
    <w:p>
      <w:pPr>
        <w:spacing w:after="80" w:before="180"/>
      </w:pPr>
      <w:r>
        <w:rPr>
          <w:rFonts w:ascii="Times New Roman" w:cs="Times New Roman" w:eastAsia="Times New Roman" w:hAnsi="Times New Roman"/>
          <w:b/>
          <w:bCs/>
          <w:sz w:val="22"/>
          <w:szCs w:val="22"/>
          <w:u w:val="single"/>
        </w:rPr>
        <w:t xml:space="preserve">(d) Combinación (d, D) para ventas minoristas mensuales</w:t>
      </w:r>
    </w:p>
    <w:p>
      <w:pPr>
        <w:spacing w:after="120" w:before="0"/>
        <w:jc w:val="both"/>
      </w:pPr>
      <w:r>
        <w:rPr>
          <w:rFonts w:ascii="Times New Roman" w:cs="Times New Roman" w:eastAsia="Times New Roman" w:hAnsi="Times New Roman"/>
          <w:sz w:val="22"/>
          <w:szCs w:val="22"/>
        </w:rPr>
        <w:t xml:space="preserve">Se recomienda (d = 1, D = 1). Justificación: d = 1 elimina la tendencia determinista o estocástica de largo plazo (raíz unitaria regular). D = 1 elimina la estacionalidad estocástica (raíz unitaria en frecuencia estacional 2π/12). Valores mayores (d = 2 o D = 2) sobrediferencian y aumentan la varianza del ruido sin mejorar el ajuste. La parsimonia dicta usar el mínimo orden que logra estacionariedad.</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3.2 — SARIMA para ventas mensuales (Airline model)</w:t>
      </w:r>
    </w:p>
    <w:p>
      <w:pPr>
        <w:spacing w:after="80" w:before="180"/>
      </w:pPr>
      <w:r>
        <w:rPr>
          <w:rFonts w:ascii="Times New Roman" w:cs="Times New Roman" w:eastAsia="Times New Roman" w:hAnsi="Times New Roman"/>
          <w:b/>
          <w:bCs/>
          <w:sz w:val="22"/>
          <w:szCs w:val="22"/>
          <w:u w:val="single"/>
        </w:rPr>
        <w:t xml:space="preserve">(a) Expansión del lado izquierdo</w:t>
      </w:r>
    </w:p>
    <w:p>
      <w:pPr>
        <w:spacing w:after="120" w:before="0"/>
        <w:jc w:val="both"/>
      </w:pPr>
      <w:r>
        <w:rPr>
          <w:rFonts w:ascii="Times New Roman" w:cs="Times New Roman" w:eastAsia="Times New Roman" w:hAnsi="Times New Roman"/>
          <w:sz w:val="22"/>
          <w:szCs w:val="22"/>
        </w:rPr>
        <w:t xml:space="preserve">(1 − B)(1 − B¹²) V_t = (1 − B − B¹² + B¹³) V_t</w:t>
      </w:r>
    </w:p>
    <w:p>
      <w:pPr>
        <w:spacing w:after="120" w:before="0"/>
        <w:jc w:val="both"/>
      </w:pPr>
      <w:r>
        <w:rPr>
          <w:rFonts w:ascii="Times New Roman" w:cs="Times New Roman" w:eastAsia="Times New Roman" w:hAnsi="Times New Roman"/>
          <w:sz w:val="22"/>
          <w:szCs w:val="22"/>
        </w:rPr>
        <w:t xml:space="preserve">= V_t − V_{t−1} − V_{t−12} + V_{t−13}   ∎</w:t>
      </w:r>
    </w:p>
    <w:p>
      <w:pPr>
        <w:spacing w:after="80" w:before="180"/>
      </w:pPr>
      <w:r>
        <w:rPr>
          <w:rFonts w:ascii="Times New Roman" w:cs="Times New Roman" w:eastAsia="Times New Roman" w:hAnsi="Times New Roman"/>
          <w:b/>
          <w:bCs/>
          <w:sz w:val="22"/>
          <w:szCs w:val="22"/>
          <w:u w:val="single"/>
        </w:rPr>
        <w:t xml:space="preserve">(b) Ecuación completa del modelo</w:t>
      </w:r>
    </w:p>
    <w:p>
      <w:pPr>
        <w:spacing w:after="120" w:before="0"/>
        <w:jc w:val="both"/>
      </w:pPr>
      <w:r>
        <w:rPr>
          <w:rFonts w:ascii="Times New Roman" w:cs="Times New Roman" w:eastAsia="Times New Roman" w:hAnsi="Times New Roman"/>
          <w:sz w:val="22"/>
          <w:szCs w:val="22"/>
        </w:rPr>
        <w:t xml:space="preserve">(1 + θ₁B)(1 + Θ₁B¹²) ε_t = ε_t + θ₁ ε_{t−1} + Θ₁ ε_{t−12} + θ₁Θ₁ ε_{t−13}</w:t>
      </w:r>
    </w:p>
    <w:p>
      <w:pPr>
        <w:spacing w:after="120" w:before="0"/>
        <w:jc w:val="both"/>
      </w:pPr>
      <w:r>
        <w:rPr>
          <w:rFonts w:ascii="Times New Roman" w:cs="Times New Roman" w:eastAsia="Times New Roman" w:hAnsi="Times New Roman"/>
          <w:sz w:val="22"/>
          <w:szCs w:val="22"/>
        </w:rPr>
        <w:t xml:space="preserve">Ecuación completa: V_t − V_{t−1} − V_{t−12} + V_{t−13} = ε_t + θ₁ ε_{t−1} + Θ₁ ε_{t−12} + θ₁Θ₁ ε_{t−13}</w:t>
      </w:r>
    </w:p>
    <w:p>
      <w:pPr>
        <w:spacing w:after="120" w:before="0"/>
        <w:jc w:val="both"/>
      </w:pPr>
      <w:r>
        <w:rPr>
          <w:rFonts w:ascii="Times New Roman" w:cs="Times New Roman" w:eastAsia="Times New Roman" w:hAnsi="Times New Roman"/>
          <w:sz w:val="22"/>
          <w:szCs w:val="22"/>
        </w:rPr>
        <w:t xml:space="preserve">Despejando V_t: V_t = V_{t−1} + V_{t−12} − V_{t−13} + ε_t + θ₁ ε_{t−1} + Θ₁ ε_{t−12} + θ₁Θ₁ ε_{t−13}</w:t>
      </w:r>
    </w:p>
    <w:p>
      <w:pPr>
        <w:spacing w:after="80" w:before="180"/>
      </w:pPr>
      <w:r>
        <w:rPr>
          <w:rFonts w:ascii="Times New Roman" w:cs="Times New Roman" w:eastAsia="Times New Roman" w:hAnsi="Times New Roman"/>
          <w:b/>
          <w:bCs/>
          <w:sz w:val="22"/>
          <w:szCs w:val="22"/>
          <w:u w:val="single"/>
        </w:rPr>
        <w:t xml:space="preserve">(c) Pronóstico V̂₆₁</w:t>
      </w:r>
    </w:p>
    <w:p>
      <w:pPr>
        <w:spacing w:after="120" w:before="0"/>
        <w:jc w:val="both"/>
      </w:pPr>
      <w:r>
        <w:rPr>
          <w:rFonts w:ascii="Times New Roman" w:cs="Times New Roman" w:eastAsia="Times New Roman" w:hAnsi="Times New Roman"/>
          <w:sz w:val="22"/>
          <w:szCs w:val="22"/>
        </w:rPr>
        <w:t xml:space="preserve">Con θ̂₁ = −0.4, Θ̂₁ = −0.6, θ̂₁Θ̂₁ = 0.24:</w:t>
      </w:r>
    </w:p>
    <w:p>
      <w:pPr>
        <w:spacing w:after="120" w:before="0"/>
        <w:jc w:val="both"/>
      </w:pPr>
      <w:r>
        <w:rPr>
          <w:rFonts w:ascii="Times New Roman" w:cs="Times New Roman" w:eastAsia="Times New Roman" w:hAnsi="Times New Roman"/>
          <w:sz w:val="22"/>
          <w:szCs w:val="22"/>
        </w:rPr>
        <w:t xml:space="preserve">V̂₆₁ = V₆₀ + V₄₉ − V₄₈ + θ̂₁ ε̂₆₀ + Θ̂₁ ε̂₄₉ + θ̂₁Θ̂₁ ε̂₄₈</w:t>
      </w:r>
    </w:p>
    <w:p>
      <w:pPr>
        <w:spacing w:after="120" w:before="0"/>
        <w:jc w:val="both"/>
      </w:pPr>
      <w:r>
        <w:rPr>
          <w:rFonts w:ascii="Times New Roman" w:cs="Times New Roman" w:eastAsia="Times New Roman" w:hAnsi="Times New Roman"/>
          <w:sz w:val="22"/>
          <w:szCs w:val="22"/>
        </w:rPr>
        <w:t xml:space="preserve">Usando los datos disponibles (se asume V₄₉ ≈ V₄₈ + ΔV₄₉, con ε̂₄₉ ≈ 0 por falta de dato):</w:t>
      </w:r>
    </w:p>
    <w:p>
      <w:pPr>
        <w:spacing w:after="120" w:before="0"/>
        <w:jc w:val="both"/>
      </w:pPr>
      <w:r>
        <w:rPr>
          <w:rFonts w:ascii="Times New Roman" w:cs="Times New Roman" w:eastAsia="Times New Roman" w:hAnsi="Times New Roman"/>
          <w:sz w:val="22"/>
          <w:szCs w:val="22"/>
        </w:rPr>
        <w:t xml:space="preserve">V̂₆₁ = 50 + V₄₈ − V₄₇ + (−0.4)(2) + (−0.6)(0) + (0.24)(1)</w:t>
      </w:r>
    </w:p>
    <w:p>
      <w:pPr>
        <w:spacing w:after="120" w:before="0"/>
        <w:jc w:val="both"/>
      </w:pPr>
      <w:r>
        <w:rPr>
          <w:rFonts w:ascii="Times New Roman" w:cs="Times New Roman" w:eastAsia="Times New Roman" w:hAnsi="Times New Roman"/>
          <w:sz w:val="22"/>
          <w:szCs w:val="22"/>
        </w:rPr>
        <w:t xml:space="preserve">= 50 + (40 − 35) − 0.8 + 0 + 0.24 = 50 + 5 − 0.8 + 0.24 = 54.44 millones MXN</w:t>
      </w:r>
    </w:p>
    <w:p>
      <w:pPr>
        <w:spacing w:after="80" w:before="180"/>
      </w:pPr>
      <w:r>
        <w:rPr>
          <w:rFonts w:ascii="Times New Roman" w:cs="Times New Roman" w:eastAsia="Times New Roman" w:hAnsi="Times New Roman"/>
          <w:b/>
          <w:bCs/>
          <w:sz w:val="22"/>
          <w:szCs w:val="22"/>
          <w:u w:val="single"/>
        </w:rPr>
        <w:t xml:space="preserve">(d) Intervalos de predicción y crecimiento con el horizonte</w:t>
      </w:r>
    </w:p>
    <w:p>
      <w:pPr>
        <w:spacing w:after="120" w:before="0"/>
        <w:jc w:val="both"/>
      </w:pPr>
      <w:r>
        <w:rPr>
          <w:rFonts w:ascii="Times New Roman" w:cs="Times New Roman" w:eastAsia="Times New Roman" w:hAnsi="Times New Roman"/>
          <w:sz w:val="22"/>
          <w:szCs w:val="22"/>
        </w:rPr>
        <w:t xml:space="preserve">IC 95% para V₆₁: V̂₆₁ ± 1.96 σ̂ (varianza de predicción = σ² × Σ ψ_j², j de 0 a 0 = σ²).</w:t>
      </w:r>
    </w:p>
    <w:p>
      <w:pPr>
        <w:spacing w:after="120" w:before="0"/>
        <w:jc w:val="both"/>
      </w:pPr>
      <w:r>
        <w:rPr>
          <w:rFonts w:ascii="Times New Roman" w:cs="Times New Roman" w:eastAsia="Times New Roman" w:hAnsi="Times New Roman"/>
          <w:sz w:val="22"/>
          <w:szCs w:val="22"/>
        </w:rPr>
        <w:t xml:space="preserve">IC 95% para V₇₃ (12 meses adelante): la varianza de predicción se acumula con los coeficientes ψ_j² de h = 1 a h = 12, dando un intervalo significativamente más amplio.</w:t>
      </w:r>
    </w:p>
    <w:p>
      <w:pPr>
        <w:spacing w:after="120" w:before="0"/>
        <w:jc w:val="both"/>
      </w:pPr>
      <w:r>
        <w:rPr>
          <w:rFonts w:ascii="Times New Roman" w:cs="Times New Roman" w:eastAsia="Times New Roman" w:hAnsi="Times New Roman"/>
          <w:sz w:val="22"/>
          <w:szCs w:val="22"/>
        </w:rPr>
        <w:t xml:space="preserve">El intervalo crece porque cada horizonte adicional suma un nuevo término σ² ψ_{h−1}² al ECM. Para un proceso no estacionario (con diferenciación), los ψ_j no convergen a cero sino que permanecen acotados o crecen, haciendo que la incertidumbre se acumule indefinidamente con el horizonte. Esto refleja la inherente imposibilidad de predecir con certeza a largo plazo bajo incertidumbre estocástica.</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3.3 — SARIMA para tasas CETES con ciclos trimestrales</w:t>
      </w:r>
    </w:p>
    <w:p>
      <w:pPr>
        <w:spacing w:after="80" w:before="180"/>
      </w:pPr>
      <w:r>
        <w:rPr>
          <w:rFonts w:ascii="Times New Roman" w:cs="Times New Roman" w:eastAsia="Times New Roman" w:hAnsi="Times New Roman"/>
          <w:b/>
          <w:bCs/>
          <w:sz w:val="22"/>
          <w:szCs w:val="22"/>
          <w:u w:val="single"/>
        </w:rPr>
        <w:t xml:space="preserve">(a) Propuesta de modelo SARIMA</w:t>
      </w:r>
    </w:p>
    <w:p>
      <w:pPr>
        <w:spacing w:after="120" w:before="0"/>
        <w:jc w:val="both"/>
      </w:pPr>
      <w:r>
        <w:rPr>
          <w:rFonts w:ascii="Times New Roman" w:cs="Times New Roman" w:eastAsia="Times New Roman" w:hAnsi="Times New Roman"/>
          <w:sz w:val="22"/>
          <w:szCs w:val="22"/>
        </w:rPr>
        <w:t xml:space="preserve">Dado el ciclo trimestral (s = 13) y la naturaleza de las tasas de CETES, se propone: SARIMA(1, 1, 0)(1, 0, 1)₁₃.</w:t>
      </w:r>
    </w:p>
    <w:p>
      <w:pPr>
        <w:spacing w:after="120" w:before="0"/>
        <w:jc w:val="both"/>
      </w:pPr>
      <w:r>
        <w:rPr>
          <w:rFonts w:ascii="Times New Roman" w:cs="Times New Roman" w:eastAsia="Times New Roman" w:hAnsi="Times New Roman"/>
          <w:sz w:val="22"/>
          <w:szCs w:val="22"/>
        </w:rPr>
        <w:t xml:space="preserve">Justificación: d = 1 para estacionarizar la tendencia de la tasa. D = 0 porque la estacionalidad fiscal no implica necesariamente raíz unitaria estacional. P = 1 por los picos en ACF en rezagos 13, 26 (decaimiento geométrico en múltiplos de 13). Q = 1 por ajuste del término MA estacional. p = 1 por autocorrelación de corto plazo no estacional.</w:t>
      </w:r>
    </w:p>
    <w:p>
      <w:pPr>
        <w:spacing w:after="80" w:before="180"/>
      </w:pPr>
      <w:r>
        <w:rPr>
          <w:rFonts w:ascii="Times New Roman" w:cs="Times New Roman" w:eastAsia="Times New Roman" w:hAnsi="Times New Roman"/>
          <w:b/>
          <w:bCs/>
          <w:sz w:val="22"/>
          <w:szCs w:val="22"/>
          <w:u w:val="single"/>
        </w:rPr>
        <w:t xml:space="preserve">(b) Pronóstico para las próximas 4 semanas</w:t>
      </w:r>
    </w:p>
    <w:p>
      <w:pPr>
        <w:spacing w:after="120" w:before="0"/>
        <w:jc w:val="both"/>
      </w:pPr>
      <w:r>
        <w:rPr>
          <w:rFonts w:ascii="Times New Roman" w:cs="Times New Roman" w:eastAsia="Times New Roman" w:hAnsi="Times New Roman"/>
          <w:sz w:val="22"/>
          <w:szCs w:val="22"/>
        </w:rPr>
        <w:t xml:space="preserve">El pronóstico a horizonte h = 1, 2, 3, 4 se obtiene aplicando recursivamente las ecuaciones del modelo. Los intervalos al 80% usan ±1.28σ̂√MSEₕ y al 95% usan ±1.96σ̂√MSEₕ, donde MSEₕ = σ² Σ_{j=0}^{h−1} ψ_j².</w:t>
      </w:r>
    </w:p>
    <w:p>
      <w:pPr>
        <w:spacing w:after="120" w:before="0"/>
        <w:jc w:val="both"/>
      </w:pPr>
      <w:r>
        <w:rPr>
          <w:rFonts w:ascii="Times New Roman" w:cs="Times New Roman" w:eastAsia="Times New Roman" w:hAnsi="Times New Roman"/>
          <w:sz w:val="22"/>
          <w:szCs w:val="22"/>
        </w:rPr>
        <w:t xml:space="preserve">Las bandas se ensanchan con h porque la varianza de predicción crece con el horizonte, reflejando mayor incertidumbre acumulada.</w:t>
      </w:r>
    </w:p>
    <w:p>
      <w:pPr>
        <w:spacing w:after="80" w:before="180"/>
      </w:pPr>
      <w:r>
        <w:rPr>
          <w:rFonts w:ascii="Times New Roman" w:cs="Times New Roman" w:eastAsia="Times New Roman" w:hAnsi="Times New Roman"/>
          <w:b/>
          <w:bCs/>
          <w:sz w:val="22"/>
          <w:szCs w:val="22"/>
          <w:u w:val="single"/>
        </w:rPr>
        <w:t xml:space="preserve">(c) Evaluación con ECMP</w:t>
      </w:r>
    </w:p>
    <w:p>
      <w:pPr>
        <w:spacing w:after="120" w:before="0"/>
        <w:jc w:val="both"/>
      </w:pPr>
      <w:r>
        <w:rPr>
          <w:rFonts w:ascii="Times New Roman" w:cs="Times New Roman" w:eastAsia="Times New Roman" w:hAnsi="Times New Roman"/>
          <w:sz w:val="22"/>
          <w:szCs w:val="22"/>
        </w:rPr>
        <w:t xml:space="preserve">ECMP (Error Cuadrático Medio de Predicción) = (1/26) Σ_{t=T−25}^{T} (r_t − r̂_{t|t−1})² para la ventana de validación de 26 semanas.</w:t>
      </w:r>
    </w:p>
    <w:p>
      <w:pPr>
        <w:spacing w:after="120" w:before="0"/>
        <w:jc w:val="both"/>
      </w:pPr>
      <w:r>
        <w:rPr>
          <w:rFonts w:ascii="Times New Roman" w:cs="Times New Roman" w:eastAsia="Times New Roman" w:hAnsi="Times New Roman"/>
          <w:sz w:val="22"/>
          <w:szCs w:val="22"/>
        </w:rPr>
        <w:t xml:space="preserve">Comparación: El SARIMA(1,1,0)(1,0,1)₁₃ debería superar al ARIMA(1,1,0) sin componente estacional porque captura la variación sistemática en torno a los vencimientos fiscales trimestrales. Un ECMP menor confirma que el componente estacional es estadísticamente informativo.</w:t>
      </w:r>
    </w:p>
    <w:p>
      <w:pPr>
        <w:spacing w:after="80" w:before="180"/>
      </w:pPr>
      <w:r>
        <w:rPr>
          <w:rFonts w:ascii="Times New Roman" w:cs="Times New Roman" w:eastAsia="Times New Roman" w:hAnsi="Times New Roman"/>
          <w:b/>
          <w:bCs/>
          <w:sz w:val="22"/>
          <w:szCs w:val="22"/>
          <w:u w:val="single"/>
        </w:rPr>
        <w:t xml:space="preserve">(d) Regla de decisión en trading de tasas</w:t>
      </w:r>
    </w:p>
    <w:p>
      <w:pPr>
        <w:spacing w:after="120" w:before="0"/>
        <w:jc w:val="both"/>
      </w:pPr>
      <w:r>
        <w:rPr>
          <w:rFonts w:ascii="Times New Roman" w:cs="Times New Roman" w:eastAsia="Times New Roman" w:hAnsi="Times New Roman"/>
          <w:sz w:val="22"/>
          <w:szCs w:val="22"/>
        </w:rPr>
        <w:t xml:space="preserve">Regla: Si el IC al 95% para la tasa en t+1 está completamente por encima de la tasa forward actual, se compran futuros de CETES (se anticipa alza). Si está completamente por debajo, se venden.</w:t>
      </w:r>
    </w:p>
    <w:p>
      <w:pPr>
        <w:spacing w:after="120" w:before="0"/>
        <w:jc w:val="both"/>
      </w:pPr>
      <w:r>
        <w:rPr>
          <w:rFonts w:ascii="Times New Roman" w:cs="Times New Roman" w:eastAsia="Times New Roman" w:hAnsi="Times New Roman"/>
          <w:sz w:val="22"/>
          <w:szCs w:val="22"/>
        </w:rPr>
        <w:t xml:space="preserve">Riesgo del modelo: (i) El modelo puede estar mal especificado si la política monetaria de Banxico cambia abruptamente. (ii) Los errores de predicción tienen colas más gruesas que la normal (exceso de curtosis). (iii) El spread bid-ask puede erosionar las ganancias esperadas cuando el IC es estrecho. Se recomienda usar el percentil 95% como escenario adverso para dimensionar coberturas.</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3.4 — Descomposición STL y limpieza de estacionalidad</w:t>
      </w:r>
    </w:p>
    <w:p>
      <w:pPr>
        <w:spacing w:after="80" w:before="180"/>
      </w:pPr>
      <w:r>
        <w:rPr>
          <w:rFonts w:ascii="Times New Roman" w:cs="Times New Roman" w:eastAsia="Times New Roman" w:hAnsi="Times New Roman"/>
          <w:b/>
          <w:bCs/>
          <w:sz w:val="22"/>
          <w:szCs w:val="22"/>
          <w:u w:val="single"/>
        </w:rPr>
        <w:t xml:space="preserve">(a) Ventajas de STL frente a descomposición clásica y X-12</w:t>
      </w:r>
    </w:p>
    <w:p>
      <w:pPr>
        <w:spacing w:after="120" w:before="0"/>
        <w:jc w:val="both"/>
      </w:pPr>
      <w:r>
        <w:rPr>
          <w:rFonts w:ascii="Times New Roman" w:cs="Times New Roman" w:eastAsia="Times New Roman" w:hAnsi="Times New Roman"/>
          <w:sz w:val="22"/>
          <w:szCs w:val="22"/>
        </w:rPr>
        <w:t xml:space="preserve">Robustez ante atípicos: STL usa regresión local (LOESS) con pesos robustos, de modo que outliers tienen influencia reducida sobre la tendencia y el componente estacional estimados. La descomposición clásica usa medias móviles simples que son muy sensibles a valores extremos.</w:t>
      </w:r>
    </w:p>
    <w:p>
      <w:pPr>
        <w:spacing w:after="120" w:before="0"/>
        <w:jc w:val="both"/>
      </w:pPr>
      <w:r>
        <w:rPr>
          <w:rFonts w:ascii="Times New Roman" w:cs="Times New Roman" w:eastAsia="Times New Roman" w:hAnsi="Times New Roman"/>
          <w:sz w:val="22"/>
          <w:szCs w:val="22"/>
        </w:rPr>
        <w:t xml:space="preserve">Componente estacional variable en el tiempo: STL permite que S_t cambie gradualmente periodo a periodo (controlado por el parámetro de ventana estacional n_s). X-12-ARIMA también permite variación pero mediante filtros fijos; STL es más flexible.</w:t>
      </w:r>
    </w:p>
    <w:p>
      <w:pPr>
        <w:spacing w:after="120" w:before="0"/>
        <w:jc w:val="both"/>
      </w:pPr>
      <w:r>
        <w:rPr>
          <w:rFonts w:ascii="Times New Roman" w:cs="Times New Roman" w:eastAsia="Times New Roman" w:hAnsi="Times New Roman"/>
          <w:sz w:val="22"/>
          <w:szCs w:val="22"/>
        </w:rPr>
        <w:t xml:space="preserve">Flexibilidad del ancho de ventana: Los parámetros n_t (tendencia) y n_s (estacional) de STL pueden ajustarse libremente por el usuario según el contexto económico, mientras que X-12 usa filtros predefinidos.</w:t>
      </w:r>
    </w:p>
    <w:p>
      <w:pPr>
        <w:spacing w:after="80" w:before="180"/>
      </w:pPr>
      <w:r>
        <w:rPr>
          <w:rFonts w:ascii="Times New Roman" w:cs="Times New Roman" w:eastAsia="Times New Roman" w:hAnsi="Times New Roman"/>
          <w:b/>
          <w:bCs/>
          <w:sz w:val="22"/>
          <w:szCs w:val="22"/>
          <w:u w:val="single"/>
        </w:rPr>
        <w:t xml:space="preserve">(b) Serie desestacionalizada</w:t>
      </w:r>
    </w:p>
    <w:p>
      <w:pPr>
        <w:spacing w:after="120" w:before="0"/>
        <w:jc w:val="both"/>
      </w:pPr>
      <w:r>
        <w:rPr>
          <w:rFonts w:ascii="Times New Roman" w:cs="Times New Roman" w:eastAsia="Times New Roman" w:hAnsi="Times New Roman"/>
          <w:sz w:val="22"/>
          <w:szCs w:val="22"/>
        </w:rPr>
        <w:t xml:space="preserve">Con T_t = 2 + 0.1t y S_t = 3 sin(2πt/12):</w:t>
      </w:r>
    </w:p>
    <w:p>
      <w:pPr>
        <w:spacing w:after="120" w:before="0"/>
        <w:jc w:val="both"/>
      </w:pPr>
      <w:r>
        <w:rPr>
          <w:rFonts w:ascii="Times New Roman" w:cs="Times New Roman" w:eastAsia="Times New Roman" w:hAnsi="Times New Roman"/>
          <w:sz w:val="22"/>
          <w:szCs w:val="22"/>
        </w:rPr>
        <w:t xml:space="preserve">Y_t^{des} = Y_t − S_t = (T_t + S_t + R_t) − S_t = T_t + R_t = 2 + 0.1t + R_t</w:t>
      </w:r>
    </w:p>
    <w:p>
      <w:pPr>
        <w:spacing w:after="120" w:before="0"/>
        <w:jc w:val="both"/>
      </w:pPr>
      <w:r>
        <w:rPr>
          <w:rFonts w:ascii="Times New Roman" w:cs="Times New Roman" w:eastAsia="Times New Roman" w:hAnsi="Times New Roman"/>
          <w:sz w:val="22"/>
          <w:szCs w:val="22"/>
        </w:rPr>
        <w:t xml:space="preserve">El ARIMA se ajusta sobre Y_t^{des} = T_t + R_t. Dado que T_t es lineal determinista, una diferencia (d = 1) elimina la tendencia y deja R_t estacionario. El componente estacional ya fue removido por STL.</w:t>
      </w:r>
    </w:p>
    <w:p>
      <w:pPr>
        <w:spacing w:after="80" w:before="180"/>
      </w:pPr>
      <w:r>
        <w:rPr>
          <w:rFonts w:ascii="Times New Roman" w:cs="Times New Roman" w:eastAsia="Times New Roman" w:hAnsi="Times New Roman"/>
          <w:b/>
          <w:bCs/>
          <w:sz w:val="22"/>
          <w:szCs w:val="22"/>
          <w:u w:val="single"/>
        </w:rPr>
        <w:t xml:space="preserve">(c) STL + ARIMA vs ARIMA directo en commodities</w:t>
      </w:r>
    </w:p>
    <w:p>
      <w:pPr>
        <w:spacing w:after="120" w:before="0"/>
        <w:jc w:val="both"/>
      </w:pPr>
      <w:r>
        <w:rPr>
          <w:rFonts w:ascii="Times New Roman" w:cs="Times New Roman" w:eastAsia="Times New Roman" w:hAnsi="Times New Roman"/>
          <w:sz w:val="22"/>
          <w:szCs w:val="22"/>
        </w:rPr>
        <w:t xml:space="preserve">En gas natural con estacionalidad invernal, el ARIMA directo debe capturar simultáneamente la tendencia, la estacionalidad y la dinámica de corto plazo con un único modelo paramétrico. STL + ARIMA separa las tres componentes, permitiendo: (i) modelar la tendencia con mayor flexibilidad local; (ii) capturar cambios en el patrón estacional año a año (la demanda invernal puede cambiar con el clima y la eficiencia energética); (iii) ajustar un ARIMA más parsimonioso sobre el residuo. Empíricamente, esto reduce el ECMP en horizontes de 1 a 3 meses.</w:t>
      </w:r>
    </w:p>
    <w:p>
      <w:pPr>
        <w:spacing w:after="80" w:before="180"/>
      </w:pPr>
      <w:r>
        <w:rPr>
          <w:rFonts w:ascii="Times New Roman" w:cs="Times New Roman" w:eastAsia="Times New Roman" w:hAnsi="Times New Roman"/>
          <w:b/>
          <w:bCs/>
          <w:sz w:val="22"/>
          <w:szCs w:val="22"/>
          <w:u w:val="single"/>
        </w:rPr>
        <w:t xml:space="preserve">(d) Indicador de fuerza estacional FS</w:t>
      </w:r>
    </w:p>
    <w:p>
      <w:pPr>
        <w:spacing w:after="120" w:before="0"/>
        <w:jc w:val="both"/>
      </w:pPr>
      <w:r>
        <w:rPr>
          <w:rFonts w:ascii="Times New Roman" w:cs="Times New Roman" w:eastAsia="Times New Roman" w:hAnsi="Times New Roman"/>
          <w:sz w:val="22"/>
          <w:szCs w:val="22"/>
        </w:rPr>
        <w:t xml:space="preserve">FS = max{0, 1 − Var(R_t) / Var(S_t + R_t)}</w:t>
      </w:r>
    </w:p>
    <w:p>
      <w:pPr>
        <w:spacing w:after="100"/>
        <w:jc w:val="both"/>
      </w:pPr>
      <w:r>
        <w:rPr>
          <w:rFonts w:ascii="Times New Roman" w:cs="Times New Roman" w:eastAsia="Times New Roman" w:hAnsi="Times New Roman"/>
          <w:b/>
          <w:bCs/>
          <w:sz w:val="22"/>
          <w:szCs w:val="22"/>
        </w:rPr>
        <w:t xml:space="preserve">FS ≈ 0: </w:t>
      </w:r>
      <w:r>
        <w:rPr>
          <w:rFonts w:ascii="Times New Roman" w:cs="Times New Roman" w:eastAsia="Times New Roman" w:hAnsi="Times New Roman"/>
          <w:sz w:val="22"/>
          <w:szCs w:val="22"/>
        </w:rPr>
        <w:t xml:space="preserve">La varianza de R_t ≈ Var(S_t + R_t), lo que implica que S_t ≈ 0 o es insignificante comparado con el ruido. La serie no tiene estacionalidad distinguible; el componente estacional es irrelevante.</w:t>
      </w:r>
    </w:p>
    <w:p>
      <w:pPr>
        <w:spacing w:after="100"/>
        <w:jc w:val="both"/>
      </w:pPr>
      <w:r>
        <w:rPr>
          <w:rFonts w:ascii="Times New Roman" w:cs="Times New Roman" w:eastAsia="Times New Roman" w:hAnsi="Times New Roman"/>
          <w:b/>
          <w:bCs/>
          <w:sz w:val="22"/>
          <w:szCs w:val="22"/>
        </w:rPr>
        <w:t xml:space="preserve">FS ≈ 1: </w:t>
      </w:r>
      <w:r>
        <w:rPr>
          <w:rFonts w:ascii="Times New Roman" w:cs="Times New Roman" w:eastAsia="Times New Roman" w:hAnsi="Times New Roman"/>
          <w:sz w:val="22"/>
          <w:szCs w:val="22"/>
        </w:rPr>
        <w:t xml:space="preserve">Var(R_t) &lt;&lt; Var(S_t + R_t), lo que implica que casi toda la variabilidad en la suma S_t + R_t proviene de S_t. La estacionalidad es fuerte y domina al ruido residual. Es justificado modelar separadamente.</w:t>
      </w:r>
    </w:p>
    <w:p>
      <w:pPr>
        <w:spacing w:after="60"/>
      </w:pPr>
      <w:r>
        <w:t xml:space="preserve"/>
      </w:r>
    </w:p>
    <w:p>
      <w:pPr>
        <w:pBdr>
          <w:bottom w:val="single" w:color="999999" w:sz="4" w:space="1"/>
        </w:pBdr>
        <w:spacing w:after="120"/>
      </w:pPr>
    </w:p>
    <w:p>
      <w:pPr>
        <w:pStyle w:val="Heading1"/>
        <w:spacing w:after="180" w:before="360"/>
      </w:pPr>
      <w:r>
        <w:rPr>
          <w:rFonts w:ascii="Times New Roman" w:cs="Times New Roman" w:eastAsia="Times New Roman" w:hAnsi="Times New Roman"/>
          <w:b/>
          <w:bCs/>
          <w:sz w:val="28"/>
          <w:szCs w:val="28"/>
        </w:rPr>
        <w:t xml:space="preserve">SECCIÓN 4 — Modelos SARIMAX con Variables Exógenas</w:t>
      </w:r>
    </w:p>
    <w:p>
      <w:pPr>
        <w:pStyle w:val="Heading2"/>
        <w:spacing w:after="120" w:before="240"/>
      </w:pPr>
      <w:r>
        <w:rPr>
          <w:rFonts w:ascii="Times New Roman" w:cs="Times New Roman" w:eastAsia="Times New Roman" w:hAnsi="Times New Roman"/>
          <w:b/>
          <w:bCs/>
          <w:i/>
          <w:iCs/>
          <w:sz w:val="24"/>
          <w:szCs w:val="24"/>
        </w:rPr>
        <w:t xml:space="preserve">Ejercicio 4.1 — ARIMAX: incorporación de variables exógenas</w:t>
      </w:r>
    </w:p>
    <w:p>
      <w:pPr>
        <w:spacing w:after="80" w:before="180"/>
      </w:pPr>
      <w:r>
        <w:rPr>
          <w:rFonts w:ascii="Times New Roman" w:cs="Times New Roman" w:eastAsia="Times New Roman" w:hAnsi="Times New Roman"/>
          <w:b/>
          <w:bCs/>
          <w:sz w:val="22"/>
          <w:szCs w:val="22"/>
          <w:u w:val="single"/>
        </w:rPr>
        <w:t xml:space="preserve">(a) ARIMAX vs. regresión clásica con errores correlacionados</w:t>
      </w:r>
    </w:p>
    <w:p>
      <w:pPr>
        <w:spacing w:after="120" w:before="0"/>
        <w:jc w:val="both"/>
      </w:pPr>
      <w:r>
        <w:rPr>
          <w:rFonts w:ascii="Times New Roman" w:cs="Times New Roman" w:eastAsia="Times New Roman" w:hAnsi="Times New Roman"/>
          <w:sz w:val="22"/>
          <w:szCs w:val="22"/>
        </w:rPr>
        <w:t xml:space="preserve">En una regresión lineal clásica Y_t = β'x_t + u_t, MCO es BLUE si u_t ∼ i.i.d. (Gauss-Markov). Si u_t = Θ(B)ε_t son errores ARMA, MCO sigue siendo insesgado pero deja de ser eficiente: existen estimadores de mínima varianza que explotan la estructura de correlación (GLS/MV).</w:t>
      </w:r>
    </w:p>
    <w:p>
      <w:pPr>
        <w:spacing w:after="120" w:before="0"/>
        <w:jc w:val="both"/>
      </w:pPr>
      <w:r>
        <w:rPr>
          <w:rFonts w:ascii="Times New Roman" w:cs="Times New Roman" w:eastAsia="Times New Roman" w:hAnsi="Times New Roman"/>
          <w:sz w:val="22"/>
          <w:szCs w:val="22"/>
        </w:rPr>
        <w:t xml:space="preserve">Problema de inferencia: Los errores estándar de MCO subestiman la verdadera varianza de β̂ cuando hay correlación serial positiva, haciendo que los estadísticos t sean artificialmente grandes. Esto lleva a rechazar H₀ con más frecuencia de la nominal (inflación del error tipo I). La estimación por MV en el ARIMAX maximiza la log-verosimilitud correcta incorporando la estructura ARMA de los errores.</w:t>
      </w:r>
    </w:p>
    <w:p>
      <w:pPr>
        <w:spacing w:after="80" w:before="180"/>
      </w:pPr>
      <w:r>
        <w:rPr>
          <w:rFonts w:ascii="Times New Roman" w:cs="Times New Roman" w:eastAsia="Times New Roman" w:hAnsi="Times New Roman"/>
          <w:b/>
          <w:bCs/>
          <w:sz w:val="22"/>
          <w:szCs w:val="22"/>
          <w:u w:val="single"/>
        </w:rPr>
        <w:t xml:space="preserve">(b) ARIMAX(1,1,0) para tipo de cambio MXN/USD</w:t>
      </w:r>
    </w:p>
    <w:p>
      <w:pPr>
        <w:spacing w:after="120" w:before="0"/>
        <w:jc w:val="both"/>
      </w:pPr>
      <w:r>
        <w:rPr>
          <w:rFonts w:ascii="Times New Roman" w:cs="Times New Roman" w:eastAsia="Times New Roman" w:hAnsi="Times New Roman"/>
          <w:sz w:val="22"/>
          <w:szCs w:val="22"/>
        </w:rPr>
        <w:t xml:space="preserve">Modelo: (1 − φ₁B)(1 − B) Y_t = β x_t + ε_t</w:t>
      </w:r>
    </w:p>
    <w:p>
      <w:pPr>
        <w:spacing w:after="120" w:before="0"/>
        <w:jc w:val="both"/>
      </w:pPr>
      <w:r>
        <w:rPr>
          <w:rFonts w:ascii="Times New Roman" w:cs="Times New Roman" w:eastAsia="Times New Roman" w:hAnsi="Times New Roman"/>
          <w:sz w:val="22"/>
          <w:szCs w:val="22"/>
        </w:rPr>
        <w:t xml:space="preserve">Donde Y_t = log(MXN/USD) y x_t = (i_MX − i_US) es el diferencial de tasas.</w:t>
      </w:r>
    </w:p>
    <w:p>
      <w:pPr>
        <w:spacing w:after="120" w:before="0"/>
        <w:jc w:val="both"/>
      </w:pPr>
      <w:r>
        <w:rPr>
          <w:rFonts w:ascii="Times New Roman" w:cs="Times New Roman" w:eastAsia="Times New Roman" w:hAnsi="Times New Roman"/>
          <w:sz w:val="22"/>
          <w:szCs w:val="22"/>
        </w:rPr>
        <w:t xml:space="preserve">Signo esperado de β: β &lt; 0. Teoría de la paridad de tasas de interés: un mayor diferencial de tasas a favor de México (i_MX &gt; i_US) debería atraer capital extranjero, apreciando el peso (reduciendo Y_t = MXN/USD). Sin embargo, en presencia de riesgo país, el signo puede invertirse en el corto plazo.</w:t>
      </w:r>
    </w:p>
    <w:p>
      <w:pPr>
        <w:spacing w:after="80" w:before="180"/>
      </w:pPr>
      <w:r>
        <w:rPr>
          <w:rFonts w:ascii="Times New Roman" w:cs="Times New Roman" w:eastAsia="Times New Roman" w:hAnsi="Times New Roman"/>
          <w:b/>
          <w:bCs/>
          <w:sz w:val="22"/>
          <w:szCs w:val="22"/>
          <w:u w:val="single"/>
        </w:rPr>
        <w:t xml:space="preserve">(c) Condiciones de estacionariedad para ARMAX</w:t>
      </w:r>
    </w:p>
    <w:p>
      <w:pPr>
        <w:spacing w:after="120" w:before="0"/>
        <w:jc w:val="both"/>
      </w:pPr>
      <w:r>
        <w:rPr>
          <w:rFonts w:ascii="Times New Roman" w:cs="Times New Roman" w:eastAsia="Times New Roman" w:hAnsi="Times New Roman"/>
          <w:sz w:val="22"/>
          <w:szCs w:val="22"/>
        </w:rPr>
        <w:t xml:space="preserve">Las condiciones de estacionariedad del ARMAX(p,q) son las mismas que para el ARMA(p,q) puro: las raíces del polinomio AR φ_p(z) deben estar fuera del círculo unitario (|z_j| &gt; 1). La variable exógena x_t no afecta la estacionariedad del proceso siempre que x_t sea I(0) o que se haya diferenciado apropiadamente. Si x_t es I(1), se requiere diferenciarla también para que el modelo sea estacionario y la inferencia válida.</w:t>
      </w:r>
    </w:p>
    <w:p>
      <w:pPr>
        <w:spacing w:after="80" w:before="180"/>
      </w:pPr>
      <w:r>
        <w:rPr>
          <w:rFonts w:ascii="Times New Roman" w:cs="Times New Roman" w:eastAsia="Times New Roman" w:hAnsi="Times New Roman"/>
          <w:b/>
          <w:bCs/>
          <w:sz w:val="22"/>
          <w:szCs w:val="22"/>
          <w:u w:val="single"/>
        </w:rPr>
        <w:t xml:space="preserve">(d) Comparación AIC/BIC: ARIMAX vs ARIMA puro</w:t>
      </w:r>
    </w:p>
    <w:p>
      <w:pPr>
        <w:spacing w:after="120" w:before="0"/>
        <w:jc w:val="both"/>
      </w:pPr>
      <w:r>
        <w:rPr>
          <w:rFonts w:ascii="Times New Roman" w:cs="Times New Roman" w:eastAsia="Times New Roman" w:hAnsi="Times New Roman"/>
          <w:sz w:val="22"/>
          <w:szCs w:val="22"/>
        </w:rPr>
        <w:t xml:space="preserve">Se estiman ambos modelos y se compara: ΔAIC = AIC(ARIMA) − AIC(ARIMAX). Si ΔAIC &gt; 0, el ARIMAX mejora el ajuste. El BIC penaliza el parámetro adicional β con log(n) unidades; si ΔBIC &gt; 0 también, la mejora es robusta a la penalización.</w:t>
      </w:r>
    </w:p>
    <w:p>
      <w:pPr>
        <w:spacing w:after="120" w:before="0"/>
        <w:jc w:val="both"/>
      </w:pPr>
      <w:r>
        <w:rPr>
          <w:rFonts w:ascii="Times New Roman" w:cs="Times New Roman" w:eastAsia="Times New Roman" w:hAnsi="Times New Roman"/>
          <w:sz w:val="22"/>
          <w:szCs w:val="22"/>
        </w:rPr>
        <w:t xml:space="preserve">Criterio recomendado para selección: BIC, porque en finanzas la parsimonia es crucial para la estabilidad fuera de muestra. Un ARIMAX seleccionado sólo por AIC puede sobreajustar si x_t no tiene genuina capacidad predictiva fuera de la muestra de estimación.</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4.2 — SARIMAX para demanda de energía eléctrica</w:t>
      </w:r>
    </w:p>
    <w:p>
      <w:pPr>
        <w:spacing w:after="80" w:before="180"/>
      </w:pPr>
      <w:r>
        <w:rPr>
          <w:rFonts w:ascii="Times New Roman" w:cs="Times New Roman" w:eastAsia="Times New Roman" w:hAnsi="Times New Roman"/>
          <w:b/>
          <w:bCs/>
          <w:sz w:val="22"/>
          <w:szCs w:val="22"/>
          <w:u w:val="single"/>
        </w:rPr>
        <w:t xml:space="preserve">(a) Justificación de órdenes</w:t>
      </w:r>
    </w:p>
    <w:p>
      <w:pPr>
        <w:spacing w:after="120" w:before="0"/>
        <w:jc w:val="both"/>
      </w:pPr>
      <w:r>
        <w:rPr>
          <w:rFonts w:ascii="Times New Roman" w:cs="Times New Roman" w:eastAsia="Times New Roman" w:hAnsi="Times New Roman"/>
          <w:sz w:val="22"/>
          <w:szCs w:val="22"/>
        </w:rPr>
        <w:t xml:space="preserve">La demanda horaria D_t tiene ciclo diario (s₁ = 24 horas) y semanal (s₂ = 168 = 7×24). El modelo simplificado (1 − B²⁴)(1 − B) D_t captura: d = 1 para la tendencia de crecimiento de largo plazo; (1 − B²⁴) para la estacionalidad diaria. La estacionalidad semanal podría tratarse con (1 − B¹⁶⁸) adicionalmente.</w:t>
      </w:r>
    </w:p>
    <w:p>
      <w:pPr>
        <w:spacing w:after="120" w:before="0"/>
        <w:jc w:val="both"/>
      </w:pPr>
      <w:r>
        <w:rPr>
          <w:rFonts w:ascii="Times New Roman" w:cs="Times New Roman" w:eastAsia="Times New Roman" w:hAnsi="Times New Roman"/>
          <w:sz w:val="22"/>
          <w:szCs w:val="22"/>
        </w:rPr>
        <w:t xml:space="preserve">Signo de β₁: En verano, temperaturas altas aumentan el uso de aire acondicionado: β₁ &gt; 0 (mayor temperatura → mayor demanda). En invierno, temperaturas bajas aumentan la calefacción: también β₁ &lt; 0 respecto a temperatura, pero con una relación cuadrática (se puede incluir Temp_t² para capturar el efecto U-shaped).</w:t>
      </w:r>
    </w:p>
    <w:p>
      <w:pPr>
        <w:spacing w:after="80" w:before="180"/>
      </w:pPr>
      <w:r>
        <w:rPr>
          <w:rFonts w:ascii="Times New Roman" w:cs="Times New Roman" w:eastAsia="Times New Roman" w:hAnsi="Times New Roman"/>
          <w:b/>
          <w:bCs/>
          <w:sz w:val="22"/>
          <w:szCs w:val="22"/>
          <w:u w:val="single"/>
        </w:rPr>
        <w:t xml:space="preserve">(b) Log-verosimilitud condicional</w:t>
      </w:r>
    </w:p>
    <w:p>
      <w:pPr>
        <w:spacing w:after="120" w:before="0"/>
        <w:jc w:val="both"/>
      </w:pPr>
      <w:r>
        <w:rPr>
          <w:rFonts w:ascii="Times New Roman" w:cs="Times New Roman" w:eastAsia="Times New Roman" w:hAnsi="Times New Roman"/>
          <w:sz w:val="22"/>
          <w:szCs w:val="22"/>
        </w:rPr>
        <w:t xml:space="preserve">La log-verosimilitud se construye bajo normalidad de ε_t:</w:t>
      </w:r>
    </w:p>
    <w:p>
      <w:pPr>
        <w:spacing w:after="120" w:before="0"/>
        <w:jc w:val="both"/>
      </w:pPr>
      <w:r>
        <w:rPr>
          <w:rFonts w:ascii="Times New Roman" w:cs="Times New Roman" w:eastAsia="Times New Roman" w:hAnsi="Times New Roman"/>
          <w:sz w:val="22"/>
          <w:szCs w:val="22"/>
        </w:rPr>
        <w:t xml:space="preserve">ℓ(φ,θ,β,σ²) = Σ_t log p(y_t | y_{t−1},…,y₁,x_t; θ) = −(n/2)log(2πσ²) − (1/2σ²) Σ_t ε_t²</w:t>
      </w:r>
    </w:p>
    <w:p>
      <w:pPr>
        <w:spacing w:after="120" w:before="0"/>
        <w:jc w:val="both"/>
      </w:pPr>
      <w:r>
        <w:rPr>
          <w:rFonts w:ascii="Times New Roman" w:cs="Times New Roman" w:eastAsia="Times New Roman" w:hAnsi="Times New Roman"/>
          <w:sz w:val="22"/>
          <w:szCs w:val="22"/>
        </w:rPr>
        <w:t xml:space="preserve">Donde ε_t = φ(B)Θ(B)[D_t − β'x_t] se obtiene aplicando el filtro inverso AR al proceso diferenciado. La maximización numérica (Newton-Raphson o BFGS) sobre (φ, θ, β, σ²) da los estimadores de MV.</w:t>
      </w:r>
    </w:p>
    <w:p>
      <w:pPr>
        <w:spacing w:after="80" w:before="180"/>
      </w:pPr>
      <w:r>
        <w:rPr>
          <w:rFonts w:ascii="Times New Roman" w:cs="Times New Roman" w:eastAsia="Times New Roman" w:hAnsi="Times New Roman"/>
          <w:b/>
          <w:bCs/>
          <w:sz w:val="22"/>
          <w:szCs w:val="22"/>
          <w:u w:val="single"/>
        </w:rPr>
        <w:t xml:space="preserve">(c) Pronóstico D̂_{T+h} y tratamiento de Temp_{T+h}</w:t>
      </w:r>
    </w:p>
    <w:p>
      <w:pPr>
        <w:spacing w:after="120" w:before="0"/>
        <w:jc w:val="both"/>
      </w:pPr>
      <w:r>
        <w:rPr>
          <w:rFonts w:ascii="Times New Roman" w:cs="Times New Roman" w:eastAsia="Times New Roman" w:hAnsi="Times New Roman"/>
          <w:sz w:val="22"/>
          <w:szCs w:val="22"/>
        </w:rPr>
        <w:t xml:space="preserve">Para h = 1,…,24: se aplican las ecuaciones de recurrencia del modelo hacia adelante. Para valores futuros de la temperatura Temp_{T+h}, existen dos enfoques:</w:t>
      </w:r>
    </w:p>
    <w:p>
      <w:pPr>
        <w:spacing w:after="120" w:before="0"/>
        <w:jc w:val="both"/>
      </w:pPr>
      <w:r>
        <w:rPr>
          <w:rFonts w:ascii="Times New Roman" w:cs="Times New Roman" w:eastAsia="Times New Roman" w:hAnsi="Times New Roman"/>
          <w:sz w:val="22"/>
          <w:szCs w:val="22"/>
        </w:rPr>
        <w:t xml:space="preserve">(i) Valores observados: si se cuenta con pronósticos meteorológicos de alta precisión (24h), se usan directamente como regresores exógenos conocidos.</w:t>
      </w:r>
    </w:p>
    <w:p>
      <w:pPr>
        <w:spacing w:after="120" w:before="0"/>
        <w:jc w:val="both"/>
      </w:pPr>
      <w:r>
        <w:rPr>
          <w:rFonts w:ascii="Times New Roman" w:cs="Times New Roman" w:eastAsia="Times New Roman" w:hAnsi="Times New Roman"/>
          <w:sz w:val="22"/>
          <w:szCs w:val="22"/>
        </w:rPr>
        <w:t xml:space="preserve">(ii) Valores pronosticados: si Temp_{T+h} debe predecirse, se modela por separado (AR o climatología estacional) y la incertidumbre adicional se incorpora al intervalo de predicción de D̂_{T+h} mediante el delta method o simulación.</w:t>
      </w:r>
    </w:p>
    <w:p>
      <w:pPr>
        <w:spacing w:after="80" w:before="180"/>
      </w:pPr>
      <w:r>
        <w:rPr>
          <w:rFonts w:ascii="Times New Roman" w:cs="Times New Roman" w:eastAsia="Times New Roman" w:hAnsi="Times New Roman"/>
          <w:b/>
          <w:bCs/>
          <w:sz w:val="22"/>
          <w:szCs w:val="22"/>
          <w:u w:val="single"/>
        </w:rPr>
        <w:t xml:space="preserve">(d) ECMP y comparación con modelo naïve</w:t>
      </w:r>
    </w:p>
    <w:p>
      <w:pPr>
        <w:spacing w:after="120" w:before="0"/>
        <w:jc w:val="both"/>
      </w:pPr>
      <w:r>
        <w:rPr>
          <w:rFonts w:ascii="Times New Roman" w:cs="Times New Roman" w:eastAsia="Times New Roman" w:hAnsi="Times New Roman"/>
          <w:sz w:val="22"/>
          <w:szCs w:val="22"/>
        </w:rPr>
        <w:t xml:space="preserve">ECMP modelo = (1/72) Σ_{h=1}^{72} (D_{T+h} − D̂_{T+h})²</w:t>
      </w:r>
    </w:p>
    <w:p>
      <w:pPr>
        <w:spacing w:after="120" w:before="0"/>
        <w:jc w:val="both"/>
      </w:pPr>
      <w:r>
        <w:rPr>
          <w:rFonts w:ascii="Times New Roman" w:cs="Times New Roman" w:eastAsia="Times New Roman" w:hAnsi="Times New Roman"/>
          <w:sz w:val="22"/>
          <w:szCs w:val="22"/>
        </w:rPr>
        <w:t xml:space="preserve">ECMP naïve = (1/72) Σ_{h=1}^{72} (D_{T+h} − D_{T+h−168})²</w:t>
      </w:r>
    </w:p>
    <w:p>
      <w:pPr>
        <w:spacing w:after="120" w:before="0"/>
        <w:jc w:val="both"/>
      </w:pPr>
      <w:r>
        <w:rPr>
          <w:rFonts w:ascii="Times New Roman" w:cs="Times New Roman" w:eastAsia="Times New Roman" w:hAnsi="Times New Roman"/>
          <w:sz w:val="22"/>
          <w:szCs w:val="22"/>
        </w:rPr>
        <w:t xml:space="preserve">El SARIMAX debería superar al naïve en presencia de variaciones climáticas no estacionarias o eventos atípicos (olas de calor, festivos). Si el naïve compite bien, indica que la estacionalidad semanal domina y el modelo podría simplificarse.</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4.3 — SARIMAX para ventas con efectos de calendario</w:t>
      </w:r>
    </w:p>
    <w:p>
      <w:pPr>
        <w:spacing w:after="80" w:before="180"/>
      </w:pPr>
      <w:r>
        <w:rPr>
          <w:rFonts w:ascii="Times New Roman" w:cs="Times New Roman" w:eastAsia="Times New Roman" w:hAnsi="Times New Roman"/>
          <w:b/>
          <w:bCs/>
          <w:sz w:val="22"/>
          <w:szCs w:val="22"/>
          <w:u w:val="single"/>
        </w:rPr>
        <w:t xml:space="preserve">(a) Interpretación de β₁ y β₂</w:t>
      </w:r>
    </w:p>
    <w:p>
      <w:pPr>
        <w:spacing w:after="100"/>
        <w:jc w:val="both"/>
      </w:pPr>
      <w:r>
        <w:rPr>
          <w:rFonts w:ascii="Times New Roman" w:cs="Times New Roman" w:eastAsia="Times New Roman" w:hAnsi="Times New Roman"/>
          <w:b/>
          <w:bCs/>
          <w:sz w:val="22"/>
          <w:szCs w:val="22"/>
        </w:rPr>
        <w:t xml:space="preserve">β₁ (días festivos F_t): </w:t>
      </w:r>
      <w:r>
        <w:rPr>
          <w:rFonts w:ascii="Times New Roman" w:cs="Times New Roman" w:eastAsia="Times New Roman" w:hAnsi="Times New Roman"/>
          <w:sz w:val="22"/>
          <w:szCs w:val="22"/>
        </w:rPr>
        <w:t xml:space="preserve">Efecto multiplicativo sobre las ventas en semanas con día festivo. Si β₁ &gt; 0, las ventas (en logaritmo) aumentan durante semanas festivas. Un β₁ = 0.15 significaría que las ventas se incrementan aproximadamente 15% las semanas con festivo, todo lo demás constante.</w:t>
      </w:r>
    </w:p>
    <w:p>
      <w:pPr>
        <w:spacing w:after="100"/>
        <w:jc w:val="both"/>
      </w:pPr>
      <w:r>
        <w:rPr>
          <w:rFonts w:ascii="Times New Roman" w:cs="Times New Roman" w:eastAsia="Times New Roman" w:hAnsi="Times New Roman"/>
          <w:b/>
          <w:bCs/>
          <w:sz w:val="22"/>
          <w:szCs w:val="22"/>
        </w:rPr>
        <w:t xml:space="preserve">β₂ (variación en log del precio del petróleo ΔlogP_t): </w:t>
      </w:r>
      <w:r>
        <w:rPr>
          <w:rFonts w:ascii="Times New Roman" w:cs="Times New Roman" w:eastAsia="Times New Roman" w:hAnsi="Times New Roman"/>
          <w:sz w:val="22"/>
          <w:szCs w:val="22"/>
        </w:rPr>
        <w:t xml:space="preserve">Elasticidad precio-ventas. Si β₂ &lt; 0, un aumento del 1% en el precio del petróleo reduce las ventas en |β₂|% a través del efecto ingreso (mayores costos de transporte y combustible reducen el poder adquisitivo del consumidor).</w:t>
      </w:r>
    </w:p>
    <w:p>
      <w:pPr>
        <w:spacing w:after="80" w:before="180"/>
      </w:pPr>
      <w:r>
        <w:rPr>
          <w:rFonts w:ascii="Times New Roman" w:cs="Times New Roman" w:eastAsia="Times New Roman" w:hAnsi="Times New Roman"/>
          <w:b/>
          <w:bCs/>
          <w:sz w:val="22"/>
          <w:szCs w:val="22"/>
          <w:u w:val="single"/>
        </w:rPr>
        <w:t xml:space="preserve">(b) Justificación de la transformación log(V_t)</w:t>
      </w:r>
    </w:p>
    <w:p>
      <w:pPr>
        <w:spacing w:after="120" w:before="0"/>
        <w:jc w:val="both"/>
      </w:pPr>
      <w:r>
        <w:rPr>
          <w:rFonts w:ascii="Times New Roman" w:cs="Times New Roman" w:eastAsia="Times New Roman" w:hAnsi="Times New Roman"/>
          <w:sz w:val="22"/>
          <w:szCs w:val="22"/>
        </w:rPr>
        <w:t xml:space="preserve">Estabilización de la varianza: Las series de ventas suelen tener varianza proporcional al nivel (heterocedasticidad multiplicativa). La transformación logarítmica estabiliza la varianza: si V_t = T_t · S_t · R_t, entonces log V_t = log T_t + log S_t + log R_t, con R_t de varianza aproximadamente constante.</w:t>
      </w:r>
    </w:p>
    <w:p>
      <w:pPr>
        <w:spacing w:after="120" w:before="0"/>
        <w:jc w:val="both"/>
      </w:pPr>
      <w:r>
        <w:rPr>
          <w:rFonts w:ascii="Times New Roman" w:cs="Times New Roman" w:eastAsia="Times New Roman" w:hAnsi="Times New Roman"/>
          <w:sz w:val="22"/>
          <w:szCs w:val="22"/>
        </w:rPr>
        <w:t xml:space="preserve">Interpretación porcentual: Los coeficientes β en el modelo logarítmico son elasticidades directamente interpretables como cambios porcentuales, lo que es natural en análisis económico.</w:t>
      </w:r>
    </w:p>
    <w:p>
      <w:pPr>
        <w:spacing w:after="120" w:before="0"/>
        <w:jc w:val="both"/>
      </w:pPr>
      <w:r>
        <w:rPr>
          <w:rFonts w:ascii="Times New Roman" w:cs="Times New Roman" w:eastAsia="Times New Roman" w:hAnsi="Times New Roman"/>
          <w:sz w:val="22"/>
          <w:szCs w:val="22"/>
        </w:rPr>
        <w:t xml:space="preserve">Distribución de errores: La distribución lognormal (normal de los logaritmos) es más apropiada que la normal para series de ventas que siempre son positivas. Reduce la asimetría de los residuos y mejora la validez de los intervalos de confianza.</w:t>
      </w:r>
    </w:p>
    <w:p>
      <w:pPr>
        <w:spacing w:after="80" w:before="180"/>
      </w:pPr>
      <w:r>
        <w:rPr>
          <w:rFonts w:ascii="Times New Roman" w:cs="Times New Roman" w:eastAsia="Times New Roman" w:hAnsi="Times New Roman"/>
          <w:b/>
          <w:bCs/>
          <w:sz w:val="22"/>
          <w:szCs w:val="22"/>
          <w:u w:val="single"/>
        </w:rPr>
        <w:t xml:space="preserve">(c) Multicolinealidad entre F_t y P_t</w:t>
      </w:r>
    </w:p>
    <w:p>
      <w:pPr>
        <w:spacing w:after="120" w:before="0"/>
        <w:jc w:val="both"/>
      </w:pPr>
      <w:r>
        <w:rPr>
          <w:rFonts w:ascii="Times New Roman" w:cs="Times New Roman" w:eastAsia="Times New Roman" w:hAnsi="Times New Roman"/>
          <w:sz w:val="22"/>
          <w:szCs w:val="22"/>
        </w:rPr>
        <w:t xml:space="preserve">FIV_j = 1/(1 − R²_j), donde R²_j es el R² de la regresión de x_j sobre las demás variables.</w:t>
      </w:r>
    </w:p>
    <w:p>
      <w:pPr>
        <w:spacing w:after="120" w:before="0"/>
        <w:jc w:val="both"/>
      </w:pPr>
      <w:r>
        <w:rPr>
          <w:rFonts w:ascii="Times New Roman" w:cs="Times New Roman" w:eastAsia="Times New Roman" w:hAnsi="Times New Roman"/>
          <w:sz w:val="22"/>
          <w:szCs w:val="22"/>
        </w:rPr>
        <w:t xml:space="preserve">Cuando es problemática: FIV &gt; 10 (equivalente a R² &gt; 0.9). F_t y P_t pueden correlacionarse si los precios del petróleo tienden a subir en períodos festivos (p.ej., Navidad, Semana Santa) por mayor demanda energética. Si FIV &gt; 10, los estimadores β₁ y β₂ son inestables y sus errores estándar están inflados.</w:t>
      </w:r>
    </w:p>
    <w:p>
      <w:pPr>
        <w:spacing w:after="120" w:before="0"/>
        <w:jc w:val="both"/>
      </w:pPr>
      <w:r>
        <w:rPr>
          <w:rFonts w:ascii="Times New Roman" w:cs="Times New Roman" w:eastAsia="Times New Roman" w:hAnsi="Times New Roman"/>
          <w:sz w:val="22"/>
          <w:szCs w:val="22"/>
        </w:rPr>
        <w:t xml:space="preserve">Cómo resolverlo: (i) Centrar y escalar las variables; (ii) usar regresión ridge o LASSO para estabilizar estimadores; (iii) eliminar una de las variables si son redundantes; (iv) transformar: usar el precio del petróleo rezagado ΔlogP_{t−k} para reducir la correlación contemporánea con F_t.</w:t>
      </w:r>
    </w:p>
    <w:p>
      <w:pPr>
        <w:spacing w:after="80" w:before="180"/>
      </w:pPr>
      <w:r>
        <w:rPr>
          <w:rFonts w:ascii="Times New Roman" w:cs="Times New Roman" w:eastAsia="Times New Roman" w:hAnsi="Times New Roman"/>
          <w:b/>
          <w:bCs/>
          <w:sz w:val="22"/>
          <w:szCs w:val="22"/>
          <w:u w:val="single"/>
        </w:rPr>
        <w:t xml:space="preserve">(d) Pronóstico 12 semanas e incertidumbre adicional por P_{T+h}</w:t>
      </w:r>
    </w:p>
    <w:p>
      <w:pPr>
        <w:spacing w:after="120" w:before="0"/>
        <w:jc w:val="both"/>
      </w:pPr>
      <w:r>
        <w:rPr>
          <w:rFonts w:ascii="Times New Roman" w:cs="Times New Roman" w:eastAsia="Times New Roman" w:hAnsi="Times New Roman"/>
          <w:sz w:val="22"/>
          <w:szCs w:val="22"/>
        </w:rPr>
        <w:t xml:space="preserve">Para h = 1,…,12: se usan los festivos F_{T+h} del calendario (conocidos con certeza) y se predice P_{T+h} con un AR(1) auxiliar.</w:t>
      </w:r>
    </w:p>
    <w:p>
      <w:pPr>
        <w:spacing w:after="120" w:before="0"/>
        <w:jc w:val="both"/>
      </w:pPr>
      <w:r>
        <w:rPr>
          <w:rFonts w:ascii="Times New Roman" w:cs="Times New Roman" w:eastAsia="Times New Roman" w:hAnsi="Times New Roman"/>
          <w:sz w:val="22"/>
          <w:szCs w:val="22"/>
        </w:rPr>
        <w:t xml:space="preserve">Varianza total del pronóstico: Var(ŷ_{T+h}) = Var_modelo(ŷ_{T+h}) + β₂² Var(ΔlogP̂_{T+h}).</w:t>
      </w:r>
    </w:p>
    <w:p>
      <w:pPr>
        <w:spacing w:after="120" w:before="0"/>
        <w:jc w:val="both"/>
      </w:pPr>
      <w:r>
        <w:rPr>
          <w:rFonts w:ascii="Times New Roman" w:cs="Times New Roman" w:eastAsia="Times New Roman" w:hAnsi="Times New Roman"/>
          <w:sz w:val="22"/>
          <w:szCs w:val="22"/>
        </w:rPr>
        <w:t xml:space="preserve">El segundo término cuantifica la incertidumbre adicional transmitida desde el pronóstico del precio del petróleo. Cuando β₂² × Var(ΔlogP̂_{T+h}) es significativo (más del 10% de la varianza total), los intervalos deben ser inflados correspondientemente. Se recomienda bootstrap paramétrico combinado para propagar correctamente toda la incertidumbre.</w:t>
      </w:r>
    </w:p>
    <w:p>
      <w:pPr>
        <w:spacing w:after="60"/>
      </w:pPr>
      <w:r>
        <w:t xml:space="preserve"/>
      </w:r>
    </w:p>
    <w:p>
      <w:pPr>
        <w:pBdr>
          <w:bottom w:val="single" w:color="999999" w:sz="4" w:space="1"/>
        </w:pBdr>
        <w:spacing w:after="120"/>
      </w:pPr>
    </w:p>
    <w:p>
      <w:pPr>
        <w:pStyle w:val="Heading1"/>
        <w:spacing w:after="180" w:before="360"/>
      </w:pPr>
      <w:r>
        <w:rPr>
          <w:rFonts w:ascii="Times New Roman" w:cs="Times New Roman" w:eastAsia="Times New Roman" w:hAnsi="Times New Roman"/>
          <w:b/>
          <w:bCs/>
          <w:sz w:val="28"/>
          <w:szCs w:val="28"/>
        </w:rPr>
        <w:t xml:space="preserve">SECCIÓN 5 — Simulación, Yule-Walker e Interpretación Gráfica</w:t>
      </w:r>
    </w:p>
    <w:p>
      <w:pPr>
        <w:pStyle w:val="Heading2"/>
        <w:spacing w:after="120" w:before="240"/>
      </w:pPr>
      <w:r>
        <w:rPr>
          <w:rFonts w:ascii="Times New Roman" w:cs="Times New Roman" w:eastAsia="Times New Roman" w:hAnsi="Times New Roman"/>
          <w:b/>
          <w:bCs/>
          <w:i/>
          <w:iCs/>
          <w:sz w:val="24"/>
          <w:szCs w:val="24"/>
        </w:rPr>
        <w:t xml:space="preserve">Ejercicio 5.1 — Ecuaciones de Yule-Walker y estimación AR</w:t>
      </w:r>
    </w:p>
    <w:p>
      <w:pPr>
        <w:spacing w:after="80" w:before="180"/>
      </w:pPr>
      <w:r>
        <w:rPr>
          <w:rFonts w:ascii="Times New Roman" w:cs="Times New Roman" w:eastAsia="Times New Roman" w:hAnsi="Times New Roman"/>
          <w:b/>
          <w:bCs/>
          <w:sz w:val="22"/>
          <w:szCs w:val="22"/>
          <w:u w:val="single"/>
        </w:rPr>
        <w:t xml:space="preserve">(a) Yule-Walker para AR(1)</w:t>
      </w:r>
    </w:p>
    <w:p>
      <w:pPr>
        <w:spacing w:after="120" w:before="0"/>
        <w:jc w:val="both"/>
      </w:pPr>
      <w:r>
        <w:rPr>
          <w:rFonts w:ascii="Times New Roman" w:cs="Times New Roman" w:eastAsia="Times New Roman" w:hAnsi="Times New Roman"/>
          <w:sz w:val="22"/>
          <w:szCs w:val="22"/>
        </w:rPr>
        <w:t xml:space="preserve">Para Y_t = φ₁ Y_{t−1} + ε_t, multiplicando ambos lados por Y_{t−k} y tomando esperanzas:</w:t>
      </w:r>
    </w:p>
    <w:p>
      <w:pPr>
        <w:spacing w:after="120" w:before="0"/>
        <w:jc w:val="both"/>
      </w:pPr>
      <w:r>
        <w:rPr>
          <w:rFonts w:ascii="Times New Roman" w:cs="Times New Roman" w:eastAsia="Times New Roman" w:hAnsi="Times New Roman"/>
          <w:sz w:val="22"/>
          <w:szCs w:val="22"/>
        </w:rPr>
        <w:t xml:space="preserve">Para k = 1: E[Y_t Y_{t−1}] = φ₁ E[Y²_{t−1}] + E[ε_t Y_{t−1}]</w:t>
      </w:r>
    </w:p>
    <w:p>
      <w:pPr>
        <w:spacing w:after="120" w:before="0"/>
        <w:jc w:val="both"/>
      </w:pPr>
      <w:r>
        <w:rPr>
          <w:rFonts w:ascii="Times New Roman" w:cs="Times New Roman" w:eastAsia="Times New Roman" w:hAnsi="Times New Roman"/>
          <w:sz w:val="22"/>
          <w:szCs w:val="22"/>
        </w:rPr>
        <w:t xml:space="preserve">Dado que ε_t es independiente de Y_{t−1}: γ(1) = φ₁ γ(0), por lo que φ₁ = γ(1)/γ(0) = ρ(1). ∎</w:t>
      </w:r>
    </w:p>
    <w:p>
      <w:pPr>
        <w:spacing w:after="120" w:before="0"/>
        <w:jc w:val="both"/>
      </w:pPr>
      <w:r>
        <w:rPr>
          <w:rFonts w:ascii="Times New Roman" w:cs="Times New Roman" w:eastAsia="Times New Roman" w:hAnsi="Times New Roman"/>
          <w:sz w:val="22"/>
          <w:szCs w:val="22"/>
        </w:rPr>
        <w:t xml:space="preserve">Para la varianza: Var(Y_t) = φ₁² Var(Y_{t−1}) + σ². Por estacionariedad: γ(0) = φ₁² γ(0) + σ², lo que da σ² = γ(0)(1 − φ₁²). ∎</w:t>
      </w:r>
    </w:p>
    <w:p>
      <w:pPr>
        <w:spacing w:after="80" w:before="180"/>
      </w:pPr>
      <w:r>
        <w:rPr>
          <w:rFonts w:ascii="Times New Roman" w:cs="Times New Roman" w:eastAsia="Times New Roman" w:hAnsi="Times New Roman"/>
          <w:b/>
          <w:bCs/>
          <w:sz w:val="22"/>
          <w:szCs w:val="22"/>
          <w:u w:val="single"/>
        </w:rPr>
        <w:t xml:space="preserve">(b) AR(2): sistema Yule-Walker</w:t>
      </w:r>
    </w:p>
    <w:p>
      <w:pPr>
        <w:spacing w:after="120" w:before="0"/>
        <w:jc w:val="both"/>
      </w:pPr>
      <w:r>
        <w:rPr>
          <w:rFonts w:ascii="Times New Roman" w:cs="Times New Roman" w:eastAsia="Times New Roman" w:hAnsi="Times New Roman"/>
          <w:sz w:val="22"/>
          <w:szCs w:val="22"/>
        </w:rPr>
        <w:t xml:space="preserve">Para φ₁ = 0.6, φ₂ = −0.2, las ecuaciones de Yule-Walker son:</w:t>
      </w:r>
    </w:p>
    <w:p>
      <w:pPr>
        <w:spacing w:after="120" w:before="0"/>
        <w:jc w:val="both"/>
      </w:pPr>
      <w:r>
        <w:rPr>
          <w:rFonts w:ascii="Times New Roman" w:cs="Times New Roman" w:eastAsia="Times New Roman" w:hAnsi="Times New Roman"/>
          <w:sz w:val="22"/>
          <w:szCs w:val="22"/>
        </w:rPr>
        <w:t xml:space="preserve">γ(1) = φ₁ γ(0) + φ₂ γ(1)  →  γ(1)(1 − φ₂) = φ₁ γ(0)  →  γ(1) = [φ₁/(1 − φ₂)] γ(0) = [0.6/1.2] γ(0) = 0.5 γ(0)</w:t>
      </w:r>
    </w:p>
    <w:p>
      <w:pPr>
        <w:spacing w:after="120" w:before="0"/>
        <w:jc w:val="both"/>
      </w:pPr>
      <w:r>
        <w:rPr>
          <w:rFonts w:ascii="Times New Roman" w:cs="Times New Roman" w:eastAsia="Times New Roman" w:hAnsi="Times New Roman"/>
          <w:sz w:val="22"/>
          <w:szCs w:val="22"/>
        </w:rPr>
        <w:t xml:space="preserve">γ(2) = φ₁ γ(1) + φ₂ γ(0) = 0.6 × 0.5 γ(0) + (−0.2) γ(0) = 0.3 γ(0) − 0.2 γ(0) = 0.1 γ(0)</w:t>
      </w:r>
    </w:p>
    <w:p>
      <w:pPr>
        <w:spacing w:after="120" w:before="0"/>
        <w:jc w:val="both"/>
      </w:pPr>
      <w:r>
        <w:rPr>
          <w:rFonts w:ascii="Times New Roman" w:cs="Times New Roman" w:eastAsia="Times New Roman" w:hAnsi="Times New Roman"/>
          <w:sz w:val="22"/>
          <w:szCs w:val="22"/>
        </w:rPr>
        <w:t xml:space="preserve">Para γ(0): σ² = γ(0) − φ₁ γ(1) − φ₂ γ(2) = γ(0)[1 − 0.6 × 0.5 − (−0.2) × 0.1] = γ(0)[1 − 0.3 + 0.02] = 0.72 γ(0)</w:t>
      </w:r>
    </w:p>
    <w:p>
      <w:pPr>
        <w:spacing w:after="120" w:before="0"/>
        <w:jc w:val="both"/>
      </w:pPr>
      <w:r>
        <w:rPr>
          <w:rFonts w:ascii="Times New Roman" w:cs="Times New Roman" w:eastAsia="Times New Roman" w:hAnsi="Times New Roman"/>
          <w:sz w:val="22"/>
          <w:szCs w:val="22"/>
        </w:rPr>
        <w:t xml:space="preserve">Por tanto: γ(0) = σ²/0.72, γ(1) = 0.5σ²/0.72, γ(2) = 0.1σ²/0.72.</w:t>
      </w:r>
    </w:p>
    <w:p>
      <w:pPr>
        <w:spacing w:after="80" w:before="180"/>
      </w:pPr>
      <w:r>
        <w:rPr>
          <w:rFonts w:ascii="Times New Roman" w:cs="Times New Roman" w:eastAsia="Times New Roman" w:hAnsi="Times New Roman"/>
          <w:b/>
          <w:bCs/>
          <w:sz w:val="22"/>
          <w:szCs w:val="22"/>
          <w:u w:val="single"/>
        </w:rPr>
        <w:t xml:space="preserve">(c) Consistencia del estimador Yule-Walker y descomposición de Cholesky</w:t>
      </w:r>
    </w:p>
    <w:p>
      <w:pPr>
        <w:spacing w:after="120" w:before="0"/>
        <w:jc w:val="both"/>
      </w:pPr>
      <w:r>
        <w:rPr>
          <w:rFonts w:ascii="Times New Roman" w:cs="Times New Roman" w:eastAsia="Times New Roman" w:hAnsi="Times New Roman"/>
          <w:sz w:val="22"/>
          <w:szCs w:val="22"/>
        </w:rPr>
        <w:t xml:space="preserve">Consistencia: al sustituir γ(k) por las autocovarianzas muestrales γ̂(k) = (1/T)Σ_t Y_t Y_{t−k}, la ley de grandes números garantiza γ̂(k) →_p γ(k). El estimador φ̂ = Γ̂⁻¹_p γ̂_p es continuo en sus argumentos (función de matrices invertibles), por lo que φ̂ →_p φ por el Teorema de la Función Continua. Asintóticamente, √T(φ̂ − φ) →_d N(0, σ²Γ⁻¹_p).</w:t>
      </w:r>
    </w:p>
    <w:p>
      <w:pPr>
        <w:spacing w:after="120" w:before="0"/>
        <w:jc w:val="both"/>
      </w:pPr>
      <w:r>
        <w:rPr>
          <w:rFonts w:ascii="Times New Roman" w:cs="Times New Roman" w:eastAsia="Times New Roman" w:hAnsi="Times New Roman"/>
          <w:sz w:val="22"/>
          <w:szCs w:val="22"/>
        </w:rPr>
        <w:t xml:space="preserve">Descomposición de Cholesky: La matriz Γ_p es positiva definida (por ser una matriz de covarianza de un proceso estacionario). Cholesky la factoriza como Γ_p = L L' donde L es triangular inferior. El sistema Γ_p φ = γ_p se resuelve en O(p²) operaciones mediante sustitución progresiva y regresiva, mucho más eficiente que inversión directa O(p³).</w:t>
      </w:r>
    </w:p>
    <w:p>
      <w:pPr>
        <w:spacing w:after="80" w:before="180"/>
      </w:pPr>
      <w:r>
        <w:rPr>
          <w:rFonts w:ascii="Times New Roman" w:cs="Times New Roman" w:eastAsia="Times New Roman" w:hAnsi="Times New Roman"/>
          <w:b/>
          <w:bCs/>
          <w:sz w:val="22"/>
          <w:szCs w:val="22"/>
          <w:u w:val="single"/>
        </w:rPr>
        <w:t xml:space="preserve">(d) Estimación AR con autocorrelaciones del IPC (T = 1000)</w:t>
      </w:r>
    </w:p>
    <w:p>
      <w:pPr>
        <w:spacing w:after="120" w:before="0"/>
        <w:jc w:val="both"/>
      </w:pPr>
      <w:r>
        <w:rPr>
          <w:rFonts w:ascii="Times New Roman" w:cs="Times New Roman" w:eastAsia="Times New Roman" w:hAnsi="Times New Roman"/>
          <w:sz w:val="22"/>
          <w:szCs w:val="22"/>
        </w:rPr>
        <w:t xml:space="preserve">Yule-Walker con p = 1: φ̂₁ = ρ̂(1) = 0.12. Estimación de σ²: σ̂² = γ̂(0)(1 − φ̂₁²) ≈ γ̂(0) × 0.9856.</w:t>
      </w:r>
    </w:p>
    <w:p>
      <w:pPr>
        <w:spacing w:after="120" w:before="0"/>
        <w:jc w:val="both"/>
      </w:pPr>
      <w:r>
        <w:rPr>
          <w:rFonts w:ascii="Times New Roman" w:cs="Times New Roman" w:eastAsia="Times New Roman" w:hAnsi="Times New Roman"/>
          <w:sz w:val="22"/>
          <w:szCs w:val="22"/>
        </w:rPr>
        <w:t xml:space="preserve">Yule-Walker con p = 2: El sistema es ρ̂(1) = φ̂₁ + φ̂₂ ρ̂(1) y ρ̂(2) = φ̂₁ ρ̂(1) + φ̂₂. Sustituyendo: 0.12 = φ̂₁ + 0.12 φ̂₂ y −0.04 = 0.12 φ̂₁ + φ̂₂. Resolviendo: φ̂₁ ≈ 0.135, φ̂₂ ≈ −0.056.</w:t>
      </w:r>
    </w:p>
    <w:p>
      <w:pPr>
        <w:spacing w:after="120" w:before="0"/>
        <w:jc w:val="both"/>
      </w:pPr>
      <w:r>
        <w:rPr>
          <w:rFonts w:ascii="Times New Roman" w:cs="Times New Roman" w:eastAsia="Times New Roman" w:hAnsi="Times New Roman"/>
          <w:sz w:val="22"/>
          <w:szCs w:val="22"/>
        </w:rPr>
        <w:t xml:space="preserve">IC al 95% para ρ(1): ρ̂(1) ± 1.96/√T = 0.12 ± 1.96/√1000 = 0.12 ± 0.062 = [0.058, 0.182].</w:t>
      </w:r>
    </w:p>
    <w:p>
      <w:pPr>
        <w:spacing w:after="120" w:before="0"/>
        <w:jc w:val="both"/>
      </w:pPr>
      <w:r>
        <w:rPr>
          <w:rFonts w:ascii="Times New Roman" w:cs="Times New Roman" w:eastAsia="Times New Roman" w:hAnsi="Times New Roman"/>
          <w:sz w:val="22"/>
          <w:szCs w:val="22"/>
        </w:rPr>
        <w:t xml:space="preserve">Conclusión: ρ(1) = 0.12 es estadísticamente significativo (el IC no contiene cero), lo que sugiere autocorrelación de primer orden en los log-retornos del IPC, aunque modesta en magnitud.</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5.2 — Simulación de AR(2) y diagnóstico gráfico</w:t>
      </w:r>
    </w:p>
    <w:p>
      <w:pPr>
        <w:spacing w:after="80" w:before="180"/>
      </w:pPr>
      <w:r>
        <w:rPr>
          <w:rFonts w:ascii="Times New Roman" w:cs="Times New Roman" w:eastAsia="Times New Roman" w:hAnsi="Times New Roman"/>
          <w:b/>
          <w:bCs/>
          <w:sz w:val="22"/>
          <w:szCs w:val="22"/>
          <w:u w:val="single"/>
        </w:rPr>
        <w:t xml:space="preserve">(a) Identificación del orden</w:t>
      </w:r>
    </w:p>
    <w:p>
      <w:pPr>
        <w:spacing w:after="120" w:before="0"/>
        <w:jc w:val="both"/>
      </w:pPr>
      <w:r>
        <w:rPr>
          <w:rFonts w:ascii="Times New Roman" w:cs="Times New Roman" w:eastAsia="Times New Roman" w:hAnsi="Times New Roman"/>
          <w:sz w:val="22"/>
          <w:szCs w:val="22"/>
        </w:rPr>
        <w:t xml:space="preserve">ACF: Decae de manera oscilatoria y amortiguada (exponencial con posible componente cíclico) sin corte abrupto. Es consistente con un proceso AR.</w:t>
      </w:r>
    </w:p>
    <w:p>
      <w:pPr>
        <w:spacing w:after="120" w:before="0"/>
        <w:jc w:val="both"/>
      </w:pPr>
      <w:r>
        <w:rPr>
          <w:rFonts w:ascii="Times New Roman" w:cs="Times New Roman" w:eastAsia="Times New Roman" w:hAnsi="Times New Roman"/>
          <w:sz w:val="22"/>
          <w:szCs w:val="22"/>
        </w:rPr>
        <w:t xml:space="preserve">PACF: Se corta abruptamente después del rezago 2: PACF(1) ≈ 0.7, PACF(2) ≈ −0.3, PACF(k) ≈ 0 para k ≥ 3. Esto identifica p = 2.</w:t>
      </w:r>
    </w:p>
    <w:p>
      <w:pPr>
        <w:spacing w:after="120" w:before="0"/>
        <w:jc w:val="both"/>
      </w:pPr>
      <w:r>
        <w:rPr>
          <w:rFonts w:ascii="Times New Roman" w:cs="Times New Roman" w:eastAsia="Times New Roman" w:hAnsi="Times New Roman"/>
          <w:sz w:val="22"/>
          <w:szCs w:val="22"/>
        </w:rPr>
        <w:t xml:space="preserve">La combinación ACF decayente + PACF con corte en rezago 2 es la firma característica del AR(2). ∎</w:t>
      </w:r>
    </w:p>
    <w:p>
      <w:pPr>
        <w:spacing w:after="80" w:before="180"/>
      </w:pPr>
      <w:r>
        <w:rPr>
          <w:rFonts w:ascii="Times New Roman" w:cs="Times New Roman" w:eastAsia="Times New Roman" w:hAnsi="Times New Roman"/>
          <w:b/>
          <w:bCs/>
          <w:sz w:val="22"/>
          <w:szCs w:val="22"/>
          <w:u w:val="single"/>
        </w:rPr>
        <w:t xml:space="preserve">(b) Estimación Yule-Walker</w:t>
      </w:r>
    </w:p>
    <w:p>
      <w:pPr>
        <w:spacing w:after="120" w:before="0"/>
        <w:jc w:val="both"/>
      </w:pPr>
      <w:r>
        <w:rPr>
          <w:rFonts w:ascii="Times New Roman" w:cs="Times New Roman" w:eastAsia="Times New Roman" w:hAnsi="Times New Roman"/>
          <w:sz w:val="22"/>
          <w:szCs w:val="22"/>
        </w:rPr>
        <w:t xml:space="preserve">Con ρ̂(1) = 0.61 y ρ̂(2) = 0.22:</w:t>
      </w:r>
    </w:p>
    <w:p>
      <w:pPr>
        <w:spacing w:after="120" w:before="0"/>
        <w:jc w:val="both"/>
      </w:pPr>
      <w:r>
        <w:rPr>
          <w:rFonts w:ascii="Times New Roman" w:cs="Times New Roman" w:eastAsia="Times New Roman" w:hAnsi="Times New Roman"/>
          <w:sz w:val="22"/>
          <w:szCs w:val="22"/>
        </w:rPr>
        <w:t xml:space="preserve">Sistema: [1, 0.61; 0.61, 1][φ̂₁; φ̂₂] = [0.61; 0.22]</w:t>
      </w:r>
    </w:p>
    <w:p>
      <w:pPr>
        <w:spacing w:after="120" w:before="0"/>
        <w:jc w:val="both"/>
      </w:pPr>
      <w:r>
        <w:rPr>
          <w:rFonts w:ascii="Times New Roman" w:cs="Times New Roman" w:eastAsia="Times New Roman" w:hAnsi="Times New Roman"/>
          <w:sz w:val="22"/>
          <w:szCs w:val="22"/>
        </w:rPr>
        <w:t xml:space="preserve">Ecuación 1: φ̂₁ + 0.61 φ̂₂ = 0.61</w:t>
      </w:r>
    </w:p>
    <w:p>
      <w:pPr>
        <w:spacing w:after="120" w:before="0"/>
        <w:jc w:val="both"/>
      </w:pPr>
      <w:r>
        <w:rPr>
          <w:rFonts w:ascii="Times New Roman" w:cs="Times New Roman" w:eastAsia="Times New Roman" w:hAnsi="Times New Roman"/>
          <w:sz w:val="22"/>
          <w:szCs w:val="22"/>
        </w:rPr>
        <w:t xml:space="preserve">Ecuación 2: 0.61 φ̂₁ + φ̂₂ = 0.22</w:t>
      </w:r>
    </w:p>
    <w:p>
      <w:pPr>
        <w:spacing w:after="120" w:before="0"/>
        <w:jc w:val="both"/>
      </w:pPr>
      <w:r>
        <w:rPr>
          <w:rFonts w:ascii="Times New Roman" w:cs="Times New Roman" w:eastAsia="Times New Roman" w:hAnsi="Times New Roman"/>
          <w:sz w:val="22"/>
          <w:szCs w:val="22"/>
        </w:rPr>
        <w:t xml:space="preserve">De la ecuación 2: φ̂₂ = 0.22 − 0.61 φ̂₁. Sustituyendo en 1: φ̂₁ + 0.61(0.22 − 0.61 φ̂₁) = 0.61 → φ̂₁(1 − 0.3721) = 0.61 − 0.1342 → φ̂₁ = 0.4758/0.6279 ≈ 0.758. Luego φ̂₂ = 0.22 − 0.61 × 0.758 ≈ −0.242.</w:t>
      </w:r>
    </w:p>
    <w:p>
      <w:pPr>
        <w:spacing w:after="120" w:before="0"/>
        <w:jc w:val="both"/>
      </w:pPr>
      <w:r>
        <w:rPr>
          <w:rFonts w:ascii="Times New Roman" w:cs="Times New Roman" w:eastAsia="Times New Roman" w:hAnsi="Times New Roman"/>
          <w:sz w:val="22"/>
          <w:szCs w:val="22"/>
        </w:rPr>
        <w:t xml:space="preserve">Comparación: Valores verdaderos φ₁ = 0.7, φ₂ = −0.3. Los estimadores Yule-Walker (0.758 y −0.242) presentan sesgo finito de muestra: con T = 300, la estimación tiene variabilidad pero es razonablemente cercana a la verdad.</w:t>
      </w:r>
    </w:p>
    <w:p>
      <w:pPr>
        <w:spacing w:after="80" w:before="180"/>
      </w:pPr>
      <w:r>
        <w:rPr>
          <w:rFonts w:ascii="Times New Roman" w:cs="Times New Roman" w:eastAsia="Times New Roman" w:hAnsi="Times New Roman"/>
          <w:b/>
          <w:bCs/>
          <w:sz w:val="22"/>
          <w:szCs w:val="22"/>
          <w:u w:val="single"/>
        </w:rPr>
        <w:t xml:space="preserve">(c) Raíces complejas del AR(2)</w:t>
      </w:r>
    </w:p>
    <w:p>
      <w:pPr>
        <w:spacing w:after="120" w:before="0"/>
        <w:jc w:val="both"/>
      </w:pPr>
      <w:r>
        <w:rPr>
          <w:rFonts w:ascii="Times New Roman" w:cs="Times New Roman" w:eastAsia="Times New Roman" w:hAnsi="Times New Roman"/>
          <w:sz w:val="22"/>
          <w:szCs w:val="22"/>
        </w:rPr>
        <w:t xml:space="preserve">Polinomio: 1 − 0.7z + 0.3z² = 0  →  z = [0.7 ± √(0.49 − 1.2)] / 0.6 = [0.7 ± √(−0.71)] / 0.6</w:t>
      </w:r>
    </w:p>
    <w:p>
      <w:pPr>
        <w:spacing w:after="120" w:before="0"/>
        <w:jc w:val="both"/>
      </w:pPr>
      <w:r>
        <w:rPr>
          <w:rFonts w:ascii="Times New Roman" w:cs="Times New Roman" w:eastAsia="Times New Roman" w:hAnsi="Times New Roman"/>
          <w:sz w:val="22"/>
          <w:szCs w:val="22"/>
        </w:rPr>
        <w:t xml:space="preserve">Las raíces son complejas: z = (0.7 ± 0.843i) / 0.6 = 1.167 ± 1.405i.</w:t>
      </w:r>
    </w:p>
    <w:p>
      <w:pPr>
        <w:spacing w:after="120" w:before="0"/>
        <w:jc w:val="both"/>
      </w:pPr>
      <w:r>
        <w:rPr>
          <w:rFonts w:ascii="Times New Roman" w:cs="Times New Roman" w:eastAsia="Times New Roman" w:hAnsi="Times New Roman"/>
          <w:sz w:val="22"/>
          <w:szCs w:val="22"/>
        </w:rPr>
        <w:t xml:space="preserve">Módulo: |z| = √(1.167² + 1.405²) = √(1.362 + 1.974) = √3.336 ≈ 1.827 &gt; 1. El proceso es estacionario.</w:t>
      </w:r>
    </w:p>
    <w:p>
      <w:pPr>
        <w:spacing w:after="120" w:before="0"/>
        <w:jc w:val="both"/>
      </w:pPr>
      <w:r>
        <w:rPr>
          <w:rFonts w:ascii="Times New Roman" w:cs="Times New Roman" w:eastAsia="Times New Roman" w:hAnsi="Times New Roman"/>
          <w:sz w:val="22"/>
          <w:szCs w:val="22"/>
        </w:rPr>
        <w:t xml:space="preserve">Implicación para la ACF: Las raíces complejas del polinomio AR producen oscilaciones amortiguadas en la ACF teórica. El argumento de las raíces (arctan(1.405/1.167) ≈ 50°) determina la frecuencia del ciclo: el proceso exhibe ciclos de aproximadamente 360/50 ≈ 7 periodos superpuestos al decaimiento exponencial.</w:t>
      </w:r>
    </w:p>
    <w:p>
      <w:pPr>
        <w:spacing w:after="80" w:before="180"/>
      </w:pPr>
      <w:r>
        <w:rPr>
          <w:rFonts w:ascii="Times New Roman" w:cs="Times New Roman" w:eastAsia="Times New Roman" w:hAnsi="Times New Roman"/>
          <w:b/>
          <w:bCs/>
          <w:sz w:val="22"/>
          <w:szCs w:val="22"/>
          <w:u w:val="single"/>
        </w:rPr>
        <w:t xml:space="preserve">(d) Varianza teórica</w:t>
      </w:r>
    </w:p>
    <w:p>
      <w:pPr>
        <w:spacing w:after="120" w:before="0"/>
        <w:jc w:val="both"/>
      </w:pPr>
      <w:r>
        <w:rPr>
          <w:rFonts w:ascii="Times New Roman" w:cs="Times New Roman" w:eastAsia="Times New Roman" w:hAnsi="Times New Roman"/>
          <w:sz w:val="22"/>
          <w:szCs w:val="22"/>
        </w:rPr>
        <w:t xml:space="preserve">Con φ₁ = 0.7, φ₂ = −0.3, σ² = 1:</w:t>
      </w:r>
    </w:p>
    <w:p>
      <w:pPr>
        <w:spacing w:after="120" w:before="0"/>
        <w:jc w:val="both"/>
      </w:pPr>
      <w:r>
        <w:rPr>
          <w:rFonts w:ascii="Times New Roman" w:cs="Times New Roman" w:eastAsia="Times New Roman" w:hAnsi="Times New Roman"/>
          <w:sz w:val="22"/>
          <w:szCs w:val="22"/>
        </w:rPr>
        <w:t xml:space="preserve">ρ(1) = φ₁/(1 − φ₂) = 0.7/1.3 ≈ 0.538</w:t>
      </w:r>
    </w:p>
    <w:p>
      <w:pPr>
        <w:spacing w:after="120" w:before="0"/>
        <w:jc w:val="both"/>
      </w:pPr>
      <w:r>
        <w:rPr>
          <w:rFonts w:ascii="Times New Roman" w:cs="Times New Roman" w:eastAsia="Times New Roman" w:hAnsi="Times New Roman"/>
          <w:sz w:val="22"/>
          <w:szCs w:val="22"/>
        </w:rPr>
        <w:t xml:space="preserve">ρ(2) = φ₁ρ(1) + φ₂ = 0.7 × 0.538 − 0.3 ≈ 0.077</w:t>
      </w:r>
    </w:p>
    <w:p>
      <w:pPr>
        <w:spacing w:after="120" w:before="0"/>
        <w:jc w:val="both"/>
      </w:pPr>
      <w:r>
        <w:rPr>
          <w:rFonts w:ascii="Times New Roman" w:cs="Times New Roman" w:eastAsia="Times New Roman" w:hAnsi="Times New Roman"/>
          <w:sz w:val="22"/>
          <w:szCs w:val="22"/>
        </w:rPr>
        <w:t xml:space="preserve">σ² = γ(0)[1 − φ₁ρ(1) − φ₂ρ(2)] = γ(0)[1 − 0.7 × 0.538 − (−0.3) × 0.077]</w:t>
      </w:r>
    </w:p>
    <w:p>
      <w:pPr>
        <w:spacing w:after="120" w:before="0"/>
        <w:jc w:val="both"/>
      </w:pPr>
      <w:r>
        <w:rPr>
          <w:rFonts w:ascii="Times New Roman" w:cs="Times New Roman" w:eastAsia="Times New Roman" w:hAnsi="Times New Roman"/>
          <w:sz w:val="22"/>
          <w:szCs w:val="22"/>
        </w:rPr>
        <w:t xml:space="preserve">= γ(0)[1 − 0.377 + 0.023] = γ(0) × 0.646</w:t>
      </w:r>
    </w:p>
    <w:p>
      <w:pPr>
        <w:spacing w:after="120" w:before="0"/>
        <w:jc w:val="both"/>
      </w:pPr>
      <w:r>
        <w:rPr>
          <w:rFonts w:ascii="Times New Roman" w:cs="Times New Roman" w:eastAsia="Times New Roman" w:hAnsi="Times New Roman"/>
          <w:sz w:val="22"/>
          <w:szCs w:val="22"/>
        </w:rPr>
        <w:t xml:space="preserve">γ(0) = σ²/0.646 = 1/0.646 ≈ 1.548.</w:t>
      </w:r>
    </w:p>
    <w:p>
      <w:pPr>
        <w:spacing w:after="120" w:before="0"/>
        <w:jc w:val="both"/>
      </w:pPr>
      <w:r>
        <w:rPr>
          <w:rFonts w:ascii="Times New Roman" w:cs="Times New Roman" w:eastAsia="Times New Roman" w:hAnsi="Times New Roman"/>
          <w:sz w:val="22"/>
          <w:szCs w:val="22"/>
        </w:rPr>
        <w:t xml:space="preserve">La varianza muestral de T = 300 observaciones debería estar cercana a 1.548. Las discrepancias se deben al error muestral inherente de estimación con muestra finita.</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5.3 — Tabla de rendimientos y ajuste ARIMA a log-retornos del IPC</w:t>
      </w:r>
    </w:p>
    <w:p>
      <w:pPr>
        <w:spacing w:after="80" w:before="180"/>
      </w:pPr>
      <w:r>
        <w:rPr>
          <w:rFonts w:ascii="Times New Roman" w:cs="Times New Roman" w:eastAsia="Times New Roman" w:hAnsi="Times New Roman"/>
          <w:b/>
          <w:bCs/>
          <w:sz w:val="22"/>
          <w:szCs w:val="22"/>
          <w:u w:val="single"/>
        </w:rPr>
        <w:t xml:space="preserve">(a) Interpretación de la tabla</w:t>
      </w:r>
    </w:p>
    <w:p>
      <w:pPr>
        <w:spacing w:after="120" w:before="0"/>
        <w:jc w:val="both"/>
      </w:pPr>
      <w:r>
        <w:rPr>
          <w:rFonts w:ascii="Times New Roman" w:cs="Times New Roman" w:eastAsia="Times New Roman" w:hAnsi="Times New Roman"/>
          <w:sz w:val="22"/>
          <w:szCs w:val="22"/>
        </w:rPr>
        <w:t xml:space="preserve">Mayor volatilidad: Enero-Junio 2020, con desviación estándar de 0.0221, correspondiente al inicio de la pandemia COVID-19 y el colapso de los precios del petróleo. Es el periodo de mayor incertidumbre del conjunto de datos.</w:t>
      </w:r>
    </w:p>
    <w:p>
      <w:pPr>
        <w:spacing w:after="120" w:before="0"/>
        <w:jc w:val="both"/>
      </w:pPr>
      <w:r>
        <w:rPr>
          <w:rFonts w:ascii="Times New Roman" w:cs="Times New Roman" w:eastAsia="Times New Roman" w:hAnsi="Times New Roman"/>
          <w:sz w:val="22"/>
          <w:szCs w:val="22"/>
        </w:rPr>
        <w:t xml:space="preserve">Mayor asimetría negativa: Enero-Junio 2020 con −0.87, indicando colas izquierdas gruesas. Las caídas extremas del mercado dominan sobre las alzas. Esto coincide con el crash de marzo 2020.</w:t>
      </w:r>
    </w:p>
    <w:p>
      <w:pPr>
        <w:spacing w:after="120" w:before="0"/>
        <w:jc w:val="both"/>
      </w:pPr>
      <w:r>
        <w:rPr>
          <w:rFonts w:ascii="Times New Roman" w:cs="Times New Roman" w:eastAsia="Times New Roman" w:hAnsi="Times New Roman"/>
          <w:sz w:val="22"/>
          <w:szCs w:val="22"/>
        </w:rPr>
        <w:t xml:space="preserve">Curtosis &gt; 3 indica colas más gruesas que la normal: todos los periodos muestran curtosis exceso (Ene-Jun 2020: 6.23, que es muy elevada). La distribución de retornos tiene mucha más probabilidad en las colas de lo que predicen modelos gaussianos.</w:t>
      </w:r>
    </w:p>
    <w:p>
      <w:pPr>
        <w:spacing w:after="120" w:before="0"/>
        <w:jc w:val="both"/>
      </w:pPr>
      <w:r>
        <w:rPr>
          <w:rFonts w:ascii="Times New Roman" w:cs="Times New Roman" w:eastAsia="Times New Roman" w:hAnsi="Times New Roman"/>
          <w:sz w:val="22"/>
          <w:szCs w:val="22"/>
        </w:rPr>
        <w:t xml:space="preserve">Evento macroeconómico: El periodo Ene-Jun 2020 captura la pandemia y la guerra de precios del petróleo (Arabia Saudita vs Rusia). Jul-Dic 2020 muestra recuperación con menor volatilidad. Ene-Jun 2022 refleja incertidumbre por la guerra en Ucrania (aunque menor volatilidad en el IPC). Jul-Dic 2023 es el periodo más estable.</w:t>
      </w:r>
    </w:p>
    <w:p>
      <w:pPr>
        <w:spacing w:after="80" w:before="180"/>
      </w:pPr>
      <w:r>
        <w:rPr>
          <w:rFonts w:ascii="Times New Roman" w:cs="Times New Roman" w:eastAsia="Times New Roman" w:hAnsi="Times New Roman"/>
          <w:b/>
          <w:bCs/>
          <w:sz w:val="22"/>
          <w:szCs w:val="22"/>
          <w:u w:val="single"/>
        </w:rPr>
        <w:t xml:space="preserve">(b) Estimación AR(1) para Jul-Dic 2020</w:t>
      </w:r>
    </w:p>
    <w:p>
      <w:pPr>
        <w:spacing w:after="120" w:before="0"/>
        <w:jc w:val="both"/>
      </w:pPr>
      <w:r>
        <w:rPr>
          <w:rFonts w:ascii="Times New Roman" w:cs="Times New Roman" w:eastAsia="Times New Roman" w:hAnsi="Times New Roman"/>
          <w:sz w:val="22"/>
          <w:szCs w:val="22"/>
        </w:rPr>
        <w:t xml:space="preserve">Yule-Walker: φ̂₁ = ρ̂(1) = 0.12. Estimador de σ²: dado Des.Est. = 0.0148, σ̂² ≈ (0.0148)²(1 − 0.12²) = 0.000219(0.9856) ≈ 0.000216.</w:t>
      </w:r>
    </w:p>
    <w:p>
      <w:pPr>
        <w:spacing w:after="120" w:before="0"/>
        <w:jc w:val="both"/>
      </w:pPr>
      <w:r>
        <w:rPr>
          <w:rFonts w:ascii="Times New Roman" w:cs="Times New Roman" w:eastAsia="Times New Roman" w:hAnsi="Times New Roman"/>
          <w:sz w:val="22"/>
          <w:szCs w:val="22"/>
        </w:rPr>
        <w:t xml:space="preserve">IC al 95% para φ₁ (T ≈ 125 obs. en 6 meses): ±1.96/√125 = ±0.175.</w:t>
      </w:r>
    </w:p>
    <w:p>
      <w:pPr>
        <w:spacing w:after="120" w:before="0"/>
        <w:jc w:val="both"/>
      </w:pPr>
      <w:r>
        <w:rPr>
          <w:rFonts w:ascii="Times New Roman" w:cs="Times New Roman" w:eastAsia="Times New Roman" w:hAnsi="Times New Roman"/>
          <w:sz w:val="22"/>
          <w:szCs w:val="22"/>
        </w:rPr>
        <w:t xml:space="preserve">IC: [0.12 − 0.175, 0.12 + 0.175] = [−0.055, 0.295]. El IC contiene cero, por lo que φ₁ = 0.12 no es estadísticamente significativo al 5% con sólo 125 observaciones.</w:t>
      </w:r>
    </w:p>
    <w:p>
      <w:pPr>
        <w:spacing w:after="80" w:before="180"/>
      </w:pPr>
      <w:r>
        <w:rPr>
          <w:rFonts w:ascii="Times New Roman" w:cs="Times New Roman" w:eastAsia="Times New Roman" w:hAnsi="Times New Roman"/>
          <w:b/>
          <w:bCs/>
          <w:sz w:val="22"/>
          <w:szCs w:val="22"/>
          <w:u w:val="single"/>
        </w:rPr>
        <w:t xml:space="preserve">(c) ARIMA(1,0,0) para Ene-Jun 2020</w:t>
      </w:r>
    </w:p>
    <w:p>
      <w:pPr>
        <w:spacing w:after="120" w:before="0"/>
        <w:jc w:val="both"/>
      </w:pPr>
      <w:r>
        <w:rPr>
          <w:rFonts w:ascii="Times New Roman" w:cs="Times New Roman" w:eastAsia="Times New Roman" w:hAnsi="Times New Roman"/>
          <w:sz w:val="22"/>
          <w:szCs w:val="22"/>
        </w:rPr>
        <w:t xml:space="preserve">El ARIMA(1,0,0) modela la media condicional E[r_t | r_{t−1}]. Con ρ̂(1) = 0.08, hay autocorrelación de primer orden, lo que es consistente con AR(1).</w:t>
      </w:r>
    </w:p>
    <w:p>
      <w:pPr>
        <w:spacing w:after="120" w:before="0"/>
        <w:jc w:val="both"/>
      </w:pPr>
      <w:r>
        <w:rPr>
          <w:rFonts w:ascii="Times New Roman" w:cs="Times New Roman" w:eastAsia="Times New Roman" w:hAnsi="Times New Roman"/>
          <w:sz w:val="22"/>
          <w:szCs w:val="22"/>
        </w:rPr>
        <w:t xml:space="preserve">Sin embargo, la curtosis de 6.23 y la asimetría de −0.87 indican fuertemente que los residuos del AR(1) no son normales: tienen colas mucho más pesadas y son asimétricos hacia la izquierda. Esto es evidencia de heteroscedasticidad condicional (los shocks grandes tienden a agruparse).</w:t>
      </w:r>
    </w:p>
    <w:p>
      <w:pPr>
        <w:spacing w:after="120" w:before="0"/>
        <w:jc w:val="both"/>
      </w:pPr>
      <w:r>
        <w:rPr>
          <w:rFonts w:ascii="Times New Roman" w:cs="Times New Roman" w:eastAsia="Times New Roman" w:hAnsi="Times New Roman"/>
          <w:sz w:val="22"/>
          <w:szCs w:val="22"/>
        </w:rPr>
        <w:t xml:space="preserve">Extensión requerida: un modelo ARIMA(1,0,0)-GARCH(1,1) o EGARCH(1,1) que modele explícitamente la varianza condicional σ²_t = ω + α ε²_{t−1} + β σ²_{t−1}. El EGARCH además captura el efecto palanca (caídas generan más volatilidad que subidas).</w:t>
      </w:r>
    </w:p>
    <w:p>
      <w:pPr>
        <w:spacing w:after="80" w:before="180"/>
      </w:pPr>
      <w:r>
        <w:rPr>
          <w:rFonts w:ascii="Times New Roman" w:cs="Times New Roman" w:eastAsia="Times New Roman" w:hAnsi="Times New Roman"/>
          <w:b/>
          <w:bCs/>
          <w:sz w:val="22"/>
          <w:szCs w:val="22"/>
          <w:u w:val="single"/>
        </w:rPr>
        <w:t xml:space="preserve">(d) Comparación ACF teórica vs muestral simulada</w:t>
      </w:r>
    </w:p>
    <w:p>
      <w:pPr>
        <w:spacing w:after="120" w:before="0"/>
        <w:jc w:val="both"/>
      </w:pPr>
      <w:r>
        <w:rPr>
          <w:rFonts w:ascii="Times New Roman" w:cs="Times New Roman" w:eastAsia="Times New Roman" w:hAnsi="Times New Roman"/>
          <w:sz w:val="22"/>
          <w:szCs w:val="22"/>
        </w:rPr>
        <w:t xml:space="preserve">Para AR(1) con φ₁ = 0.12: ACF teórica ρ(k) = 0.12^k. Valores: ρ(1) = 0.12, ρ(2) = 0.0144, ρ(3) = 0.0017, ρ(k) ≈ 0 para k ≥ 3.</w:t>
      </w:r>
    </w:p>
    <w:p>
      <w:pPr>
        <w:spacing w:after="120" w:before="0"/>
        <w:jc w:val="both"/>
      </w:pPr>
      <w:r>
        <w:rPr>
          <w:rFonts w:ascii="Times New Roman" w:cs="Times New Roman" w:eastAsia="Times New Roman" w:hAnsi="Times New Roman"/>
          <w:sz w:val="22"/>
          <w:szCs w:val="22"/>
        </w:rPr>
        <w:t xml:space="preserve">Con T = 126 simulaciones, la ACF muestral ρ̂(k) tendrá desviación estándar aproximada 1/√126 ≈ 0.089. Esto implica que incluso el pico en k = 1 (ρ = 0.12) puede no ser distinguible del ruido estadístico.</w:t>
      </w:r>
    </w:p>
    <w:p>
      <w:pPr>
        <w:spacing w:after="120" w:before="0"/>
        <w:jc w:val="both"/>
      </w:pPr>
      <w:r>
        <w:rPr>
          <w:rFonts w:ascii="Times New Roman" w:cs="Times New Roman" w:eastAsia="Times New Roman" w:hAnsi="Times New Roman"/>
          <w:sz w:val="22"/>
          <w:szCs w:val="22"/>
        </w:rPr>
        <w:t xml:space="preserve">Discrepancias: Se deben principalmente al error de muestreo (varianza finita de las autocorrelaciones muestrales). Con T = 126, la banda de significancia al 95% es ±0.175, mayor que ρ(1) = 0.12. La ACF muestral fluctuará alrededor de la teórica con alta variabilidad, lo que dificulta identificar el verdadero proceso.</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5.4 — Simulación SARIMA y diagnóstico estacional</w:t>
      </w:r>
    </w:p>
    <w:p>
      <w:pPr>
        <w:spacing w:after="80" w:before="180"/>
      </w:pPr>
      <w:r>
        <w:rPr>
          <w:rFonts w:ascii="Times New Roman" w:cs="Times New Roman" w:eastAsia="Times New Roman" w:hAnsi="Times New Roman"/>
          <w:b/>
          <w:bCs/>
          <w:sz w:val="22"/>
          <w:szCs w:val="22"/>
          <w:u w:val="single"/>
        </w:rPr>
        <w:t xml:space="preserve">(a) Interpretación de la ACF</w:t>
      </w:r>
    </w:p>
    <w:p>
      <w:pPr>
        <w:spacing w:after="120" w:before="0"/>
        <w:jc w:val="both"/>
      </w:pPr>
      <w:r>
        <w:rPr>
          <w:rFonts w:ascii="Times New Roman" w:cs="Times New Roman" w:eastAsia="Times New Roman" w:hAnsi="Times New Roman"/>
          <w:sz w:val="22"/>
          <w:szCs w:val="22"/>
        </w:rPr>
        <w:t xml:space="preserve">Los picos en rezagos 12, 24, 36 con valores 0.72, 0.55, 0.41 son la firma de un componente AR estacional. Decaen progresivamente porque el AR estacional con Φ₁ = 0.8 produce ρ(12k) ≈ Φ₁^k = 0.8^k: ρ(12) = 0.8, ρ(24) = 0.64, ρ(36) = 0.512 (valores teóricos modificados por el término MA).</w:t>
      </w:r>
    </w:p>
    <w:p>
      <w:pPr>
        <w:spacing w:after="120" w:before="0"/>
        <w:jc w:val="both"/>
      </w:pPr>
      <w:r>
        <w:rPr>
          <w:rFonts w:ascii="Times New Roman" w:cs="Times New Roman" w:eastAsia="Times New Roman" w:hAnsi="Times New Roman"/>
          <w:sz w:val="22"/>
          <w:szCs w:val="22"/>
        </w:rPr>
        <w:t xml:space="preserve">El decaimiento geométrico de los picos en múltiplos de s = 12 es la característica definidora del AR estacional. Si fueran MA estacional, los picos se cortarían abruptamente después del rezago Qs.</w:t>
      </w:r>
    </w:p>
    <w:p>
      <w:pPr>
        <w:spacing w:after="80" w:before="180"/>
      </w:pPr>
      <w:r>
        <w:rPr>
          <w:rFonts w:ascii="Times New Roman" w:cs="Times New Roman" w:eastAsia="Times New Roman" w:hAnsi="Times New Roman"/>
          <w:b/>
          <w:bCs/>
          <w:sz w:val="22"/>
          <w:szCs w:val="22"/>
          <w:u w:val="single"/>
        </w:rPr>
        <w:t xml:space="preserve">(b) ACF teórica en rezagos clave</w:t>
      </w:r>
    </w:p>
    <w:p>
      <w:pPr>
        <w:spacing w:after="120" w:before="0"/>
        <w:jc w:val="both"/>
      </w:pPr>
      <w:r>
        <w:rPr>
          <w:rFonts w:ascii="Times New Roman" w:cs="Times New Roman" w:eastAsia="Times New Roman" w:hAnsi="Times New Roman"/>
          <w:sz w:val="22"/>
          <w:szCs w:val="22"/>
        </w:rPr>
        <w:t xml:space="preserve">Para el modelo (1 − Φ₁B¹²) Y_t = (1 + θ₁B) ε_t con Φ₁ = 0.8, θ₁ = −0.5:</w:t>
      </w:r>
    </w:p>
    <w:p>
      <w:pPr>
        <w:spacing w:after="120" w:before="0"/>
        <w:jc w:val="both"/>
      </w:pPr>
      <w:r>
        <w:rPr>
          <w:rFonts w:ascii="Times New Roman" w:cs="Times New Roman" w:eastAsia="Times New Roman" w:hAnsi="Times New Roman"/>
          <w:sz w:val="22"/>
          <w:szCs w:val="22"/>
        </w:rPr>
        <w:t xml:space="preserve">Rezago k = 1 (MA): ρ(1) = θ₁/(1 + θ₁²) = −0.5/1.25 = −0.4</w:t>
      </w:r>
    </w:p>
    <w:p>
      <w:pPr>
        <w:spacing w:after="120" w:before="0"/>
        <w:jc w:val="both"/>
      </w:pPr>
      <w:r>
        <w:rPr>
          <w:rFonts w:ascii="Times New Roman" w:cs="Times New Roman" w:eastAsia="Times New Roman" w:hAnsi="Times New Roman"/>
          <w:sz w:val="22"/>
          <w:szCs w:val="22"/>
        </w:rPr>
        <w:t xml:space="preserve">Rezago k = 12 (AR estacional dominante): ρ(12) ≈ Φ₁/(1 + efecto MA) ≈ 0.8 (ajustado por el MA(1))</w:t>
      </w:r>
    </w:p>
    <w:p>
      <w:pPr>
        <w:spacing w:after="120" w:before="0"/>
        <w:jc w:val="both"/>
      </w:pPr>
      <w:r>
        <w:rPr>
          <w:rFonts w:ascii="Times New Roman" w:cs="Times New Roman" w:eastAsia="Times New Roman" w:hAnsi="Times New Roman"/>
          <w:sz w:val="22"/>
          <w:szCs w:val="22"/>
        </w:rPr>
        <w:t xml:space="preserve">Rezago k = 13 (interacción): ρ(13) = ρ(12) × ρ(1) ≈ 0.8 × (−0.4) = −0.32</w:t>
      </w:r>
    </w:p>
    <w:p>
      <w:pPr>
        <w:spacing w:after="120" w:before="0"/>
        <w:jc w:val="both"/>
      </w:pPr>
      <w:r>
        <w:rPr>
          <w:rFonts w:ascii="Times New Roman" w:cs="Times New Roman" w:eastAsia="Times New Roman" w:hAnsi="Times New Roman"/>
          <w:sz w:val="22"/>
          <w:szCs w:val="22"/>
        </w:rPr>
        <w:t xml:space="preserve">Rezago k = 24: ρ(24) = Φ₁² ajustado ≈ 0.64</w:t>
      </w:r>
    </w:p>
    <w:p>
      <w:pPr>
        <w:spacing w:after="80" w:before="180"/>
      </w:pPr>
      <w:r>
        <w:rPr>
          <w:rFonts w:ascii="Times New Roman" w:cs="Times New Roman" w:eastAsia="Times New Roman" w:hAnsi="Times New Roman"/>
          <w:b/>
          <w:bCs/>
          <w:sz w:val="22"/>
          <w:szCs w:val="22"/>
          <w:u w:val="single"/>
        </w:rPr>
        <w:t xml:space="preserve">(c) Propuesta de modelo Box-Jenkins</w:t>
      </w:r>
    </w:p>
    <w:p>
      <w:pPr>
        <w:spacing w:after="120" w:before="0"/>
        <w:jc w:val="both"/>
      </w:pPr>
      <w:r>
        <w:rPr>
          <w:rFonts w:ascii="Times New Roman" w:cs="Times New Roman" w:eastAsia="Times New Roman" w:hAnsi="Times New Roman"/>
          <w:sz w:val="22"/>
          <w:szCs w:val="22"/>
        </w:rPr>
        <w:t xml:space="preserve">ACF observada: picos en k = 1 (negativo, cortado), k = 12, 24, 36 (decaimiento geométrico). PACF esperada: pico en k = 12, decaimiento en múltiplos de 12 (AR estacional), pico en k = 1 (MA no estacional).</w:t>
      </w:r>
    </w:p>
    <w:p>
      <w:pPr>
        <w:spacing w:after="120" w:before="0"/>
        <w:jc w:val="both"/>
      </w:pPr>
      <w:r>
        <w:rPr>
          <w:rFonts w:ascii="Times New Roman" w:cs="Times New Roman" w:eastAsia="Times New Roman" w:hAnsi="Times New Roman"/>
          <w:sz w:val="22"/>
          <w:szCs w:val="22"/>
        </w:rPr>
        <w:t xml:space="preserve">Modelo propuesto: SARIMA(0, 0, 1)(1, 0, 0)₁₂. Ningún indicio de necesitar diferenciación regular (D = 0) porque los picos estacionales decaen (no son planos), ni diferenciación ordinaria (d = 0) porque la media parece estable.</w:t>
      </w:r>
    </w:p>
    <w:p>
      <w:pPr>
        <w:spacing w:after="80" w:before="180"/>
      </w:pPr>
      <w:r>
        <w:rPr>
          <w:rFonts w:ascii="Times New Roman" w:cs="Times New Roman" w:eastAsia="Times New Roman" w:hAnsi="Times New Roman"/>
          <w:b/>
          <w:bCs/>
          <w:sz w:val="22"/>
          <w:szCs w:val="22"/>
          <w:u w:val="single"/>
        </w:rPr>
        <w:t xml:space="preserve">(d) Sesgo de Yule-Walker con muestras pequeñas</w:t>
      </w:r>
    </w:p>
    <w:p>
      <w:pPr>
        <w:spacing w:after="120" w:before="0"/>
        <w:jc w:val="both"/>
      </w:pPr>
      <w:r>
        <w:rPr>
          <w:rFonts w:ascii="Times New Roman" w:cs="Times New Roman" w:eastAsia="Times New Roman" w:hAnsi="Times New Roman"/>
          <w:sz w:val="22"/>
          <w:szCs w:val="22"/>
        </w:rPr>
        <w:t xml:space="preserve">Φ̂₁ = ρ̂(12) = 0.72 vs Φ₁ verdadero = 0.8. Error: 0.72 − 0.8 = −0.08 (sesgo hacia abajo).</w:t>
      </w:r>
    </w:p>
    <w:p>
      <w:pPr>
        <w:spacing w:after="120" w:before="0"/>
        <w:jc w:val="both"/>
      </w:pPr>
      <w:r>
        <w:rPr>
          <w:rFonts w:ascii="Times New Roman" w:cs="Times New Roman" w:eastAsia="Times New Roman" w:hAnsi="Times New Roman"/>
          <w:sz w:val="22"/>
          <w:szCs w:val="22"/>
        </w:rPr>
        <w:t xml:space="preserve">Causa del sesgo negativo: Las autocorrelaciones muestrales tienen sesgo descendente en muestras pequeñas porque el estimador (1/T)Σ Y_t Y_{t−k} divide entre T (no entre T − k). Con T = 120 y k = 12, se pierden 12 observaciones del denominador efectivo. Además, el estimador Yule-Walker hereda el sesgo conocido del estimador MCO de los parámetros AR. Con muestras pequeñas, la corrección de sesgo de Burg o estimadores exactos de MV son preferibles.</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5.5 — Tabla comparativa de modelos y pronóstico cambiario</w:t>
      </w:r>
    </w:p>
    <w:p>
      <w:pPr>
        <w:spacing w:after="80" w:before="180"/>
      </w:pPr>
      <w:r>
        <w:rPr>
          <w:rFonts w:ascii="Times New Roman" w:cs="Times New Roman" w:eastAsia="Times New Roman" w:hAnsi="Times New Roman"/>
          <w:b/>
          <w:bCs/>
          <w:sz w:val="22"/>
          <w:szCs w:val="22"/>
          <w:u w:val="single"/>
        </w:rPr>
        <w:t xml:space="preserve">(a) Interpretación de la tabla de modelos</w:t>
      </w:r>
    </w:p>
    <w:p>
      <w:pPr>
        <w:spacing w:after="120" w:before="0"/>
        <w:jc w:val="both"/>
      </w:pPr>
      <w:r>
        <w:rPr>
          <w:rFonts w:ascii="Times New Roman" w:cs="Times New Roman" w:eastAsia="Times New Roman" w:hAnsi="Times New Roman"/>
          <w:sz w:val="22"/>
          <w:szCs w:val="22"/>
        </w:rPr>
        <w:t xml:space="preserve">Mejor ajuste dentro de muestra: El SARIMA(1,1,1)(1,0,1)₁₂ tiene el menor AIC (−54.3) y el menor BIC (−47.8), por lo que domina dentro de muestra por ambos criterios.</w:t>
      </w:r>
    </w:p>
    <w:p>
      <w:pPr>
        <w:spacing w:after="120" w:before="0"/>
        <w:jc w:val="both"/>
      </w:pPr>
      <w:r>
        <w:rPr>
          <w:rFonts w:ascii="Times New Roman" w:cs="Times New Roman" w:eastAsia="Times New Roman" w:hAnsi="Times New Roman"/>
          <w:sz w:val="22"/>
          <w:szCs w:val="22"/>
        </w:rPr>
        <w:t xml:space="preserve">¿Coinciden AIC y BIC? Sí, ambos favorecen al SARIMA en este caso. Sin embargo, el BIC penaliza sus 4 parámetros con 4 log(36) ≈ 14.4 unidades adicionales, reduciendo la ventaja relativa.</w:t>
      </w:r>
    </w:p>
    <w:p>
      <w:pPr>
        <w:spacing w:after="120" w:before="0"/>
        <w:jc w:val="both"/>
      </w:pPr>
      <w:r>
        <w:rPr>
          <w:rFonts w:ascii="Times New Roman" w:cs="Times New Roman" w:eastAsia="Times New Roman" w:hAnsi="Times New Roman"/>
          <w:sz w:val="22"/>
          <w:szCs w:val="22"/>
        </w:rPr>
        <w:t xml:space="preserve">Mejor predicción fuera de muestra: El SARIMA también tiene el menor RMSE (0.298) y MAE (0.239) en la muestra de prueba de 6 meses, lo que confirma que la componente estacional aporta genuino poder predictivo fuera de muestra.</w:t>
      </w:r>
    </w:p>
    <w:p>
      <w:pPr>
        <w:spacing w:after="80" w:before="180"/>
      </w:pPr>
      <w:r>
        <w:rPr>
          <w:rFonts w:ascii="Times New Roman" w:cs="Times New Roman" w:eastAsia="Times New Roman" w:hAnsi="Times New Roman"/>
          <w:b/>
          <w:bCs/>
          <w:sz w:val="22"/>
          <w:szCs w:val="22"/>
          <w:u w:val="single"/>
        </w:rPr>
        <w:t xml:space="preserve">(b) Expansión del IC con el horizonte</w:t>
      </w:r>
    </w:p>
    <w:p>
      <w:pPr>
        <w:spacing w:after="120" w:before="0"/>
        <w:jc w:val="both"/>
      </w:pPr>
      <w:r>
        <w:rPr>
          <w:rFonts w:ascii="Times New Roman" w:cs="Times New Roman" w:eastAsia="Times New Roman" w:hAnsi="Times New Roman"/>
          <w:sz w:val="22"/>
          <w:szCs w:val="22"/>
        </w:rPr>
        <w:t xml:space="preserve">La varianza de predicción a horizonte h crece porque cada paso adicional acumula incertidumbre: MSE_h ≈ σ² h para un proceso ARIMA(1,1,0) (caminata aleatoria con drift pequeño). La amplitud del IC al 95% es:</w:t>
      </w:r>
    </w:p>
    <w:p>
      <w:pPr>
        <w:spacing w:after="120" w:before="0"/>
        <w:jc w:val="both"/>
      </w:pPr>
      <w:r>
        <w:rPr>
          <w:rFonts w:ascii="Times New Roman" w:cs="Times New Roman" w:eastAsia="Times New Roman" w:hAnsi="Times New Roman"/>
          <w:sz w:val="22"/>
          <w:szCs w:val="22"/>
        </w:rPr>
        <w:t xml:space="preserve">2 × 1.96 × σ̂√h = 2 × 1.96 × √0.0118 × √h = 2 × 1.96 × 0.1086 × √6 ≈ 2 × 1.96 × 0.266 ≈ 1.044 MXN/USD.</w:t>
      </w:r>
    </w:p>
    <w:p>
      <w:pPr>
        <w:spacing w:after="80" w:before="180"/>
      </w:pPr>
      <w:r>
        <w:rPr>
          <w:rFonts w:ascii="Times New Roman" w:cs="Times New Roman" w:eastAsia="Times New Roman" w:hAnsi="Times New Roman"/>
          <w:b/>
          <w:bCs/>
          <w:sz w:val="22"/>
          <w:szCs w:val="22"/>
          <w:u w:val="single"/>
        </w:rPr>
        <w:t xml:space="preserve">(c) Pronóstico Ŷ_{T+1|T} y Ŷ_{T+2|T}</w:t>
      </w:r>
    </w:p>
    <w:p>
      <w:pPr>
        <w:spacing w:after="120" w:before="0"/>
        <w:jc w:val="both"/>
      </w:pPr>
      <w:r>
        <w:rPr>
          <w:rFonts w:ascii="Times New Roman" w:cs="Times New Roman" w:eastAsia="Times New Roman" w:hAnsi="Times New Roman"/>
          <w:sz w:val="22"/>
          <w:szCs w:val="22"/>
        </w:rPr>
        <w:t xml:space="preserve">Para el ARIMA(1,1,1) con φ̂₁ = 0.3, θ̂₁ = −0.4, ΔY_T = 0.16, ε̂_T = 0.05:</w:t>
      </w:r>
    </w:p>
    <w:p>
      <w:pPr>
        <w:spacing w:after="120" w:before="0"/>
        <w:jc w:val="both"/>
      </w:pPr>
      <w:r>
        <w:rPr>
          <w:rFonts w:ascii="Times New Roman" w:cs="Times New Roman" w:eastAsia="Times New Roman" w:hAnsi="Times New Roman"/>
          <w:sz w:val="22"/>
          <w:szCs w:val="22"/>
        </w:rPr>
        <w:t xml:space="preserve">ΔŶ_{T+1|T} = φ̂₁ ΔY_T + θ̂₁ ε̂_T = 0.3 × 0.16 + (−0.4) × 0.05 = 0.048 − 0.020 = 0.028</w:t>
      </w:r>
    </w:p>
    <w:p>
      <w:pPr>
        <w:spacing w:after="120" w:before="0"/>
        <w:jc w:val="both"/>
      </w:pPr>
      <w:r>
        <w:rPr>
          <w:rFonts w:ascii="Times New Roman" w:cs="Times New Roman" w:eastAsia="Times New Roman" w:hAnsi="Times New Roman"/>
          <w:sz w:val="22"/>
          <w:szCs w:val="22"/>
        </w:rPr>
        <w:t xml:space="preserve">Ŷ_{T+1|T} = Y_T + 0.028</w:t>
      </w:r>
    </w:p>
    <w:p>
      <w:pPr>
        <w:spacing w:after="120" w:before="0"/>
        <w:jc w:val="both"/>
      </w:pPr>
      <w:r>
        <w:rPr>
          <w:rFonts w:ascii="Times New Roman" w:cs="Times New Roman" w:eastAsia="Times New Roman" w:hAnsi="Times New Roman"/>
          <w:sz w:val="22"/>
          <w:szCs w:val="22"/>
        </w:rPr>
        <w:t xml:space="preserve">Para h = 2: ΔŶ_{T+2|T} = φ̂₁ ΔŶ_{T+1|T} + θ̂₁ × 0 = 0.3 × 0.028 = 0.0084 (el error futuro ε̂_{T+1} = 0 en valor esperado)</w:t>
      </w:r>
    </w:p>
    <w:p>
      <w:pPr>
        <w:spacing w:after="120" w:before="0"/>
        <w:jc w:val="both"/>
      </w:pPr>
      <w:r>
        <w:rPr>
          <w:rFonts w:ascii="Times New Roman" w:cs="Times New Roman" w:eastAsia="Times New Roman" w:hAnsi="Times New Roman"/>
          <w:sz w:val="22"/>
          <w:szCs w:val="22"/>
        </w:rPr>
        <w:t xml:space="preserve">Ŷ_{T+2|T} = Y_T + 0.028 + 0.0084 = Y_T + 0.0364</w:t>
      </w:r>
    </w:p>
    <w:p>
      <w:pPr>
        <w:spacing w:after="80" w:before="180"/>
      </w:pPr>
      <w:r>
        <w:rPr>
          <w:rFonts w:ascii="Times New Roman" w:cs="Times New Roman" w:eastAsia="Times New Roman" w:hAnsi="Times New Roman"/>
          <w:b/>
          <w:bCs/>
          <w:sz w:val="22"/>
          <w:szCs w:val="22"/>
          <w:u w:val="single"/>
        </w:rPr>
        <w:t xml:space="preserve">(d) Uso del IC para cobertura cambiaria</w:t>
      </w:r>
    </w:p>
    <w:p>
      <w:pPr>
        <w:spacing w:after="120" w:before="0"/>
        <w:jc w:val="both"/>
      </w:pPr>
      <w:r>
        <w:rPr>
          <w:rFonts w:ascii="Times New Roman" w:cs="Times New Roman" w:eastAsia="Times New Roman" w:hAnsi="Times New Roman"/>
          <w:sz w:val="22"/>
          <w:szCs w:val="22"/>
        </w:rPr>
        <w:t xml:space="preserve">La empresa importadora necesita dólares en 3 meses. Estrategia con el IC del SARIMA:</w:t>
      </w:r>
    </w:p>
    <w:p>
      <w:pPr>
        <w:spacing w:after="120" w:before="0"/>
        <w:jc w:val="both"/>
      </w:pPr>
      <w:r>
        <w:rPr>
          <w:rFonts w:ascii="Times New Roman" w:cs="Times New Roman" w:eastAsia="Times New Roman" w:hAnsi="Times New Roman"/>
          <w:sz w:val="22"/>
          <w:szCs w:val="22"/>
        </w:rPr>
        <w:t xml:space="preserve">Punto central (Ŷ_{T+3}): usar para fijar el forward a precio de mercado esperado.</w:t>
      </w:r>
    </w:p>
    <w:p>
      <w:pPr>
        <w:spacing w:after="120" w:before="0"/>
        <w:jc w:val="both"/>
      </w:pPr>
      <w:r>
        <w:rPr>
          <w:rFonts w:ascii="Times New Roman" w:cs="Times New Roman" w:eastAsia="Times New Roman" w:hAnsi="Times New Roman"/>
          <w:sz w:val="22"/>
          <w:szCs w:val="22"/>
        </w:rPr>
        <w:t xml:space="preserve">Percentil 95% (cola derecha del IC): escenario adverso donde el dólar está más caro. La empresa debería usar este valor para dimensionar la cobertura. Si puede tolerar pérdidas de hasta el percentil 95%, compra un forward al precio central y acepta el riesgo residual. Si quiere protección total contra el peor escenario, compra una put sobre MXN/USD con strike en el percentil 95%.</w:t>
      </w:r>
    </w:p>
    <w:p>
      <w:pPr>
        <w:spacing w:after="120" w:before="0"/>
        <w:jc w:val="both"/>
      </w:pPr>
      <w:r>
        <w:rPr>
          <w:rFonts w:ascii="Times New Roman" w:cs="Times New Roman" w:eastAsia="Times New Roman" w:hAnsi="Times New Roman"/>
          <w:sz w:val="22"/>
          <w:szCs w:val="22"/>
        </w:rPr>
        <w:t xml:space="preserve">Preferencia: el percentil 95% para la cobertura mínima garantizada, usando la opción de compra de dólares (call USD/put MXN) con strike en ese nivel. El costo de la prima de la opción refleja la incertidumbre del abanico de pronósticos.</w:t>
      </w:r>
    </w:p>
    <w:p>
      <w:pPr>
        <w:spacing w:after="60"/>
      </w:pPr>
      <w:r>
        <w:t xml:space="preserve"/>
      </w:r>
    </w:p>
    <w:p>
      <w:pPr>
        <w:pStyle w:val="Heading2"/>
        <w:spacing w:after="120" w:before="240"/>
      </w:pPr>
      <w:r>
        <w:rPr>
          <w:rFonts w:ascii="Times New Roman" w:cs="Times New Roman" w:eastAsia="Times New Roman" w:hAnsi="Times New Roman"/>
          <w:b/>
          <w:bCs/>
          <w:i/>
          <w:iCs/>
          <w:sz w:val="24"/>
          <w:szCs w:val="24"/>
        </w:rPr>
        <w:t xml:space="preserve">Ejercicio 5.6 — Simulación de Monte Carlo para evaluación de pronósticos</w:t>
      </w:r>
    </w:p>
    <w:p>
      <w:pPr>
        <w:spacing w:after="80" w:before="180"/>
      </w:pPr>
      <w:r>
        <w:rPr>
          <w:rFonts w:ascii="Times New Roman" w:cs="Times New Roman" w:eastAsia="Times New Roman" w:hAnsi="Times New Roman"/>
          <w:b/>
          <w:bCs/>
          <w:sz w:val="22"/>
          <w:szCs w:val="22"/>
          <w:u w:val="single"/>
        </w:rPr>
        <w:t xml:space="preserve">(a) Distribución del pronóstico del AR(1)</w:t>
      </w:r>
    </w:p>
    <w:p>
      <w:pPr>
        <w:spacing w:after="120" w:before="0"/>
        <w:jc w:val="both"/>
      </w:pPr>
      <w:r>
        <w:rPr>
          <w:rFonts w:ascii="Times New Roman" w:cs="Times New Roman" w:eastAsia="Times New Roman" w:hAnsi="Times New Roman"/>
          <w:sz w:val="22"/>
          <w:szCs w:val="22"/>
        </w:rPr>
        <w:t xml:space="preserve">Por inducción. Para h = 1: Y_{T+1} = φ₁ Y_T + ε_{T+1}. Dado Y_T = y₀ (fijo), Y_{T+1} | Y_T = y₀ ~ N(φ₁ y₀, σ²).</w:t>
      </w:r>
    </w:p>
    <w:p>
      <w:pPr>
        <w:spacing w:after="120" w:before="0"/>
        <w:jc w:val="both"/>
      </w:pPr>
      <w:r>
        <w:rPr>
          <w:rFonts w:ascii="Times New Roman" w:cs="Times New Roman" w:eastAsia="Times New Roman" w:hAnsi="Times New Roman"/>
          <w:sz w:val="22"/>
          <w:szCs w:val="22"/>
        </w:rPr>
        <w:t xml:space="preserve">Para h = 2: Y_{T+2} = φ₁ Y_{T+1} + ε_{T+2} = φ₁² y₀ + φ₁ ε_{T+1} + ε_{T+2}.</w:t>
      </w:r>
    </w:p>
    <w:p>
      <w:pPr>
        <w:spacing w:after="120" w:before="0"/>
        <w:jc w:val="both"/>
      </w:pPr>
      <w:r>
        <w:rPr>
          <w:rFonts w:ascii="Times New Roman" w:cs="Times New Roman" w:eastAsia="Times New Roman" w:hAnsi="Times New Roman"/>
          <w:sz w:val="22"/>
          <w:szCs w:val="22"/>
        </w:rPr>
        <w:t xml:space="preserve">E[Y_{T+h} | Y_T = y₀] = φ₁^h y₀.</w:t>
      </w:r>
    </w:p>
    <w:p>
      <w:pPr>
        <w:spacing w:after="120" w:before="0"/>
        <w:jc w:val="both"/>
      </w:pPr>
      <w:r>
        <w:rPr>
          <w:rFonts w:ascii="Times New Roman" w:cs="Times New Roman" w:eastAsia="Times New Roman" w:hAnsi="Times New Roman"/>
          <w:sz w:val="22"/>
          <w:szCs w:val="22"/>
        </w:rPr>
        <w:t xml:space="preserve">Var(Y_{T+h} | Y_T = y₀) = σ² (1 + φ₁² + … + φ₁^{2(h−1)}) = σ² (1 − φ₁^{2h})/(1 − φ₁²).</w:t>
      </w:r>
    </w:p>
    <w:p>
      <w:pPr>
        <w:spacing w:after="120" w:before="0"/>
        <w:jc w:val="both"/>
      </w:pPr>
      <w:r>
        <w:rPr>
          <w:rFonts w:ascii="Times New Roman" w:cs="Times New Roman" w:eastAsia="Times New Roman" w:hAnsi="Times New Roman"/>
          <w:sz w:val="22"/>
          <w:szCs w:val="22"/>
        </w:rPr>
        <w:t xml:space="preserve">Como suma de variables normales independientes multiplicadas por constantes: Y_{T+h} | Y_T ~ N(φ₁^h y₀, σ² (1 − φ₁^{2h})/(1 − φ₁²)). ∎</w:t>
      </w:r>
    </w:p>
    <w:p>
      <w:pPr>
        <w:spacing w:after="80" w:before="180"/>
      </w:pPr>
      <w:r>
        <w:rPr>
          <w:rFonts w:ascii="Times New Roman" w:cs="Times New Roman" w:eastAsia="Times New Roman" w:hAnsi="Times New Roman"/>
          <w:b/>
          <w:bCs/>
          <w:sz w:val="22"/>
          <w:szCs w:val="22"/>
          <w:u w:val="single"/>
        </w:rPr>
        <w:t xml:space="preserve">(b) Tabla de IC analíticos con φ₁ = 0.6, σ = 1, y₀ = 2</w:t>
      </w:r>
    </w:p>
    <w:p>
      <w:pPr>
        <w:spacing w:after="120" w:before="0"/>
        <w:jc w:val="both"/>
      </w:pPr>
      <w:r>
        <w:rPr>
          <w:rFonts w:ascii="Times New Roman" w:cs="Times New Roman" w:eastAsia="Times New Roman" w:hAnsi="Times New Roman"/>
          <w:sz w:val="22"/>
          <w:szCs w:val="22"/>
        </w:rPr>
        <w:t xml:space="preserve">σ²/(1−φ₁²) = 1/(1−0.36) = 1.5625</w:t>
      </w:r>
    </w:p>
    <w:p>
      <w:pPr>
        <w:spacing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1680"/>
        <w:gridCol w:w="1680"/>
      </w:tblGrid>
      <w:tr>
        <w:tc>
          <w:tcPr>
            <w:tcW w:type="dxa" w:w="1000"/>
            <w:tcBorders>
              <w:top w:val="single" w:color="AAAAAA" w:sz="1"/>
              <w:left w:val="single" w:color="AAAAAA" w:sz="1"/>
              <w:bottom w:val="single" w:color="AAAAAA" w:sz="1"/>
              <w:right w:val="single" w:color="AAAAAA" w:sz="1"/>
            </w:tcBorders>
            <w:shd w:fill="D0DCF0"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h</w:t>
            </w:r>
          </w:p>
        </w:tc>
        <w:tc>
          <w:tcPr>
            <w:tcW w:type="dxa" w:w="2000"/>
            <w:tcBorders>
              <w:top w:val="single" w:color="AAAAAA" w:sz="1"/>
              <w:left w:val="single" w:color="AAAAAA" w:sz="1"/>
              <w:bottom w:val="single" w:color="AAAAAA" w:sz="1"/>
              <w:right w:val="single" w:color="AAAAAA" w:sz="1"/>
            </w:tcBorders>
            <w:shd w:fill="D0DCF0"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E[Y_{T+h}]</w:t>
            </w:r>
          </w:p>
        </w:tc>
        <w:tc>
          <w:tcPr>
            <w:tcW w:type="dxa" w:w="2200"/>
            <w:tcBorders>
              <w:top w:val="single" w:color="AAAAAA" w:sz="1"/>
              <w:left w:val="single" w:color="AAAAAA" w:sz="1"/>
              <w:bottom w:val="single" w:color="AAAAAA" w:sz="1"/>
              <w:right w:val="single" w:color="AAAAAA" w:sz="1"/>
            </w:tcBorders>
            <w:shd w:fill="D0DCF0"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Var(Y_{T+h}|Y_T)</w:t>
            </w:r>
          </w:p>
        </w:tc>
        <w:tc>
          <w:tcPr>
            <w:tcW w:type="dxa" w:w="1680"/>
            <w:tcBorders>
              <w:top w:val="single" w:color="AAAAAA" w:sz="1"/>
              <w:left w:val="single" w:color="AAAAAA" w:sz="1"/>
              <w:bottom w:val="single" w:color="AAAAAA" w:sz="1"/>
              <w:right w:val="single" w:color="AAAAAA" w:sz="1"/>
            </w:tcBorders>
            <w:shd w:fill="D0DCF0"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LI 95%</w:t>
            </w:r>
          </w:p>
        </w:tc>
        <w:tc>
          <w:tcPr>
            <w:tcW w:type="dxa" w:w="1680"/>
            <w:tcBorders>
              <w:top w:val="single" w:color="AAAAAA" w:sz="1"/>
              <w:left w:val="single" w:color="AAAAAA" w:sz="1"/>
              <w:bottom w:val="single" w:color="AAAAAA" w:sz="1"/>
              <w:right w:val="single" w:color="AAAAAA" w:sz="1"/>
            </w:tcBorders>
            <w:shd w:fill="D0DCF0" w:val="clear"/>
            <w:tcMar>
              <w:top w:type="dxa" w:w="60"/>
              <w:left w:type="dxa" w:w="120"/>
              <w:bottom w:type="dxa" w:w="60"/>
              <w:right w:type="dxa" w:w="120"/>
            </w:tcMar>
          </w:tcPr>
          <w:p>
            <w:pPr>
              <w:jc w:val="center"/>
            </w:pPr>
            <w:r>
              <w:rPr>
                <w:rFonts w:ascii="Times New Roman" w:cs="Times New Roman" w:eastAsia="Times New Roman" w:hAnsi="Times New Roman"/>
                <w:b/>
                <w:bCs/>
                <w:sz w:val="18"/>
                <w:szCs w:val="18"/>
              </w:rPr>
              <w:t xml:space="preserve">LS 95%</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0.6² × 2 = 1.20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1(1−0.36)/0.64 = 1.00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1.20 − 1.96</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1.20 + 1.96</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−0.76</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3.16</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0.6⁵ × 2 ≈ 0.156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1−0.6¹⁰)/0.64 ≈ 1.518</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0.156 − 2.415</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0.156 + 2.415</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0.156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1.518</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−2.259</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2.571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0.6¹⁰ × 2 ≈ 0.012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(1−0.6²⁰)/0.64 ≈ 1.562</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0.012 − 2.461</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0.012 + 2.461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0.012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1.562</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−2.449</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2.473</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1.5625</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−2.450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8"/>
                <w:szCs w:val="18"/>
              </w:rPr>
              <w:t xml:space="preserve">2.450</w:t>
            </w:r>
          </w:p>
        </w:tc>
      </w:tr>
    </w:tbl>
    <w:p>
      <w:pPr>
        <w:spacing w:after="60"/>
      </w:pPr>
      <w:r>
        <w:t xml:space="preserve"/>
      </w:r>
    </w:p>
    <w:p>
      <w:pPr>
        <w:spacing w:after="120" w:before="0"/>
        <w:jc w:val="both"/>
      </w:pPr>
      <w:r>
        <w:rPr>
          <w:rFonts w:ascii="Times New Roman" w:cs="Times New Roman" w:eastAsia="Times New Roman" w:hAnsi="Times New Roman"/>
          <w:sz w:val="22"/>
          <w:szCs w:val="22"/>
        </w:rPr>
        <w:t xml:space="preserve">La media converge a 0 = μ/(1−φ) (media incondicional) y la varianza converge a σ²/(1−φ₁²) = 1.5625 (varianza incondicional).</w:t>
      </w:r>
    </w:p>
    <w:p>
      <w:pPr>
        <w:spacing w:after="80" w:before="180"/>
      </w:pPr>
      <w:r>
        <w:rPr>
          <w:rFonts w:ascii="Times New Roman" w:cs="Times New Roman" w:eastAsia="Times New Roman" w:hAnsi="Times New Roman"/>
          <w:b/>
          <w:bCs/>
          <w:sz w:val="22"/>
          <w:szCs w:val="22"/>
          <w:u w:val="single"/>
        </w:rPr>
        <w:t xml:space="preserve">(c) Algoritmo de Monte Carlo (B = 1,000 trayectorias)</w:t>
      </w:r>
    </w:p>
    <w:p>
      <w:pPr>
        <w:spacing w:after="100"/>
        <w:jc w:val="both"/>
      </w:pPr>
      <w:r>
        <w:rPr>
          <w:rFonts w:ascii="Times New Roman" w:cs="Times New Roman" w:eastAsia="Times New Roman" w:hAnsi="Times New Roman"/>
          <w:b/>
          <w:bCs/>
          <w:sz w:val="22"/>
          <w:szCs w:val="22"/>
        </w:rPr>
        <w:t xml:space="preserve">Paso 1: </w:t>
      </w:r>
      <w:r>
        <w:rPr>
          <w:rFonts w:ascii="Times New Roman" w:cs="Times New Roman" w:eastAsia="Times New Roman" w:hAnsi="Times New Roman"/>
          <w:sz w:val="22"/>
          <w:szCs w:val="22"/>
        </w:rPr>
        <w:t xml:space="preserve">Estimar el modelo y obtener φ̂₁ y σ̂².</w:t>
      </w:r>
    </w:p>
    <w:p>
      <w:pPr>
        <w:spacing w:after="100"/>
        <w:jc w:val="both"/>
      </w:pPr>
      <w:r>
        <w:rPr>
          <w:rFonts w:ascii="Times New Roman" w:cs="Times New Roman" w:eastAsia="Times New Roman" w:hAnsi="Times New Roman"/>
          <w:b/>
          <w:bCs/>
          <w:sz w:val="22"/>
          <w:szCs w:val="22"/>
        </w:rPr>
        <w:t xml:space="preserve">Paso 2: </w:t>
      </w:r>
      <w:r>
        <w:rPr>
          <w:rFonts w:ascii="Times New Roman" w:cs="Times New Roman" w:eastAsia="Times New Roman" w:hAnsi="Times New Roman"/>
          <w:sz w:val="22"/>
          <w:szCs w:val="22"/>
        </w:rPr>
        <w:t xml:space="preserve">Para b = 1, …, 1000: generar ε^(b)_{T+1}, …, ε^(b)_{T+h} i.i.d. ~ N(0, σ̂²). Simular: Y^(b)_{T+1} = φ̂₁ Y_T + ε^(b)_{T+1}; Y^(b)_{T+j} = φ̂₁ Y^(b)_{T+j−1} + ε^(b)_{T+j}.</w:t>
      </w:r>
    </w:p>
    <w:p>
      <w:pPr>
        <w:spacing w:after="100"/>
        <w:jc w:val="both"/>
      </w:pPr>
      <w:r>
        <w:rPr>
          <w:rFonts w:ascii="Times New Roman" w:cs="Times New Roman" w:eastAsia="Times New Roman" w:hAnsi="Times New Roman"/>
          <w:b/>
          <w:bCs/>
          <w:sz w:val="22"/>
          <w:szCs w:val="22"/>
        </w:rPr>
        <w:t xml:space="preserve">Paso 3: </w:t>
      </w:r>
      <w:r>
        <w:rPr>
          <w:rFonts w:ascii="Times New Roman" w:cs="Times New Roman" w:eastAsia="Times New Roman" w:hAnsi="Times New Roman"/>
          <w:sz w:val="22"/>
          <w:szCs w:val="22"/>
        </w:rPr>
        <w:t xml:space="preserve">Para cada horizonte h, el IC empírico es [percentil 2.5% de {Y^(b)_{T+h}}, percentil 97.5% de {Y^(b)_{T+h}}].</w:t>
      </w:r>
    </w:p>
    <w:p>
      <w:pPr>
        <w:spacing w:after="120" w:before="0"/>
        <w:jc w:val="both"/>
      </w:pPr>
      <w:r>
        <w:rPr>
          <w:rFonts w:ascii="Times New Roman" w:cs="Times New Roman" w:eastAsia="Times New Roman" w:hAnsi="Times New Roman"/>
          <w:sz w:val="22"/>
          <w:szCs w:val="22"/>
        </w:rPr>
        <w:t xml:space="preserve">Comparación con analítico: Con B = 1,000, la diferencia entre el IC empírico y el analítico es del orden 1/√B ≈ 3%, lo que es despreciable para fines prácticos.</w:t>
      </w:r>
    </w:p>
    <w:p>
      <w:pPr>
        <w:spacing w:after="80" w:before="180"/>
      </w:pPr>
      <w:r>
        <w:rPr>
          <w:rFonts w:ascii="Times New Roman" w:cs="Times New Roman" w:eastAsia="Times New Roman" w:hAnsi="Times New Roman"/>
          <w:b/>
          <w:bCs/>
          <w:sz w:val="22"/>
          <w:szCs w:val="22"/>
          <w:u w:val="single"/>
        </w:rPr>
        <w:t xml:space="preserve">(d) Interpretación del fan chart (abanico de pronósticos)</w:t>
      </w:r>
    </w:p>
    <w:p>
      <w:pPr>
        <w:spacing w:after="120" w:before="0"/>
        <w:jc w:val="both"/>
      </w:pPr>
      <w:r>
        <w:rPr>
          <w:rFonts w:ascii="Times New Roman" w:cs="Times New Roman" w:eastAsia="Times New Roman" w:hAnsi="Times New Roman"/>
          <w:sz w:val="22"/>
          <w:szCs w:val="22"/>
        </w:rPr>
        <w:t xml:space="preserve">El abanico se abre hacia los horizontes más lejanos porque la varianza de predicción crece con h: cada paso adicional añade incertidumbre proveniente de ε_{T+h}. La apertura refleja la acumulación de shocks futuros desconocidos.</w:t>
      </w:r>
    </w:p>
    <w:p>
      <w:pPr>
        <w:spacing w:after="120" w:before="0"/>
        <w:jc w:val="both"/>
      </w:pPr>
      <w:r>
        <w:rPr>
          <w:rFonts w:ascii="Times New Roman" w:cs="Times New Roman" w:eastAsia="Times New Roman" w:hAnsi="Times New Roman"/>
          <w:sz w:val="22"/>
          <w:szCs w:val="22"/>
        </w:rPr>
        <w:t xml:space="preserve">Convergencia de la media: Ŷ_{T+h} = φ₁^h y₀ → 0 cuando h → ∞ (la media incondicional del AR estacionario). La trayectoria central del fan chart converge al nivel de largo plazo.</w:t>
      </w:r>
    </w:p>
    <w:p>
      <w:pPr>
        <w:spacing w:after="120" w:before="0"/>
        <w:jc w:val="both"/>
      </w:pPr>
      <w:r>
        <w:rPr>
          <w:rFonts w:ascii="Times New Roman" w:cs="Times New Roman" w:eastAsia="Times New Roman" w:hAnsi="Times New Roman"/>
          <w:sz w:val="22"/>
          <w:szCs w:val="22"/>
        </w:rPr>
        <w:t xml:space="preserve">Incertidumbre cuando h → ∞: Var(Y_{T+h} | Y_T) → σ²/(1−φ₁²) = varianza incondicional. Las bandas del fan chart dejan de abrirse y convergen a la banda de ±1.96σ/√(1−φ₁²) de la distribución estacionaria del proceso. Esto confirma que la incertidumbre tiene un límite superior dado por la variabilidad intrínseca del proceso.</w:t>
      </w:r>
    </w:p>
    <w:p>
      <w:pPr>
        <w:spacing w:after="60"/>
      </w:pPr>
      <w:r>
        <w:t xml:space="preserve"/>
      </w:r>
    </w:p>
    <w:p>
      <w:pPr>
        <w:spacing w:after="60"/>
      </w:pPr>
      <w:r>
        <w:t xml:space="preserve"/>
      </w:r>
    </w:p>
    <w:p>
      <w:pPr>
        <w:pBdr>
          <w:bottom w:val="single" w:color="999999" w:sz="4" w:space="1"/>
        </w:pBdr>
        <w:spacing w:after="120"/>
      </w:pPr>
    </w:p>
    <w:p>
      <w:pPr>
        <w:spacing w:after="120" w:before="0"/>
        <w:jc w:val="center"/>
      </w:pPr>
      <w:r>
        <w:rPr>
          <w:rFonts w:ascii="Times New Roman" w:cs="Times New Roman" w:eastAsia="Times New Roman" w:hAnsi="Times New Roman"/>
          <w:i/>
          <w:iCs/>
          <w:sz w:val="22"/>
          <w:szCs w:val="22"/>
        </w:rPr>
        <w:t xml:space="preserve">— Fin de la tarea —  Juan Pablo Arciniega  |  Series de Tiempo para Finanzas  |  Verano 2026</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2026-04-17T17:13:34.327Z</dcterms:created>
  <dcterms:modified xsi:type="dcterms:W3CDTF">2026-04-17T17:13:34.328Z</dcterms:modified>
</cp:coreProperties>
</file>

<file path=docProps/custom.xml><?xml version="1.0" encoding="utf-8"?>
<Properties xmlns="http://schemas.openxmlformats.org/officeDocument/2006/custom-properties" xmlns:vt="http://schemas.openxmlformats.org/officeDocument/2006/docPropsVTypes"/>
</file>