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Análisis de Series de Tiempo</w:t>
      </w:r>
    </w:p>
    <w:p>
      <w:pPr>
        <w:jc w:val="center"/>
      </w:pPr>
      <w:r>
        <w:rPr>
          <w:color w:val="1F4E79"/>
          <w:sz w:val="32"/>
        </w:rPr>
        <w:t>Soluciones a los Ejercicios Propuestos</w:t>
      </w:r>
    </w:p>
    <w:p>
      <w:pPr>
        <w:jc w:val="center"/>
      </w:pPr>
      <w:r>
        <w:rPr>
          <w:i/>
          <w:color w:val="555555"/>
          <w:sz w:val="24"/>
        </w:rPr>
        <w:t>SARIMAX · Familia GARCH · Preguntas estilo CFA Nivel III</w:t>
      </w:r>
    </w:p>
    <w:p>
      <w:pPr>
        <w:jc w:val="center"/>
      </w:pPr>
      <w:r>
        <w:rPr>
          <w:sz w:val="22"/>
        </w:rPr>
        <w:t>Universidad Panamericana — Finanzas Cuantitativas</w:t>
      </w:r>
    </w:p>
    <w:p/>
    <w:p>
      <w:pPr>
        <w:jc w:val="center"/>
      </w:pPr>
      <w:r>
        <w:rPr>
          <w:color w:val="1F4E79"/>
        </w:rPr>
        <w:t>──────────────────────────────────────────────────</w:t>
      </w:r>
    </w:p>
    <w:p/>
    <w:p>
      <w:pPr>
        <w:pStyle w:val="Heading1"/>
      </w:pPr>
      <w:r>
        <w:t>Parte A — Ejercicios analíticos</w:t>
      </w:r>
    </w:p>
    <w:p/>
    <w:p>
      <w:pPr>
        <w:pStyle w:val="Heading2"/>
      </w:pPr>
      <w:r>
        <w:t>Ejercicio 1 — Identificación SARIMAX con variable exógena macroeconómica</w:t>
      </w:r>
    </w:p>
    <w:p>
      <w:pPr>
        <w:spacing w:before="160" w:after="80"/>
      </w:pPr>
      <w:r>
        <w:rPr>
          <w:b/>
          <w:color w:val="1F4E79"/>
          <w:sz w:val="22"/>
        </w:rPr>
        <w:t>(a) Ecuación completa del modelo SARIMAX(1,1,1)(1,1,0)₁₂</w:t>
      </w:r>
    </w:p>
    <w:p>
      <w:r>
        <w:rPr>
          <w:b w:val="0"/>
          <w:i w:val="0"/>
          <w:sz w:val="22"/>
        </w:rPr>
        <w:t>El modelo completo se escribe como:</w:t>
      </w:r>
    </w:p>
    <w:p>
      <w:pPr>
        <w:spacing w:before="120" w:after="120"/>
        <w:jc w:val="center"/>
      </w:pPr>
      <w:r>
        <w:rPr>
          <w:rFonts w:ascii="Cambria Math" w:hAnsi="Cambria Math"/>
          <w:i/>
          <w:sz w:val="24"/>
        </w:rPr>
        <w:t>(1 − Φ₁B¹²)(1 − φ₁B)(1 − B)(1 − B¹²) y_t = β x_t + (1 + θ₁B) ε_t,   con ε_t ~ WN(0, σ²)</w:t>
      </w:r>
    </w:p>
    <w:p>
      <w:r>
        <w:rPr>
          <w:b w:val="0"/>
          <w:i w:val="0"/>
          <w:sz w:val="22"/>
        </w:rPr>
        <w:t>Donde B es el operador de rezago (B y_t = y_{t-1}). Cada bloque tiene un papel concreto:</w:t>
      </w:r>
    </w:p>
    <w:p>
      <w:pPr>
        <w:pStyle w:val="ListBullet"/>
      </w:pPr>
      <w:r>
        <w:t>(1 − φ₁B): parte autorregresiva regular AR(1). Captura la dependencia del valor de hoy respecto al de ayer.</w:t>
      </w:r>
    </w:p>
    <w:p>
      <w:pPr>
        <w:pStyle w:val="ListBullet"/>
      </w:pPr>
      <w:r>
        <w:t>(1 − Φ₁B¹²): parte autorregresiva estacional SAR(1) con periodo s = 12. Captura la relación con el mismo mes de hace un año.</w:t>
      </w:r>
    </w:p>
    <w:p>
      <w:pPr>
        <w:pStyle w:val="ListBullet"/>
      </w:pPr>
      <w:r>
        <w:t>(1 − B): diferencia regular (d = 1) que elimina la tendencia.</w:t>
      </w:r>
    </w:p>
    <w:p>
      <w:pPr>
        <w:pStyle w:val="ListBullet"/>
      </w:pPr>
      <w:r>
        <w:t>(1 − B¹²): diferencia estacional (D = 1) que elimina el ciclo anual.</w:t>
      </w:r>
    </w:p>
    <w:p>
      <w:pPr>
        <w:pStyle w:val="ListBullet"/>
      </w:pPr>
      <w:r>
        <w:t>(1 + θ₁B): parte de medias móviles regular MA(1).</w:t>
      </w:r>
    </w:p>
    <w:p>
      <w:pPr>
        <w:pStyle w:val="ListBullet"/>
      </w:pPr>
      <w:r>
        <w:t>β x_t: efecto contemporáneo de la variable exógena (rendimiento del Treasury a 10 años).</w:t>
      </w:r>
    </w:p>
    <w:p>
      <w:pPr>
        <w:spacing w:before="160" w:after="80"/>
      </w:pPr>
      <w:r>
        <w:rPr>
          <w:b/>
          <w:color w:val="1F4E79"/>
          <w:sz w:val="22"/>
        </w:rPr>
        <w:t>(b) Interpretación del ADF y consistencia con d = 1</w:t>
      </w:r>
    </w:p>
    <w:p>
      <w:r>
        <w:rPr>
          <w:b w:val="0"/>
          <w:i w:val="0"/>
          <w:sz w:val="22"/>
        </w:rPr>
        <w:t>La prueba ADF tiene como hipótesis nula H₀: la serie tiene raíz unitaria (es no estacionaria).</w:t>
      </w:r>
    </w:p>
    <w:p>
      <w:r>
        <w:rPr>
          <w:b w:val="0"/>
          <w:i w:val="0"/>
          <w:sz w:val="22"/>
        </w:rPr>
        <w:t>El estadístico calculado es −1.42 y el valor crítico al 5% es −2.89. Como |−1.42| &lt; |−2.89|, NO se rechaza H₀.</w:t>
      </w:r>
    </w:p>
    <w:p>
      <w:r>
        <w:rPr>
          <w:b/>
        </w:rPr>
        <w:t xml:space="preserve">Conclusión: </w:t>
      </w:r>
      <w:r>
        <w:t>la serie y_t es no estacionaria en niveles, por lo que se requiere al menos una diferencia para volverla estacionaria. Aplicar d = 1 en el modelo es consistente con este resultado. Idealmente se aplicaría la prueba ADF nuevamente sobre Δy_t para verificar que una diferencia es suficiente; si no lo fuera, se aplicaría d = 2.</w:t>
      </w:r>
    </w:p>
    <w:p>
      <w:pPr>
        <w:spacing w:before="160" w:after="80"/>
      </w:pPr>
      <w:r>
        <w:rPr>
          <w:b/>
          <w:color w:val="1F4E79"/>
          <w:sz w:val="22"/>
        </w:rPr>
        <w:t>(c) Interpretación económica de β̂ = −0.87 (error estándar 0.12)</w:t>
      </w:r>
    </w:p>
    <w:p>
      <w:r>
        <w:rPr>
          <w:b/>
        </w:rPr>
        <w:t xml:space="preserve">Signo negativo: </w:t>
      </w:r>
      <w:r>
        <w:t>cuando el rendimiento del Treasury a 10 años sube, el log-precio del bono emergente cae. Esto es coherente económicamente porque tasas más altas en EE.UU. atraen capital hacia activos seguros, restándole demanda al bono emergente. El precio del bono emergente debe caer para que su rendimiento compense el nuevo costo de oportunidad que ofrece EE.UU.</w:t>
      </w:r>
    </w:p>
    <w:p>
      <w:r>
        <w:rPr>
          <w:b/>
        </w:rPr>
        <w:t xml:space="preserve">Magnitud: </w:t>
      </w:r>
      <w:r>
        <w:t>un aumento de 1 punto porcentual en x_t está asociado con una caída de aproximadamente 0.87 en log(precio).</w:t>
      </w:r>
    </w:p>
    <w:p>
      <w:r>
        <w:rPr>
          <w:b/>
        </w:rPr>
        <w:t xml:space="preserve">Supuesto de exogeneidad estricta: </w:t>
      </w:r>
      <w:r>
        <w:t>para que β̂ sea consistente, se requiere que Cov(x_t, ε_s) = 0 para todo t y todo s. Es decir, x_t no debe estar correlacionado con los errores presentes, pasados ni futuros. Si la tasa del Treasury respondiera al precio del bono emergente, habría endogeneidad y el estimador estaría sesgado.</w:t>
      </w:r>
    </w:p>
    <w:p>
      <w:pPr>
        <w:spacing w:before="160" w:after="80"/>
      </w:pPr>
      <w:r>
        <w:rPr>
          <w:b/>
          <w:color w:val="1F4E79"/>
          <w:sz w:val="22"/>
        </w:rPr>
        <w:t>(d) Estadístico t e intervalo de confianza al 95%</w:t>
      </w:r>
    </w:p>
    <w:p>
      <w:pPr>
        <w:spacing w:before="120" w:after="120"/>
        <w:jc w:val="center"/>
      </w:pPr>
      <w:r>
        <w:rPr>
          <w:rFonts w:ascii="Cambria Math" w:hAnsi="Cambria Math"/>
          <w:i/>
          <w:sz w:val="24"/>
        </w:rPr>
        <w:t>t = β̂ / ee(β̂) = −0.87 / 0.12 = −7.25</w:t>
      </w:r>
    </w:p>
    <w:p>
      <w:pPr>
        <w:spacing w:before="120" w:after="120"/>
        <w:jc w:val="center"/>
      </w:pPr>
      <w:r>
        <w:rPr>
          <w:rFonts w:ascii="Cambria Math" w:hAnsi="Cambria Math"/>
          <w:i/>
          <w:sz w:val="24"/>
        </w:rPr>
        <w:t>IC₉₅% = −0.87 ± 1.96 × 0.12 = [−1.105 ; −0.635]</w:t>
      </w:r>
    </w:p>
    <w:p>
      <w:r>
        <w:rPr>
          <w:b/>
        </w:rPr>
        <w:t xml:space="preserve">Conclusión: </w:t>
      </w:r>
      <w:r>
        <w:t>como |t| = 7.25 es mucho mayor que 1.96 (y el intervalo de confianza no contiene al cero), β̂ es altamente significativo al 5%, e incluso al 1% y al 0.1%. El efecto de la tasa de EE.UU. sobre el precio del bono emergente no es producto del azar.</w:t>
      </w:r>
    </w:p>
    <w:p/>
    <w:p>
      <w:pPr>
        <w:pStyle w:val="Heading2"/>
      </w:pPr>
      <w:r>
        <w:t>Ejercicio 2 — Prueba ARCH y motivación del modelo GARCH</w:t>
      </w:r>
    </w:p>
    <w:p>
      <w:pPr>
        <w:spacing w:before="160" w:after="80"/>
      </w:pPr>
      <w:r>
        <w:rPr>
          <w:b/>
          <w:color w:val="1F4E79"/>
          <w:sz w:val="22"/>
        </w:rPr>
        <w:t>(a) Hipótesis nula de la prueba LM-ARCH y conclusión</w:t>
      </w:r>
    </w:p>
    <w:p>
      <w:r>
        <w:rPr>
          <w:b w:val="0"/>
          <w:i w:val="0"/>
          <w:sz w:val="22"/>
        </w:rPr>
        <w:t>La prueba LM-ARCH plantea:</w:t>
      </w:r>
    </w:p>
    <w:p>
      <w:r>
        <w:rPr>
          <w:b/>
        </w:rPr>
        <w:t xml:space="preserve">H₀: </w:t>
      </w:r>
      <w:r>
        <w:t>α₁ = α₂ = ... = α_q = 0 (no hay efecto ARCH; la varianza condicional es constante).</w:t>
      </w:r>
    </w:p>
    <w:p>
      <w:r>
        <w:rPr>
          <w:b/>
        </w:rPr>
        <w:t xml:space="preserve">H₁: </w:t>
      </w:r>
      <w:r>
        <w:t>al menos un α_i ≠ 0 (hay heterocedasticidad condicional).</w:t>
      </w:r>
    </w:p>
    <w:p>
      <w:r>
        <w:rPr>
          <w:b w:val="0"/>
          <w:i w:val="0"/>
          <w:sz w:val="22"/>
        </w:rPr>
        <w:t>Se construye regresando los rendimientos al cuadrado sobre sus rezagos. El estadístico LM = n·R² sigue una distribución chi-cuadrada con q grados de libertad.</w:t>
      </w:r>
    </w:p>
    <w:p>
      <w:r>
        <w:rPr>
          <w:b/>
        </w:rPr>
        <w:t xml:space="preserve">Resultados: </w:t>
      </w:r>
      <w:r>
        <w:t>LM(5) = 47.83 con p ≈ 0.000004; LM(10) = 62.11 con p ≈ 0. En ambos casos se rechaza H₀ con contundencia. Existe efecto ARCH claro en los datos, lo que justifica modelar la varianza condicional con un modelo de la familia GARCH.</w:t>
      </w:r>
    </w:p>
    <w:p>
      <w:pPr>
        <w:spacing w:before="160" w:after="80"/>
      </w:pPr>
      <w:r>
        <w:rPr>
          <w:b/>
          <w:color w:val="1F4E79"/>
          <w:sz w:val="22"/>
        </w:rPr>
        <w:t>(b) Si r_t es ARCH(1), entonces r_t² sigue un AR(1) en covarianza</w:t>
      </w:r>
    </w:p>
    <w:p>
      <w:r>
        <w:rPr>
          <w:b w:val="0"/>
          <w:i w:val="0"/>
          <w:sz w:val="22"/>
        </w:rPr>
        <w:t>Partimos del modelo ARCH(1):</w:t>
      </w:r>
    </w:p>
    <w:p>
      <w:pPr>
        <w:spacing w:before="120" w:after="120"/>
        <w:jc w:val="center"/>
      </w:pPr>
      <w:r>
        <w:rPr>
          <w:rFonts w:ascii="Cambria Math" w:hAnsi="Cambria Math"/>
          <w:i/>
          <w:sz w:val="24"/>
        </w:rPr>
        <w:t>r_t = σ_t z_t,   con z_t i.i.d.(0,1) y σ_t² = ω + α r_{t-1}²</w:t>
      </w:r>
    </w:p>
    <w:p>
      <w:r>
        <w:rPr>
          <w:b w:val="0"/>
          <w:i w:val="0"/>
          <w:sz w:val="22"/>
        </w:rPr>
        <w:t>Definimos u_t = r_t² − σ_t² = σ_t² (z_t² − 1).</w:t>
      </w:r>
    </w:p>
    <w:p>
      <w:r>
        <w:rPr>
          <w:b w:val="0"/>
          <w:i w:val="0"/>
          <w:sz w:val="22"/>
        </w:rPr>
        <w:t>Paso 1: Verificamos que u_t es ruido blanco.</w:t>
      </w:r>
    </w:p>
    <w:p>
      <w:pPr>
        <w:pStyle w:val="ListBullet"/>
      </w:pPr>
      <w:r>
        <w:t>E[u_t] = E[σ_t²] · E[z_t² − 1] = E[σ_t²] · 0 = 0, porque z_t es independiente de σ_t y E[z_t²] = 1.</w:t>
      </w:r>
    </w:p>
    <w:p>
      <w:pPr>
        <w:pStyle w:val="ListBullet"/>
      </w:pPr>
      <w:r>
        <w:t>Cov(u_t, u_{t-k}) = 0 para k ≥ 1, porque los z_t² − 1 son i.i.d. y por tanto no correlacionados.</w:t>
      </w:r>
    </w:p>
    <w:p>
      <w:r>
        <w:rPr>
          <w:b w:val="0"/>
          <w:i w:val="0"/>
          <w:sz w:val="22"/>
        </w:rPr>
        <w:t>Paso 2: Reescribimos r_t².</w:t>
      </w:r>
    </w:p>
    <w:p>
      <w:pPr>
        <w:spacing w:before="120" w:after="120"/>
        <w:jc w:val="center"/>
      </w:pPr>
      <w:r>
        <w:rPr>
          <w:rFonts w:ascii="Cambria Math" w:hAnsi="Cambria Math"/>
          <w:i/>
          <w:sz w:val="24"/>
        </w:rPr>
        <w:t>r_t² = σ_t² + u_t = ω + α r_{t-1}² + u_t</w:t>
      </w:r>
    </w:p>
    <w:p>
      <w:r>
        <w:t xml:space="preserve">Esta es exactamente la forma de un AR(1) en r_t² con coeficiente α e innovación u_t (ruido blanco). </w:t>
      </w:r>
      <w:r>
        <w:rPr>
          <w:b/>
        </w:rPr>
        <w:t>Q.E.D.</w:t>
      </w:r>
    </w:p>
    <w:p>
      <w:pPr>
        <w:spacing w:before="160" w:after="80"/>
      </w:pPr>
      <w:r>
        <w:rPr>
          <w:b/>
          <w:color w:val="1F4E79"/>
          <w:sz w:val="22"/>
        </w:rPr>
        <w:t>(c) Limitaciones de modelar r_t² con un AR(1) en lugar de GARCH</w:t>
      </w:r>
    </w:p>
    <w:p>
      <w:pPr>
        <w:pStyle w:val="ListNumber"/>
      </w:pPr>
      <w:r>
        <w:t>Posible varianza negativa. Un AR(1) puede generar predicciones negativas para r_t², lo cual es absurdo: la varianza no puede ser negativa.</w:t>
      </w:r>
    </w:p>
    <w:p>
      <w:pPr>
        <w:pStyle w:val="ListNumber"/>
      </w:pPr>
      <w:r>
        <w:t>Errores no Gaussianos y heterocedásticos. El error u_t = σ_t²(z_t² − 1) es asimétrico y heterocedástico, lo que viola los supuestos de mínimos cuadrados ordinarios y produce errores estándar incorrectos.</w:t>
      </w:r>
    </w:p>
    <w:p>
      <w:pPr>
        <w:pStyle w:val="ListNumber"/>
      </w:pPr>
      <w:r>
        <w:t>Inferencia inválida. Las pruebas t y F estándar no aplican porque las condiciones de regularidad no se cumplen.</w:t>
      </w:r>
    </w:p>
    <w:p>
      <w:pPr>
        <w:pStyle w:val="ListNumber"/>
      </w:pPr>
      <w:r>
        <w:t>No generaliza. Esta representación no se extiende de forma natural a GARCH(p,q), EGARCH, GJR-GARCH, etc., que se construyen sobre la ecuación explícita de la varianza condicional.</w:t>
      </w:r>
    </w:p>
    <w:p>
      <w:pPr>
        <w:pStyle w:val="ListNumber"/>
      </w:pPr>
      <w:r>
        <w:t>Pronósticos pobres. El AR(1) en cuadrados no aprovecha la estructura de momentos superiores que sí captura un GARCH bien especificado.</w:t>
      </w:r>
    </w:p>
    <w:p>
      <w:pPr>
        <w:spacing w:before="160" w:after="80"/>
      </w:pPr>
      <w:r>
        <w:rPr>
          <w:b/>
          <w:color w:val="1F4E79"/>
          <w:sz w:val="22"/>
        </w:rPr>
        <w:t>(d) ¿Por qué la autocorrelación en r_t² pero no en r_t es heterocedasticidad y no correlación serial en la media?</w:t>
      </w:r>
    </w:p>
    <w:p>
      <w:r>
        <w:rPr>
          <w:b w:val="0"/>
          <w:i w:val="0"/>
          <w:sz w:val="22"/>
        </w:rPr>
        <w:t>Son dos fenómenos distintos:</w:t>
      </w:r>
    </w:p>
    <w:p>
      <w:pPr>
        <w:pStyle w:val="ListBullet"/>
      </w:pPr>
      <w:r>
        <w:t>Autocorrelación en r_t significa que el signo y la magnitud del rendimiento de hoy se pueden predecir parcialmente desde el pasado. En mercados eficientes, esto NO debería ocurrir.</w:t>
      </w:r>
    </w:p>
    <w:p>
      <w:pPr>
        <w:pStyle w:val="ListBullet"/>
      </w:pPr>
      <w:r>
        <w:t>Autocorrelación en r_t² significa que el tamaño absoluto (la magnitud al cuadrado, sin importar el signo) del rendimiento de hoy se puede predecir desde el pasado.</w:t>
      </w:r>
    </w:p>
    <w:p>
      <w:r>
        <w:rPr>
          <w:b w:val="0"/>
          <w:i w:val="0"/>
          <w:sz w:val="22"/>
        </w:rPr>
        <w:t>Cuando solo hay correlación en r_t², la media condicional E[r_t | F_{t-1}] sigue siendo constante (típicamente cero), pero la varianza condicional Var(r_t | F_{t-1}) = σ_t² depende del pasado. Esto es exactamente la definición de heterocedasticidad condicional. En términos prácticos: no podemos predecir hacia dónde se moverá el mercado mañana, pero sí podemos predecir qué tan agitado estará.</w:t>
      </w:r>
    </w:p>
    <w:p/>
    <w:p>
      <w:pPr>
        <w:pStyle w:val="Heading2"/>
      </w:pPr>
      <w:r>
        <w:t>Ejercicio 3 — Estimación e interpretación del GARCH(1,1)</w:t>
      </w:r>
    </w:p>
    <w:p>
      <w:r>
        <w:rPr>
          <w:b w:val="0"/>
          <w:i w:val="0"/>
          <w:sz w:val="22"/>
        </w:rPr>
        <w:t>Modelo: r_t = μ + ε_t, ε_t = σ_t z_t, z_t ~ N(0,1), σ_t² = ω + α ε_{t-1}² + β σ_{t-1}².</w:t>
      </w:r>
    </w:p>
    <w:p>
      <w:r>
        <w:rPr>
          <w:b w:val="0"/>
          <w:i w:val="0"/>
          <w:sz w:val="22"/>
        </w:rPr>
        <w:t>Parámetros estimados: μ̂ = 0.0412, ω̂ = 0.0285, α̂ = 0.083, β̂ = 0.901.</w:t>
      </w:r>
    </w:p>
    <w:p>
      <w:pPr>
        <w:spacing w:before="160" w:after="80"/>
      </w:pPr>
      <w:r>
        <w:rPr>
          <w:b/>
          <w:color w:val="1F4E79"/>
          <w:sz w:val="22"/>
        </w:rPr>
        <w:t>(a) Condición de estacionariedad en covarianza</w:t>
      </w:r>
    </w:p>
    <w:p>
      <w:r>
        <w:rPr>
          <w:b w:val="0"/>
          <w:i w:val="0"/>
          <w:sz w:val="22"/>
        </w:rPr>
        <w:t>La condición es α + β &lt; 1, junto con ω &gt; 0, α ≥ 0, β ≥ 0.</w:t>
      </w:r>
    </w:p>
    <w:p>
      <w:pPr>
        <w:spacing w:before="120" w:after="120"/>
        <w:jc w:val="center"/>
      </w:pPr>
      <w:r>
        <w:rPr>
          <w:rFonts w:ascii="Cambria Math" w:hAnsi="Cambria Math"/>
          <w:i/>
          <w:sz w:val="24"/>
        </w:rPr>
        <w:t>α̂ + β̂ = 0.083 + 0.901 = 0.984 &lt; 1   ✓</w:t>
      </w:r>
    </w:p>
    <w:p>
      <w:r>
        <w:rPr>
          <w:b w:val="0"/>
          <w:i w:val="0"/>
          <w:sz w:val="22"/>
        </w:rPr>
        <w:t>Se cumple. Además ω̂ = 0.0285 &gt; 0, α̂ ≥ 0 y β̂ ≥ 0. El proceso es estacionario en covarianza, lo que garantiza que la varianza incondicional existe y es finita.</w:t>
      </w:r>
    </w:p>
    <w:p>
      <w:pPr>
        <w:spacing w:before="160" w:after="80"/>
      </w:pPr>
      <w:r>
        <w:rPr>
          <w:b/>
          <w:color w:val="1F4E79"/>
          <w:sz w:val="22"/>
        </w:rPr>
        <w:t>(b) Varianza incondicional anualizada</w:t>
      </w:r>
    </w:p>
    <w:p>
      <w:pPr>
        <w:spacing w:before="120" w:after="120"/>
        <w:jc w:val="center"/>
      </w:pPr>
      <w:r>
        <w:rPr>
          <w:rFonts w:ascii="Cambria Math" w:hAnsi="Cambria Math"/>
          <w:i/>
          <w:sz w:val="24"/>
        </w:rPr>
        <w:t>σ̄² = ω / (1 − α − β) = 0.0285 / 0.016 = 1.78125  (en %²)</w:t>
      </w:r>
    </w:p>
    <w:p>
      <w:pPr>
        <w:spacing w:before="120" w:after="120"/>
        <w:jc w:val="center"/>
      </w:pPr>
      <w:r>
        <w:rPr>
          <w:rFonts w:ascii="Cambria Math" w:hAnsi="Cambria Math"/>
          <w:i/>
          <w:sz w:val="24"/>
        </w:rPr>
        <w:t>σ̄ = √1.78125 ≈ 1.3346 %  (volatilidad diaria)</w:t>
      </w:r>
    </w:p>
    <w:p>
      <w:pPr>
        <w:spacing w:before="120" w:after="120"/>
        <w:jc w:val="center"/>
      </w:pPr>
      <w:r>
        <w:rPr>
          <w:rFonts w:ascii="Cambria Math" w:hAnsi="Cambria Math"/>
          <w:i/>
          <w:sz w:val="24"/>
        </w:rPr>
        <w:t>σ̄_anual = 1.3346 × √252 ≈ 21.18 %</w:t>
      </w:r>
    </w:p>
    <w:p>
      <w:r>
        <w:rPr>
          <w:b w:val="0"/>
          <w:i w:val="0"/>
          <w:sz w:val="22"/>
        </w:rPr>
        <w:t>Esto significa que la acción tiene una volatilidad de largo plazo de aproximadamente 21% anual (equivalente a ±1.33% en un día típico). Es un nivel realista para una acción individual de mediana capitalización.</w:t>
      </w:r>
    </w:p>
    <w:p>
      <w:pPr>
        <w:spacing w:before="160" w:after="80"/>
      </w:pPr>
      <w:r>
        <w:rPr>
          <w:b/>
          <w:color w:val="1F4E79"/>
          <w:sz w:val="22"/>
        </w:rPr>
        <w:t>(c) Predicción de la varianza a un paso</w:t>
      </w:r>
    </w:p>
    <w:p>
      <w:r>
        <w:rPr>
          <w:b w:val="0"/>
          <w:i w:val="0"/>
          <w:sz w:val="22"/>
        </w:rPr>
        <w:t>Dados ε_t = −2.5% y σ̂_t = 1.2%:</w:t>
      </w:r>
    </w:p>
    <w:p>
      <w:pPr>
        <w:spacing w:before="120" w:after="120"/>
        <w:jc w:val="center"/>
      </w:pPr>
      <w:r>
        <w:rPr>
          <w:rFonts w:ascii="Cambria Math" w:hAnsi="Cambria Math"/>
          <w:i/>
          <w:sz w:val="24"/>
        </w:rPr>
        <w:t>σ̂²_{t+1} = ω + α ε_t² + β σ_t² = 0.0285 + 0.083(6.25) + 0.901(1.44)</w:t>
      </w:r>
    </w:p>
    <w:p>
      <w:pPr>
        <w:spacing w:before="120" w:after="120"/>
        <w:jc w:val="center"/>
      </w:pPr>
      <w:r>
        <w:rPr>
          <w:rFonts w:ascii="Cambria Math" w:hAnsi="Cambria Math"/>
          <w:i/>
          <w:sz w:val="24"/>
        </w:rPr>
        <w:t>σ̂²_{t+1} = 0.0285 + 0.51875 + 1.29744 ≈ 1.8447  →  σ̂_{t+1} ≈ 1.358 %</w:t>
      </w:r>
    </w:p>
    <w:p>
      <w:r>
        <w:rPr>
          <w:b w:val="0"/>
          <w:i w:val="0"/>
          <w:sz w:val="22"/>
        </w:rPr>
        <w:t>La volatilidad esperada para mañana sube respecto a hoy porque el shock de hoy (−2.5%) fue grande en magnitud, y el modelo GARCH transmite ese tamaño hacia adelante.</w:t>
      </w:r>
    </w:p>
    <w:p>
      <w:pPr>
        <w:spacing w:before="160" w:after="80"/>
      </w:pPr>
      <w:r>
        <w:rPr>
          <w:b/>
          <w:color w:val="1F4E79"/>
          <w:sz w:val="22"/>
        </w:rPr>
        <w:t>(d) Predicción a h pasos y reversión a la media</w:t>
      </w:r>
    </w:p>
    <w:p>
      <w:r>
        <w:rPr>
          <w:b w:val="0"/>
          <w:i w:val="0"/>
          <w:sz w:val="22"/>
        </w:rPr>
        <w:t>Por iteración de la ecuación GARCH se obtiene la fórmula multi-paso:</w:t>
      </w:r>
    </w:p>
    <w:p>
      <w:pPr>
        <w:spacing w:before="120" w:after="120"/>
        <w:jc w:val="center"/>
      </w:pPr>
      <w:r>
        <w:rPr>
          <w:rFonts w:ascii="Cambria Math" w:hAnsi="Cambria Math"/>
          <w:i/>
          <w:sz w:val="24"/>
        </w:rPr>
        <w:t>E_t[σ²_{t+h}] = σ̄² + (α + β)^(h−1) · (σ²_{t+1} − σ̄²)</w:t>
      </w:r>
    </w:p>
    <w:p>
      <w:r>
        <w:rPr>
          <w:b w:val="0"/>
          <w:i w:val="0"/>
          <w:sz w:val="22"/>
        </w:rPr>
        <w:t>Interpretación con α + β ≈ 0.98:</w:t>
      </w:r>
    </w:p>
    <w:p>
      <w:pPr>
        <w:pStyle w:val="ListBullet"/>
      </w:pPr>
      <w:r>
        <w:t>La volatilidad esperada decae geométricamente hacia su nivel de largo plazo σ̄².</w:t>
      </w:r>
    </w:p>
    <w:p>
      <w:pPr>
        <w:pStyle w:val="ListBullet"/>
      </w:pPr>
      <w:r>
        <w:t>La velocidad de decaimiento es muy lenta. La vida media de un shock es h* = ln(0.5) / ln(α+β) = ln(0.5) / ln(0.98) ≈ 34 días.</w:t>
      </w:r>
    </w:p>
    <w:p>
      <w:pPr>
        <w:pStyle w:val="ListBullet"/>
      </w:pPr>
      <w:r>
        <w:t>Es decir, después de un shock, se necesitan aproximadamente 34 días para que la mitad del impacto se disipe.</w:t>
      </w:r>
    </w:p>
    <w:p>
      <w:pPr>
        <w:pStyle w:val="ListBullet"/>
      </w:pPr>
      <w:r>
        <w:t>Esto explica por qué, después de eventos como crisis financieras o crashes, la volatilidad alta permanece elevada durante semanas o meses antes de regresar a niveles normales.</w:t>
      </w:r>
    </w:p>
    <w:p/>
    <w:p>
      <w:pPr>
        <w:pStyle w:val="Heading2"/>
      </w:pPr>
      <w:r>
        <w:t>Ejercicio 4 — GJR-GARCH y efecto apalancamiento</w:t>
      </w:r>
    </w:p>
    <w:p>
      <w:r>
        <w:rPr>
          <w:b w:val="0"/>
          <w:i w:val="0"/>
          <w:sz w:val="22"/>
        </w:rPr>
        <w:t>Modelo: σ_t² = ω + α ε_{t-1}² + λ ε_{t-1}² · 1{ε_{t-1} &lt; 0} + β σ_{t-1}².</w:t>
      </w:r>
    </w:p>
    <w:p>
      <w:r>
        <w:rPr>
          <w:b w:val="0"/>
          <w:i w:val="0"/>
          <w:sz w:val="22"/>
        </w:rPr>
        <w:t>Parámetros para el S&amp;P 500: ω̂ = 0.021, α̂ = 0.042, λ̂ = 0.078, β̂ = 0.912.</w:t>
      </w:r>
    </w:p>
    <w:p>
      <w:pPr>
        <w:spacing w:before="160" w:after="80"/>
      </w:pPr>
      <w:r>
        <w:rPr>
          <w:b/>
          <w:color w:val="1F4E79"/>
          <w:sz w:val="22"/>
        </w:rPr>
        <w:t>(a) Interpretación de λ̂</w:t>
      </w:r>
    </w:p>
    <w:p>
      <w:r>
        <w:rPr>
          <w:b w:val="0"/>
          <w:i w:val="0"/>
          <w:sz w:val="22"/>
        </w:rPr>
        <w:t>El coeficiente ARCH efectivo depende del signo del shock:</w:t>
      </w:r>
    </w:p>
    <w:p>
      <w:pPr>
        <w:pStyle w:val="ListBullet"/>
      </w:pPr>
      <w:r>
        <w:t>Shock positivo (ε_{t-1} ≥ 0): coeficiente = α̂ = 0.042.</w:t>
      </w:r>
    </w:p>
    <w:p>
      <w:pPr>
        <w:pStyle w:val="ListBullet"/>
      </w:pPr>
      <w:r>
        <w:t>Shock negativo (ε_{t-1} &lt; 0): coeficiente = α̂ + λ̂ = 0.042 + 0.078 = 0.120.</w:t>
      </w:r>
    </w:p>
    <w:p>
      <w:r>
        <w:rPr>
          <w:b w:val="0"/>
          <w:i w:val="0"/>
          <w:sz w:val="22"/>
        </w:rPr>
        <w:t>La razón de impacto es 0.120 / 0.042 = 2.857. Una noticia negativa de la misma magnitud que una positiva incrementa la volatilidad futura 2.86 veces más (un 186% adicional). Esto confirma el efecto apalancamiento: las caídas amplifican la volatilidad mucho más que las subidas equivalentes.</w:t>
      </w:r>
    </w:p>
    <w:p>
      <w:pPr>
        <w:spacing w:before="160" w:after="80"/>
      </w:pPr>
      <w:r>
        <w:rPr>
          <w:b/>
          <w:color w:val="1F4E79"/>
          <w:sz w:val="22"/>
        </w:rPr>
        <w:t>(b) Curva de Impacto de Noticias (NIC) comparada</w:t>
      </w:r>
    </w:p>
    <w:p>
      <w:r>
        <w:rPr>
          <w:b w:val="0"/>
          <w:i w:val="0"/>
          <w:sz w:val="22"/>
        </w:rPr>
        <w:t>Fijando σ²_{t-1} = σ̄², la parte variable de σ_t² queda en función solo del shock ε_{t-1}:</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
              <w:rPr>
                <w:b/>
                <w:sz w:val="20"/>
              </w:rPr>
              <w:t>ε</w:t>
            </w:r>
          </w:p>
        </w:tc>
        <w:tc>
          <w:tcPr>
            <w:tcW w:type="dxa" w:w="3135"/>
          </w:tcPr>
          <w:p>
            <w:r/>
            <w:r>
              <w:rPr>
                <w:b/>
                <w:sz w:val="20"/>
              </w:rPr>
              <w:t>GJR: αε² + λε²·1{ε&lt;0}</w:t>
            </w:r>
          </w:p>
        </w:tc>
        <w:tc>
          <w:tcPr>
            <w:tcW w:type="dxa" w:w="3135"/>
          </w:tcPr>
          <w:p>
            <w:r/>
            <w:r>
              <w:rPr>
                <w:b/>
                <w:sz w:val="20"/>
              </w:rPr>
              <w:t>GARCH simétrico: αε²</w:t>
            </w:r>
          </w:p>
        </w:tc>
      </w:tr>
      <w:tr>
        <w:tc>
          <w:tcPr>
            <w:tcW w:type="dxa" w:w="3135"/>
          </w:tcPr>
          <w:p>
            <w:r/>
            <w:r>
              <w:rPr>
                <w:sz w:val="20"/>
              </w:rPr>
              <w:t>−3</w:t>
            </w:r>
          </w:p>
        </w:tc>
        <w:tc>
          <w:tcPr>
            <w:tcW w:type="dxa" w:w="3135"/>
          </w:tcPr>
          <w:p>
            <w:r/>
            <w:r>
              <w:rPr>
                <w:sz w:val="20"/>
              </w:rPr>
              <w:t>0.042(9) + 0.078(9) = 1.080</w:t>
            </w:r>
          </w:p>
        </w:tc>
        <w:tc>
          <w:tcPr>
            <w:tcW w:type="dxa" w:w="3135"/>
          </w:tcPr>
          <w:p>
            <w:r/>
            <w:r>
              <w:rPr>
                <w:sz w:val="20"/>
              </w:rPr>
              <w:t>0.378</w:t>
            </w:r>
          </w:p>
        </w:tc>
      </w:tr>
      <w:tr>
        <w:tc>
          <w:tcPr>
            <w:tcW w:type="dxa" w:w="3135"/>
          </w:tcPr>
          <w:p>
            <w:r/>
            <w:r>
              <w:rPr>
                <w:sz w:val="20"/>
              </w:rPr>
              <w:t>−2</w:t>
            </w:r>
          </w:p>
        </w:tc>
        <w:tc>
          <w:tcPr>
            <w:tcW w:type="dxa" w:w="3135"/>
          </w:tcPr>
          <w:p>
            <w:r/>
            <w:r>
              <w:rPr>
                <w:sz w:val="20"/>
              </w:rPr>
              <w:t>0.042(4) + 0.078(4) = 0.480</w:t>
            </w:r>
          </w:p>
        </w:tc>
        <w:tc>
          <w:tcPr>
            <w:tcW w:type="dxa" w:w="3135"/>
          </w:tcPr>
          <w:p>
            <w:r/>
            <w:r>
              <w:rPr>
                <w:sz w:val="20"/>
              </w:rPr>
              <w:t>0.168</w:t>
            </w:r>
          </w:p>
        </w:tc>
      </w:tr>
      <w:tr>
        <w:tc>
          <w:tcPr>
            <w:tcW w:type="dxa" w:w="3135"/>
          </w:tcPr>
          <w:p>
            <w:r/>
            <w:r>
              <w:rPr>
                <w:sz w:val="20"/>
              </w:rPr>
              <w:t>−1</w:t>
            </w:r>
          </w:p>
        </w:tc>
        <w:tc>
          <w:tcPr>
            <w:tcW w:type="dxa" w:w="3135"/>
          </w:tcPr>
          <w:p>
            <w:r/>
            <w:r>
              <w:rPr>
                <w:sz w:val="20"/>
              </w:rPr>
              <w:t>0.042(1) + 0.078(1) = 0.120</w:t>
            </w:r>
          </w:p>
        </w:tc>
        <w:tc>
          <w:tcPr>
            <w:tcW w:type="dxa" w:w="3135"/>
          </w:tcPr>
          <w:p>
            <w:r/>
            <w:r>
              <w:rPr>
                <w:sz w:val="20"/>
              </w:rPr>
              <w:t>0.042</w:t>
            </w:r>
          </w:p>
        </w:tc>
      </w:tr>
      <w:tr>
        <w:tc>
          <w:tcPr>
            <w:tcW w:type="dxa" w:w="3135"/>
          </w:tcPr>
          <w:p>
            <w:r/>
            <w:r>
              <w:rPr>
                <w:sz w:val="20"/>
              </w:rPr>
              <w:t>0</w:t>
            </w:r>
          </w:p>
        </w:tc>
        <w:tc>
          <w:tcPr>
            <w:tcW w:type="dxa" w:w="3135"/>
          </w:tcPr>
          <w:p>
            <w:r/>
            <w:r>
              <w:rPr>
                <w:sz w:val="20"/>
              </w:rPr>
              <w:t>0</w:t>
            </w:r>
          </w:p>
        </w:tc>
        <w:tc>
          <w:tcPr>
            <w:tcW w:type="dxa" w:w="3135"/>
          </w:tcPr>
          <w:p>
            <w:r/>
            <w:r>
              <w:rPr>
                <w:sz w:val="20"/>
              </w:rPr>
              <w:t>0</w:t>
            </w:r>
          </w:p>
        </w:tc>
      </w:tr>
      <w:tr>
        <w:tc>
          <w:tcPr>
            <w:tcW w:type="dxa" w:w="3135"/>
          </w:tcPr>
          <w:p>
            <w:r/>
            <w:r>
              <w:rPr>
                <w:sz w:val="20"/>
              </w:rPr>
              <w:t>+1</w:t>
            </w:r>
          </w:p>
        </w:tc>
        <w:tc>
          <w:tcPr>
            <w:tcW w:type="dxa" w:w="3135"/>
          </w:tcPr>
          <w:p>
            <w:r/>
            <w:r>
              <w:rPr>
                <w:sz w:val="20"/>
              </w:rPr>
              <w:t>0.042</w:t>
            </w:r>
          </w:p>
        </w:tc>
        <w:tc>
          <w:tcPr>
            <w:tcW w:type="dxa" w:w="3135"/>
          </w:tcPr>
          <w:p>
            <w:r/>
            <w:r>
              <w:rPr>
                <w:sz w:val="20"/>
              </w:rPr>
              <w:t>0.042</w:t>
            </w:r>
          </w:p>
        </w:tc>
      </w:tr>
      <w:tr>
        <w:tc>
          <w:tcPr>
            <w:tcW w:type="dxa" w:w="3135"/>
          </w:tcPr>
          <w:p>
            <w:r/>
            <w:r>
              <w:rPr>
                <w:sz w:val="20"/>
              </w:rPr>
              <w:t>+2</w:t>
            </w:r>
          </w:p>
        </w:tc>
        <w:tc>
          <w:tcPr>
            <w:tcW w:type="dxa" w:w="3135"/>
          </w:tcPr>
          <w:p>
            <w:r/>
            <w:r>
              <w:rPr>
                <w:sz w:val="20"/>
              </w:rPr>
              <w:t>0.168</w:t>
            </w:r>
          </w:p>
        </w:tc>
        <w:tc>
          <w:tcPr>
            <w:tcW w:type="dxa" w:w="3135"/>
          </w:tcPr>
          <w:p>
            <w:r/>
            <w:r>
              <w:rPr>
                <w:sz w:val="20"/>
              </w:rPr>
              <w:t>0.168</w:t>
            </w:r>
          </w:p>
        </w:tc>
      </w:tr>
      <w:tr>
        <w:tc>
          <w:tcPr>
            <w:tcW w:type="dxa" w:w="3135"/>
          </w:tcPr>
          <w:p>
            <w:r/>
            <w:r>
              <w:rPr>
                <w:sz w:val="20"/>
              </w:rPr>
              <w:t>+3</w:t>
            </w:r>
          </w:p>
        </w:tc>
        <w:tc>
          <w:tcPr>
            <w:tcW w:type="dxa" w:w="3135"/>
          </w:tcPr>
          <w:p>
            <w:r/>
            <w:r>
              <w:rPr>
                <w:sz w:val="20"/>
              </w:rPr>
              <w:t>0.378</w:t>
            </w:r>
          </w:p>
        </w:tc>
        <w:tc>
          <w:tcPr>
            <w:tcW w:type="dxa" w:w="3135"/>
          </w:tcPr>
          <w:p>
            <w:r/>
            <w:r>
              <w:rPr>
                <w:sz w:val="20"/>
              </w:rPr>
              <w:t>0.378</w:t>
            </w:r>
          </w:p>
        </w:tc>
      </w:tr>
    </w:tbl>
    <w:p>
      <w:r>
        <w:rPr>
          <w:b w:val="0"/>
          <w:i w:val="0"/>
          <w:sz w:val="22"/>
        </w:rPr>
        <w:t>La NIC del GARCH es simétrica (parábola centrada en cero). La NIC del GJR es asimétrica: la rama izquierda (shocks negativos) es notablemente más pronunciada que la derecha. Para shocks positivos ambas curvas coinciden.</w:t>
      </w:r>
    </w:p>
    <w:p>
      <w:pPr>
        <w:spacing w:before="160" w:after="80"/>
      </w:pPr>
      <w:r>
        <w:rPr>
          <w:b/>
          <w:color w:val="1F4E79"/>
          <w:sz w:val="22"/>
        </w:rPr>
        <w:t>(c) Condición de estacionariedad en covarianza del GJR-GARCH</w:t>
      </w:r>
    </w:p>
    <w:p>
      <w:r>
        <w:rPr>
          <w:b w:val="0"/>
          <w:i w:val="0"/>
          <w:sz w:val="22"/>
        </w:rPr>
        <w:t>Asumiendo innovaciones simétricas con Pr(ε &lt; 0) = 1/2, la condición es:</w:t>
      </w:r>
    </w:p>
    <w:p>
      <w:pPr>
        <w:spacing w:before="120" w:after="120"/>
        <w:jc w:val="center"/>
      </w:pPr>
      <w:r>
        <w:rPr>
          <w:rFonts w:ascii="Cambria Math" w:hAnsi="Cambria Math"/>
          <w:i/>
          <w:sz w:val="24"/>
        </w:rPr>
        <w:t>α + λ/2 + β &lt; 1</w:t>
      </w:r>
    </w:p>
    <w:p>
      <w:pPr>
        <w:spacing w:before="120" w:after="120"/>
        <w:jc w:val="center"/>
      </w:pPr>
      <w:r>
        <w:rPr>
          <w:rFonts w:ascii="Cambria Math" w:hAnsi="Cambria Math"/>
          <w:i/>
          <w:sz w:val="24"/>
        </w:rPr>
        <w:t>0.042 + 0.039 + 0.912 = 0.993 &lt; 1   ✓</w:t>
      </w:r>
    </w:p>
    <w:p>
      <w:r>
        <w:rPr>
          <w:b w:val="0"/>
          <w:i w:val="0"/>
          <w:sz w:val="22"/>
        </w:rPr>
        <w:t>Se satisface, aunque con muy poco margen (persistencia alta, típica de índices accionarios).</w:t>
      </w:r>
    </w:p>
    <w:p>
      <w:pPr>
        <w:spacing w:before="160" w:after="80"/>
      </w:pPr>
      <w:r>
        <w:rPr>
          <w:b/>
          <w:color w:val="1F4E79"/>
          <w:sz w:val="22"/>
        </w:rPr>
        <w:t>(d) Relevancia para el cálculo del VaR en renta variable</w:t>
      </w:r>
    </w:p>
    <w:p>
      <w:r>
        <w:rPr>
          <w:b w:val="0"/>
          <w:i w:val="0"/>
          <w:sz w:val="22"/>
        </w:rPr>
        <w:t>El VaR mide la pérdida potencial en el peor escenario razonable. Su precisión depende de tener una buena estimación de la volatilidad condicional actual. Si el efecto apalancamiento es real y se usa un modelo simétrico (GARCH puro):</w:t>
      </w:r>
    </w:p>
    <w:p>
      <w:pPr>
        <w:pStyle w:val="ListBullet"/>
      </w:pPr>
      <w:r>
        <w:t>Se subestima la volatilidad posterior a caídas.</w:t>
      </w:r>
    </w:p>
    <w:p>
      <w:pPr>
        <w:pStyle w:val="ListBullet"/>
      </w:pPr>
      <w:r>
        <w:t>Se subestima el VaR justo cuando más se necesita (en momentos de estrés de mercado).</w:t>
      </w:r>
    </w:p>
    <w:p>
      <w:pPr>
        <w:pStyle w:val="ListBullet"/>
      </w:pPr>
      <w:r>
        <w:t>Las violaciones del VaR se acumulan en periodos turbulentos, fracasando el backtesting de Kupiec y Christoffersen.</w:t>
      </w:r>
    </w:p>
    <w:p>
      <w:pPr>
        <w:pStyle w:val="ListBullet"/>
      </w:pPr>
      <w:r>
        <w:t>Los reguladores (Basilea III) penalizan modelos que fallan el backtesting con mayor capital exigido.</w:t>
      </w:r>
    </w:p>
    <w:p>
      <w:r>
        <w:rPr>
          <w:b w:val="0"/>
          <w:i w:val="0"/>
          <w:sz w:val="22"/>
        </w:rPr>
        <w:t>Por estas razones, GJR-GARCH y EGARCH son preferidos sobre el GARCH simétrico en gestión de riesgo de portafolios accionarios.</w:t>
      </w:r>
    </w:p>
    <w:p/>
    <w:p>
      <w:pPr>
        <w:pStyle w:val="Heading2"/>
      </w:pPr>
      <w:r>
        <w:t>Ejercicio 5 — EGARCH: logaritmo de varianza y asimetría</w:t>
      </w:r>
    </w:p>
    <w:p>
      <w:r>
        <w:rPr>
          <w:b w:val="0"/>
          <w:i w:val="0"/>
          <w:sz w:val="22"/>
        </w:rPr>
        <w:t>Modelo EGARCH(1,1) de Nelson (1991):</w:t>
      </w:r>
    </w:p>
    <w:p>
      <w:pPr>
        <w:spacing w:before="120" w:after="120"/>
        <w:jc w:val="center"/>
      </w:pPr>
      <w:r>
        <w:rPr>
          <w:rFonts w:ascii="Cambria Math" w:hAnsi="Cambria Math"/>
          <w:i/>
          <w:sz w:val="24"/>
        </w:rPr>
        <w:t>log σ_t² = ω + β log σ_{t-1}² + α (|ε_{t-1}|/σ_{t-1} − √(2/π)) + γ (ε_{t-1}/σ_{t-1})</w:t>
      </w:r>
    </w:p>
    <w:p>
      <w:r>
        <w:rPr>
          <w:b w:val="0"/>
          <w:i w:val="0"/>
          <w:sz w:val="22"/>
        </w:rPr>
        <w:t>Parámetros para un ETF de bonos High Yield: ω̂ = −0.085, α̂ = 0.112, γ̂ = −0.063, β̂ = 0.979.</w:t>
      </w:r>
    </w:p>
    <w:p>
      <w:pPr>
        <w:spacing w:before="160" w:after="80"/>
      </w:pPr>
      <w:r>
        <w:rPr>
          <w:b/>
          <w:color w:val="1F4E79"/>
          <w:sz w:val="22"/>
        </w:rPr>
        <w:t>(a) Dos ventajas del EGARCH frente al GARCH estándar</w:t>
      </w:r>
    </w:p>
    <w:p>
      <w:pPr>
        <w:pStyle w:val="ListNumber"/>
      </w:pPr>
      <w:r>
        <w:t>Sin restricciones paramétricas. Como el EGARCH modela log σ_t² en lugar de σ_t², no requiere ω &gt; 0, α ≥ 0, ni β ≥ 0. Cualquier valor real produce una varianza válida (positiva por la exponencial). Esto facilita la convergencia numérica al estimar el modelo.</w:t>
      </w:r>
    </w:p>
    <w:p>
      <w:pPr>
        <w:pStyle w:val="ListNumber"/>
      </w:pPr>
      <w:r>
        <w:t>Asimetría explícita. El término γ · (ε_{t-1}/σ_{t-1}) tiene signo dependiente del signo del shock. Si γ &lt; 0, los shocks negativos elevan más la log-varianza que los positivos, capturando el efecto apalancamiento sin necesidad de un indicador adicional.</w:t>
      </w:r>
    </w:p>
    <w:p>
      <w:pPr>
        <w:spacing w:before="160" w:after="80"/>
      </w:pPr>
      <w:r>
        <w:rPr>
          <w:b/>
          <w:color w:val="1F4E79"/>
          <w:sz w:val="22"/>
        </w:rPr>
        <w:t>(b) Signo de γ̂ = −0.063</w:t>
      </w:r>
    </w:p>
    <w:p>
      <w:r>
        <w:rPr>
          <w:b w:val="0"/>
          <w:i w:val="0"/>
          <w:sz w:val="22"/>
        </w:rPr>
        <w:t>γ̂ &lt; 0 confirma el efecto apalancamiento. Tomando z_{t-1} = ε_{t-1}/σ_{t-1}:</w:t>
      </w:r>
    </w:p>
    <w:p>
      <w:pPr>
        <w:pStyle w:val="ListBullet"/>
      </w:pPr>
      <w:r>
        <w:t>Shock positivo z_{t-1} = +1: contribución γ · (+1) = −0.063 → baja la log-varianza.</w:t>
      </w:r>
    </w:p>
    <w:p>
      <w:pPr>
        <w:pStyle w:val="ListBullet"/>
      </w:pPr>
      <w:r>
        <w:t>Shock negativo z_{t-1} = −1: contribución γ · (−1) = +0.063 → sube la log-varianza.</w:t>
      </w:r>
    </w:p>
    <w:p>
      <w:r>
        <w:rPr>
          <w:b w:val="0"/>
          <w:i w:val="0"/>
          <w:sz w:val="22"/>
        </w:rPr>
        <w:t>Las noticias malas aumentan la volatilidad esperada, mientras que las buenas la disminuyen ligeramente.</w:t>
      </w:r>
    </w:p>
    <w:p>
      <w:pPr>
        <w:spacing w:before="160" w:after="80"/>
      </w:pPr>
      <w:r>
        <w:rPr>
          <w:b/>
          <w:color w:val="1F4E79"/>
          <w:sz w:val="22"/>
        </w:rPr>
        <w:t>(c) Impacto marginal de z_{t-1} = ±2 sobre log σ_t²</w:t>
      </w:r>
    </w:p>
    <w:p>
      <w:r>
        <w:rPr>
          <w:b w:val="0"/>
          <w:i w:val="0"/>
          <w:sz w:val="22"/>
        </w:rPr>
        <w:t>La contribución conjunta de los términos α y γ (excluyendo la constante y la inercia β) es g(z) = α|z| + γz.</w:t>
      </w:r>
    </w:p>
    <w:p>
      <w:pPr>
        <w:spacing w:before="120" w:after="120"/>
        <w:jc w:val="center"/>
      </w:pPr>
      <w:r>
        <w:rPr>
          <w:rFonts w:ascii="Cambria Math" w:hAnsi="Cambria Math"/>
          <w:i/>
          <w:sz w:val="24"/>
        </w:rPr>
        <w:t>g(+2) = 0.112(2) + (−0.063)(2) = 0.224 − 0.126 = 0.098</w:t>
      </w:r>
    </w:p>
    <w:p>
      <w:pPr>
        <w:spacing w:before="120" w:after="120"/>
        <w:jc w:val="center"/>
      </w:pPr>
      <w:r>
        <w:rPr>
          <w:rFonts w:ascii="Cambria Math" w:hAnsi="Cambria Math"/>
          <w:i/>
          <w:sz w:val="24"/>
        </w:rPr>
        <w:t>g(−2) = 0.112(2) + (−0.063)(−2) = 0.224 + 0.126 = 0.350</w:t>
      </w:r>
    </w:p>
    <w:p>
      <w:r>
        <w:rPr>
          <w:b w:val="0"/>
          <w:i w:val="0"/>
          <w:sz w:val="22"/>
        </w:rPr>
        <w:t>La diferencia es 0.350 − 0.098 = 0.252. La log-varianza es 0.252 unidades mayor tras un shock negativo de tamaño 2 que tras uno positivo del mismo tamaño. En términos de varianza, σ_t² es e^0.252 ≈ 1.287 veces mayor, es decir, un 29% más alta.</w:t>
      </w:r>
    </w:p>
    <w:p>
      <w:pPr>
        <w:spacing w:before="160" w:after="80"/>
      </w:pPr>
      <w:r>
        <w:rPr>
          <w:b/>
          <w:color w:val="1F4E79"/>
          <w:sz w:val="22"/>
        </w:rPr>
        <w:t>(d) ¿Es |β̂| &lt; 1 condición suficiente de estacionariedad?</w:t>
      </w:r>
    </w:p>
    <w:p>
      <w:r>
        <w:rPr>
          <w:b w:val="0"/>
          <w:i w:val="0"/>
          <w:sz w:val="22"/>
        </w:rPr>
        <w:t>La respuesta es matizada:</w:t>
      </w:r>
    </w:p>
    <w:p>
      <w:pPr>
        <w:pStyle w:val="ListBullet"/>
      </w:pPr>
      <w:r>
        <w:t>Para la estacionariedad estricta de la log-varianza: sí, |β| &lt; 1 es necesaria y suficiente (Nelson, 1991). El proceso log σ_t² admite una representación causal MA(∞) convergente.</w:t>
      </w:r>
    </w:p>
    <w:p>
      <w:pPr>
        <w:pStyle w:val="ListBullet"/>
      </w:pPr>
      <w:r>
        <w:t>Para la existencia de momentos superiores de σ_t² y r_t: NO es suficiente. Se requieren condiciones adicionales sobre los parámetros α y γ y la distribución de las innovaciones z_t. En particular, para que E[σ_t^(2m)] sea finito se necesita que E[exp(m · g(z))] sea finito, lo que limita los valores admisibles de los parámetros asimétricos.</w:t>
      </w:r>
    </w:p>
    <w:p>
      <w:r>
        <w:rPr>
          <w:b w:val="0"/>
          <w:i w:val="0"/>
          <w:sz w:val="22"/>
        </w:rPr>
        <w:t>En resumen: la afirmación del estudiante es correcta para estacionariedad débil de log σ_t², pero insuficiente si se quieren garantizar momentos finitos de la varianza.</w:t>
      </w:r>
    </w:p>
    <w:p/>
    <w:p>
      <w:pPr>
        <w:pStyle w:val="Heading2"/>
      </w:pPr>
      <w:r>
        <w:t>Ejercicio 6 — GARCH-in-Mean: prima de riesgo dinámica</w:t>
      </w:r>
    </w:p>
    <w:p>
      <w:r>
        <w:rPr>
          <w:b w:val="0"/>
          <w:i w:val="0"/>
          <w:sz w:val="22"/>
        </w:rPr>
        <w:t>Modelo: r_t = μ + δσ_t + ε_t, con σ_t² = ω + α ε_{t-1}² + β σ_{t-1}².</w:t>
      </w:r>
    </w:p>
    <w:p>
      <w:r>
        <w:rPr>
          <w:b w:val="0"/>
          <w:i w:val="0"/>
          <w:sz w:val="22"/>
        </w:rPr>
        <w:t>Estimaciones para un fondo de Private Equity (trimestral): μ̂ = 0.012, δ̂ = 0.38, ω̂ = 0.0003, α̂ = 0.11, β̂ = 0.86.</w:t>
      </w:r>
    </w:p>
    <w:p>
      <w:pPr>
        <w:spacing w:before="160" w:after="80"/>
      </w:pPr>
      <w:r>
        <w:rPr>
          <w:b/>
          <w:color w:val="1F4E79"/>
          <w:sz w:val="22"/>
        </w:rPr>
        <w:t>(a) Interpretación de δ̂ = 0.38</w:t>
      </w:r>
    </w:p>
    <w:p>
      <w:r>
        <w:rPr>
          <w:b w:val="0"/>
          <w:i w:val="0"/>
          <w:sz w:val="22"/>
        </w:rPr>
        <w:t>δ̂ mide la prima de riesgo por unidad de volatilidad. Por cada unidad adicional de desviación estándar condicional σ_t, el retorno esperado del fondo aumenta 0.38 unidades. Es decir, los inversionistas exigen mayor retorno cuando perciben mayor riesgo. Esto es coherente con la teoría de portafolios de Markowitz y el CAPM: activos más volátiles deben pagar más en equilibrio para que alguien quiera mantenerlos.</w:t>
      </w:r>
    </w:p>
    <w:p>
      <w:pPr>
        <w:spacing w:before="160" w:after="80"/>
      </w:pPr>
      <w:r>
        <w:rPr>
          <w:b/>
          <w:color w:val="1F4E79"/>
          <w:sz w:val="22"/>
        </w:rPr>
        <w:t>(b) Retorno esperado anualizado con σ̂_t = 8%</w:t>
      </w:r>
    </w:p>
    <w:p>
      <w:pPr>
        <w:spacing w:before="120" w:after="120"/>
        <w:jc w:val="center"/>
      </w:pPr>
      <w:r>
        <w:rPr>
          <w:rFonts w:ascii="Cambria Math" w:hAnsi="Cambria Math"/>
          <w:i/>
          <w:sz w:val="24"/>
        </w:rPr>
        <w:t>E_t[r_{t+1}] = μ + δ σ_t = 0.012 + 0.38 (0.08) = 0.0424</w:t>
      </w:r>
    </w:p>
    <w:p>
      <w:r>
        <w:rPr>
          <w:b w:val="0"/>
          <w:i w:val="0"/>
          <w:sz w:val="22"/>
        </w:rPr>
        <w:t>El retorno trimestral esperado es 4.24%. Anualizado por capitalización:</w:t>
      </w:r>
    </w:p>
    <w:p>
      <w:pPr>
        <w:spacing w:before="120" w:after="120"/>
        <w:jc w:val="center"/>
      </w:pPr>
      <w:r>
        <w:rPr>
          <w:rFonts w:ascii="Cambria Math" w:hAnsi="Cambria Math"/>
          <w:i/>
          <w:sz w:val="24"/>
        </w:rPr>
        <w:t>(1.0424)⁴ − 1 ≈ 18.07 %</w:t>
      </w:r>
    </w:p>
    <w:p>
      <w:r>
        <w:rPr>
          <w:b w:val="0"/>
          <w:i w:val="0"/>
          <w:sz w:val="22"/>
        </w:rPr>
        <w:t>Aproximación lineal: 4.24% × 4 = 16.96% anual.</w:t>
      </w:r>
    </w:p>
    <w:p>
      <w:pPr>
        <w:spacing w:before="160" w:after="80"/>
      </w:pPr>
      <w:r>
        <w:rPr>
          <w:b/>
          <w:color w:val="1F4E79"/>
          <w:sz w:val="22"/>
        </w:rPr>
        <w:t>(c) Varianza incondicional bajo GARCH-M</w:t>
      </w:r>
    </w:p>
    <w:p>
      <w:pPr>
        <w:spacing w:before="120" w:after="120"/>
        <w:jc w:val="center"/>
      </w:pPr>
      <w:r>
        <w:rPr>
          <w:rFonts w:ascii="Cambria Math" w:hAnsi="Cambria Math"/>
          <w:i/>
          <w:sz w:val="24"/>
        </w:rPr>
        <w:t>Var(r_t) = δ² Var(σ_t) + Var(ε_t) + 2δ Cov(σ_t, ε_t)</w:t>
      </w:r>
    </w:p>
    <w:p>
      <w:r>
        <w:rPr>
          <w:b w:val="0"/>
          <w:i w:val="0"/>
          <w:sz w:val="22"/>
        </w:rPr>
        <w:t>Como σ_t pertenece al conjunto de información F_{t-1} (es conocido antes de observar ε_t), se tiene Cov(σ_t, ε_t) = 0. Entonces:</w:t>
      </w:r>
    </w:p>
    <w:p>
      <w:pPr>
        <w:spacing w:before="120" w:after="120"/>
        <w:jc w:val="center"/>
      </w:pPr>
      <w:r>
        <w:rPr>
          <w:rFonts w:ascii="Cambria Math" w:hAnsi="Cambria Math"/>
          <w:i/>
          <w:sz w:val="24"/>
        </w:rPr>
        <w:t>Var(r_t) = δ² Var(σ_t) + σ̄²</w:t>
      </w:r>
    </w:p>
    <w:p>
      <w:r>
        <w:rPr>
          <w:b/>
        </w:rPr>
        <w:t xml:space="preserve">Diferencia con el GARCH estándar: </w:t>
      </w:r>
      <w:r>
        <w:t>en el GARCH puro Var(r_t) = σ̄². En el GARCH-M aparece un sumando adicional δ² Var(σ_t) ≥ 0, lo que hace que la varianza incondicional sea mayor. Esto refleja la variabilidad inducida por la prima de riesgo dinámica.</w:t>
      </w:r>
    </w:p>
    <w:p>
      <w:pPr>
        <w:spacing w:before="160" w:after="80"/>
      </w:pPr>
      <w:r>
        <w:rPr>
          <w:b/>
          <w:color w:val="1F4E79"/>
          <w:sz w:val="22"/>
        </w:rPr>
        <w:t>(d) Aplicación: Sharpe Ratio dinámico</w:t>
      </w:r>
    </w:p>
    <w:p>
      <w:r>
        <w:rPr>
          <w:b w:val="0"/>
          <w:i w:val="0"/>
          <w:sz w:val="22"/>
        </w:rPr>
        <w:t>A partir del modelo GARCH-M, el Sharpe Ratio condicional es:</w:t>
      </w:r>
    </w:p>
    <w:p>
      <w:pPr>
        <w:spacing w:before="120" w:after="120"/>
        <w:jc w:val="center"/>
      </w:pPr>
      <w:r>
        <w:rPr>
          <w:rFonts w:ascii="Cambria Math" w:hAnsi="Cambria Math"/>
          <w:i/>
          <w:sz w:val="24"/>
        </w:rPr>
        <w:t>SR_t = (E_t[r_{t+1}] − r_f) / σ_t = δ + (μ − r_f) / σ_t</w:t>
      </w:r>
    </w:p>
    <w:p>
      <w:r>
        <w:rPr>
          <w:b w:val="0"/>
          <w:i w:val="0"/>
          <w:sz w:val="22"/>
        </w:rPr>
        <w:t>Implicaciones prácticas:</w:t>
      </w:r>
    </w:p>
    <w:p>
      <w:pPr>
        <w:pStyle w:val="ListBullet"/>
      </w:pPr>
      <w:r>
        <w:t>Cuando σ_t es muy alto, el Sharpe Ratio converge al parámetro estructural δ = 0.38.</w:t>
      </w:r>
    </w:p>
    <w:p>
      <w:pPr>
        <w:pStyle w:val="ListBullet"/>
      </w:pPr>
      <w:r>
        <w:t>Cuando σ_t es bajo y μ &gt; r_f, el Sharpe Ratio se dispara, señalando oportunidades de market timing.</w:t>
      </w:r>
    </w:p>
    <w:p>
      <w:pPr>
        <w:pStyle w:val="ListBullet"/>
      </w:pPr>
      <w:r>
        <w:t>En la práctica, esto sustenta estrategias de volatility targeting: aumentar exposición a renta variable cuando SR_t supera un umbral, y reducirla cuando la volatilidad se dispara.</w:t>
      </w:r>
    </w:p>
    <w:p>
      <w:pPr>
        <w:pStyle w:val="ListBullet"/>
      </w:pPr>
      <w:r>
        <w:t>Para un fondo de mercados emergentes, esta lógica permite construir señales tácticas sin necesidad de modelar la distribución completa de retornos.</w:t>
      </w:r>
    </w:p>
    <w:p/>
    <w:p>
      <w:pPr>
        <w:pStyle w:val="Heading2"/>
      </w:pPr>
      <w:r>
        <w:t>Ejercicio 7 — Validación completa de un ARIMA-GARCH</w:t>
      </w:r>
    </w:p>
    <w:p>
      <w:r>
        <w:rPr>
          <w:b w:val="0"/>
          <w:i w:val="0"/>
          <w:sz w:val="22"/>
        </w:rPr>
        <w:t>Modelo ajustado a rendimientos diarios MXN/USD: ARIMA(1,1,1) + GARCH(1,1). Resultados de pruebas sobre los residuales estandarizados ẑ_t = ε̂_t / σ̂_t:</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b/>
                <w:sz w:val="20"/>
              </w:rPr>
              <w:t>Prueba</w:t>
            </w:r>
          </w:p>
        </w:tc>
        <w:tc>
          <w:tcPr>
            <w:tcW w:type="dxa" w:w="2351"/>
          </w:tcPr>
          <w:p>
            <w:r/>
            <w:r>
              <w:rPr>
                <w:b/>
                <w:sz w:val="20"/>
              </w:rPr>
              <w:t>Estadístico</w:t>
            </w:r>
          </w:p>
        </w:tc>
        <w:tc>
          <w:tcPr>
            <w:tcW w:type="dxa" w:w="2351"/>
          </w:tcPr>
          <w:p>
            <w:r/>
            <w:r>
              <w:rPr>
                <w:b/>
                <w:sz w:val="20"/>
              </w:rPr>
              <w:t>p-valor</w:t>
            </w:r>
          </w:p>
        </w:tc>
        <w:tc>
          <w:tcPr>
            <w:tcW w:type="dxa" w:w="2351"/>
          </w:tcPr>
          <w:p>
            <w:r/>
            <w:r>
              <w:rPr>
                <w:b/>
                <w:sz w:val="20"/>
              </w:rPr>
              <w:t>H₀</w:t>
            </w:r>
          </w:p>
        </w:tc>
      </w:tr>
      <w:tr>
        <w:tc>
          <w:tcPr>
            <w:tcW w:type="dxa" w:w="2351"/>
          </w:tcPr>
          <w:p>
            <w:r/>
            <w:r>
              <w:rPr>
                <w:sz w:val="20"/>
              </w:rPr>
              <w:t>LB sobre ẑ_t (lag 10)</w:t>
            </w:r>
          </w:p>
        </w:tc>
        <w:tc>
          <w:tcPr>
            <w:tcW w:type="dxa" w:w="2351"/>
          </w:tcPr>
          <w:p>
            <w:r/>
            <w:r>
              <w:rPr>
                <w:sz w:val="20"/>
              </w:rPr>
              <w:t>9.841</w:t>
            </w:r>
          </w:p>
        </w:tc>
        <w:tc>
          <w:tcPr>
            <w:tcW w:type="dxa" w:w="2351"/>
          </w:tcPr>
          <w:p>
            <w:r/>
            <w:r>
              <w:rPr>
                <w:sz w:val="20"/>
              </w:rPr>
              <w:t>0.3621</w:t>
            </w:r>
          </w:p>
        </w:tc>
        <w:tc>
          <w:tcPr>
            <w:tcW w:type="dxa" w:w="2351"/>
          </w:tcPr>
          <w:p>
            <w:r/>
            <w:r>
              <w:rPr>
                <w:sz w:val="20"/>
              </w:rPr>
              <w:t>Sin autocorrelación en ẑ_t</w:t>
            </w:r>
          </w:p>
        </w:tc>
      </w:tr>
      <w:tr>
        <w:tc>
          <w:tcPr>
            <w:tcW w:type="dxa" w:w="2351"/>
          </w:tcPr>
          <w:p>
            <w:r/>
            <w:r>
              <w:rPr>
                <w:sz w:val="20"/>
              </w:rPr>
              <w:t>LB sobre ẑ_t² (lag 10)</w:t>
            </w:r>
          </w:p>
        </w:tc>
        <w:tc>
          <w:tcPr>
            <w:tcW w:type="dxa" w:w="2351"/>
          </w:tcPr>
          <w:p>
            <w:r/>
            <w:r>
              <w:rPr>
                <w:sz w:val="20"/>
              </w:rPr>
              <w:t>8.203</w:t>
            </w:r>
          </w:p>
        </w:tc>
        <w:tc>
          <w:tcPr>
            <w:tcW w:type="dxa" w:w="2351"/>
          </w:tcPr>
          <w:p>
            <w:r/>
            <w:r>
              <w:rPr>
                <w:sz w:val="20"/>
              </w:rPr>
              <w:t>0.5118</w:t>
            </w:r>
          </w:p>
        </w:tc>
        <w:tc>
          <w:tcPr>
            <w:tcW w:type="dxa" w:w="2351"/>
          </w:tcPr>
          <w:p>
            <w:r/>
            <w:r>
              <w:rPr>
                <w:sz w:val="20"/>
              </w:rPr>
              <w:t>Sin autocorrelación en ẑ_t²</w:t>
            </w:r>
          </w:p>
        </w:tc>
      </w:tr>
      <w:tr>
        <w:tc>
          <w:tcPr>
            <w:tcW w:type="dxa" w:w="2351"/>
          </w:tcPr>
          <w:p>
            <w:r/>
            <w:r>
              <w:rPr>
                <w:sz w:val="20"/>
              </w:rPr>
              <w:t>Jarque-Bera</w:t>
            </w:r>
          </w:p>
        </w:tc>
        <w:tc>
          <w:tcPr>
            <w:tcW w:type="dxa" w:w="2351"/>
          </w:tcPr>
          <w:p>
            <w:r/>
            <w:r>
              <w:rPr>
                <w:sz w:val="20"/>
              </w:rPr>
              <w:t>28.470</w:t>
            </w:r>
          </w:p>
        </w:tc>
        <w:tc>
          <w:tcPr>
            <w:tcW w:type="dxa" w:w="2351"/>
          </w:tcPr>
          <w:p>
            <w:r/>
            <w:r>
              <w:rPr>
                <w:sz w:val="20"/>
              </w:rPr>
              <w:t>0.0000</w:t>
            </w:r>
          </w:p>
        </w:tc>
        <w:tc>
          <w:tcPr>
            <w:tcW w:type="dxa" w:w="2351"/>
          </w:tcPr>
          <w:p>
            <w:r/>
            <w:r>
              <w:rPr>
                <w:sz w:val="20"/>
              </w:rPr>
              <w:t>Normalidad de ẑ_t</w:t>
            </w:r>
          </w:p>
        </w:tc>
      </w:tr>
      <w:tr>
        <w:tc>
          <w:tcPr>
            <w:tcW w:type="dxa" w:w="2351"/>
          </w:tcPr>
          <w:p>
            <w:r/>
            <w:r>
              <w:rPr>
                <w:sz w:val="20"/>
              </w:rPr>
              <w:t>Sign-Bias Test</w:t>
            </w:r>
          </w:p>
        </w:tc>
        <w:tc>
          <w:tcPr>
            <w:tcW w:type="dxa" w:w="2351"/>
          </w:tcPr>
          <w:p>
            <w:r/>
            <w:r>
              <w:rPr>
                <w:sz w:val="20"/>
              </w:rPr>
              <w:t>1.842</w:t>
            </w:r>
          </w:p>
        </w:tc>
        <w:tc>
          <w:tcPr>
            <w:tcW w:type="dxa" w:w="2351"/>
          </w:tcPr>
          <w:p>
            <w:r/>
            <w:r>
              <w:rPr>
                <w:sz w:val="20"/>
              </w:rPr>
              <w:t>0.0656</w:t>
            </w:r>
          </w:p>
        </w:tc>
        <w:tc>
          <w:tcPr>
            <w:tcW w:type="dxa" w:w="2351"/>
          </w:tcPr>
          <w:p>
            <w:r/>
            <w:r>
              <w:rPr>
                <w:sz w:val="20"/>
              </w:rPr>
              <w:t>Sin asimetría</w:t>
            </w:r>
          </w:p>
        </w:tc>
      </w:tr>
      <w:tr>
        <w:tc>
          <w:tcPr>
            <w:tcW w:type="dxa" w:w="2351"/>
          </w:tcPr>
          <w:p>
            <w:r/>
            <w:r>
              <w:rPr>
                <w:sz w:val="20"/>
              </w:rPr>
              <w:t>Negative-Size-Bias</w:t>
            </w:r>
          </w:p>
        </w:tc>
        <w:tc>
          <w:tcPr>
            <w:tcW w:type="dxa" w:w="2351"/>
          </w:tcPr>
          <w:p>
            <w:r/>
            <w:r>
              <w:rPr>
                <w:sz w:val="20"/>
              </w:rPr>
              <w:t>2.971</w:t>
            </w:r>
          </w:p>
        </w:tc>
        <w:tc>
          <w:tcPr>
            <w:tcW w:type="dxa" w:w="2351"/>
          </w:tcPr>
          <w:p>
            <w:r/>
            <w:r>
              <w:rPr>
                <w:sz w:val="20"/>
              </w:rPr>
              <w:t>0.0031</w:t>
            </w:r>
          </w:p>
        </w:tc>
        <w:tc>
          <w:tcPr>
            <w:tcW w:type="dxa" w:w="2351"/>
          </w:tcPr>
          <w:p>
            <w:r/>
            <w:r>
              <w:rPr>
                <w:sz w:val="20"/>
              </w:rPr>
              <w:t>Sin efecto magnitud negativa</w:t>
            </w:r>
          </w:p>
        </w:tc>
      </w:tr>
    </w:tbl>
    <w:p>
      <w:pPr>
        <w:spacing w:before="160" w:after="80"/>
      </w:pPr>
      <w:r>
        <w:rPr>
          <w:b/>
          <w:color w:val="1F4E79"/>
          <w:sz w:val="22"/>
        </w:rPr>
        <w:t>(a) ¿Captura el modelo la dinámica de media y la heterocedasticidad?</w:t>
      </w:r>
    </w:p>
    <w:p>
      <w:r>
        <w:rPr>
          <w:b/>
        </w:rPr>
        <w:t xml:space="preserve">Media: </w:t>
      </w:r>
      <w:r>
        <w:t>LB sobre ẑ_t tiene p = 0.362 &gt; 0.05. No se rechaza la hipótesis de ausencia de autocorrelación en los residuales estandarizados. La parte ARIMA capturó correctamente la dinámica de la media. ✓</w:t>
      </w:r>
    </w:p>
    <w:p>
      <w:r>
        <w:rPr>
          <w:b/>
        </w:rPr>
        <w:t xml:space="preserve">Varianza: </w:t>
      </w:r>
      <w:r>
        <w:t>LB sobre ẑ_t² tiene p = 0.512 &gt; 0.05. Tampoco hay autocorrelación en los cuadrados. El GARCH capturó la heterocedasticidad condicional. ✓</w:t>
      </w:r>
    </w:p>
    <w:p>
      <w:r>
        <w:rPr>
          <w:b w:val="0"/>
          <w:i w:val="0"/>
          <w:sz w:val="22"/>
        </w:rPr>
        <w:t>Los dos diagnósticos centrales del modelo pasan satisfactoriamente.</w:t>
      </w:r>
    </w:p>
    <w:p>
      <w:pPr>
        <w:spacing w:before="160" w:after="80"/>
      </w:pPr>
      <w:r>
        <w:rPr>
          <w:b/>
          <w:color w:val="1F4E79"/>
          <w:sz w:val="22"/>
        </w:rPr>
        <w:t>(b) Curtosis 5.2: distribución alternativa para z_t</w:t>
      </w:r>
    </w:p>
    <w:p>
      <w:r>
        <w:rPr>
          <w:b w:val="0"/>
          <w:i w:val="0"/>
          <w:sz w:val="22"/>
        </w:rPr>
        <w:t>Curtosis &gt; 3 indica colas más pesadas que la normal. La alternativa estándar es la t-Student con ν grados de libertad (ν &gt; 2 para que la varianza exista). La log-verosimilitud individual queda:</w:t>
      </w:r>
    </w:p>
    <w:p>
      <w:pPr>
        <w:spacing w:before="120" w:after="120"/>
        <w:jc w:val="center"/>
      </w:pPr>
      <w:r>
        <w:rPr>
          <w:rFonts w:ascii="Cambria Math" w:hAnsi="Cambria Math"/>
          <w:i/>
          <w:sz w:val="24"/>
        </w:rPr>
        <w:t>ℓ_t(ν) = log[Γ((ν+1)/2) / (√((ν−2)π) · Γ(ν/2) · σ_t)] − ((ν+1)/2) · log(1 + z_t²/(ν−2))</w:t>
      </w:r>
    </w:p>
    <w:p>
      <w:r>
        <w:rPr>
          <w:b w:val="0"/>
          <w:i w:val="0"/>
          <w:sz w:val="22"/>
        </w:rPr>
        <w:t>Otras alternativas adecuadas: distribución de error generalizada (GED, Nelson 1991), t-Student asimétrica (Hansen 1994), o la familia EGB2. La GED es flexible para curtosis variable; la t-asimétrica además captura skewness.</w:t>
      </w:r>
    </w:p>
    <w:p>
      <w:pPr>
        <w:spacing w:before="160" w:after="80"/>
      </w:pPr>
      <w:r>
        <w:rPr>
          <w:b/>
          <w:color w:val="1F4E79"/>
          <w:sz w:val="22"/>
        </w:rPr>
        <w:t>(c) Negative-Size-Bias significativo: implicación y modelo alternativo</w:t>
      </w:r>
    </w:p>
    <w:p>
      <w:r>
        <w:rPr>
          <w:b w:val="0"/>
          <w:i w:val="0"/>
          <w:sz w:val="22"/>
        </w:rPr>
        <w:t>La prueba Negative-Size-Bias rechaza H₀ al 1% (p = 0.003). Esto implica que existe un efecto residual no capturado de la magnitud de los shocks negativos sobre la varianza futura. El GARCH(1,1) simétrico no contempla que un choque negativo grande tenga efecto distinto a uno positivo equivalente.</w:t>
      </w:r>
    </w:p>
    <w:p>
      <w:r>
        <w:rPr>
          <w:b/>
        </w:rPr>
        <w:t xml:space="preserve">Modelo alternativo recomendado: </w:t>
      </w:r>
      <w:r>
        <w:t>GJR-GARCH(1,1,1) o EGARCH(1,1), ambos con un término asimétrico que captura este efecto explícitamente.</w:t>
      </w:r>
    </w:p>
    <w:p>
      <w:pPr>
        <w:spacing w:before="160" w:after="80"/>
      </w:pPr>
      <w:r>
        <w:rPr>
          <w:b/>
          <w:color w:val="1F4E79"/>
          <w:sz w:val="22"/>
        </w:rPr>
        <w:t>(d) Protocolo de validación GARCH en 5 pasos</w:t>
      </w:r>
    </w:p>
    <w:p>
      <w:pPr>
        <w:pStyle w:val="ListNumber"/>
      </w:pPr>
      <w:r>
        <w:t>Significancia paramétrica. Test t sobre ω, α, β (y λ, γ si aplica). Coeficientes no significativos sugieren sobreparametrización.</w:t>
      </w:r>
    </w:p>
    <w:p>
      <w:pPr>
        <w:pStyle w:val="ListNumber"/>
      </w:pPr>
      <w:r>
        <w:t>Estacionariedad. Verificar α + β &lt; 1 (GARCH), α + λ/2 + β &lt; 1 (GJR), |β| &lt; 1 (EGARCH).</w:t>
      </w:r>
    </w:p>
    <w:p>
      <w:pPr>
        <w:pStyle w:val="ListNumber"/>
      </w:pPr>
      <w:r>
        <w:t>Autocorrelación en media. Ljung-Box sobre ẑ_t a varios rezagos (5, 10, 20). Se desea p &gt; 0.05.</w:t>
      </w:r>
    </w:p>
    <w:p>
      <w:pPr>
        <w:pStyle w:val="ListNumber"/>
      </w:pPr>
      <w:r>
        <w:t>Autocorrelación en varianza. Ljung-Box sobre ẑ_t² y prueba LM-ARCH. Se desea p &gt; 0.05.</w:t>
      </w:r>
    </w:p>
    <w:p>
      <w:pPr>
        <w:pStyle w:val="ListNumber"/>
      </w:pPr>
      <w:r>
        <w:t>Asimetría residual. Sign-Bias, Negative-Size-Bias, Positive-Size-Bias (Engle-Ng, 1993). Se desea p &gt; 0.05.</w:t>
      </w:r>
    </w:p>
    <w:p>
      <w:r>
        <w:rPr>
          <w:b w:val="0"/>
          <w:i w:val="0"/>
          <w:sz w:val="22"/>
        </w:rPr>
        <w:t>Adicional: prueba Jarque-Bera para distribución, Q-Q plot, y para uso regulatorio, backtesting de VaR (Kupiec 1995, Christoffersen 1998).</w:t>
      </w:r>
    </w:p>
    <w:p/>
    <w:p>
      <w:pPr>
        <w:pStyle w:val="Heading2"/>
      </w:pPr>
      <w:r>
        <w:t>Ejercicio 8 — VaR dinámico con GARCH</w:t>
      </w:r>
    </w:p>
    <w:p>
      <w:r>
        <w:rPr>
          <w:b w:val="0"/>
          <w:i w:val="0"/>
          <w:sz w:val="22"/>
        </w:rPr>
        <w:t>GARCH(1,1)-t con ν = 6.2 grados de libertad para un ETF tecnológico. Posición: $10,000,000.</w:t>
      </w:r>
    </w:p>
    <w:p>
      <w:r>
        <w:rPr>
          <w:b w:val="0"/>
          <w:i w:val="0"/>
          <w:sz w:val="22"/>
        </w:rPr>
        <w:t>Estimaciones: μ̂ = 0.045%, σ̂_t = 1.84%. Cuantiles t: t₀.₀₅,₆.₂ = −1.9432, t₀.₀₁,₆.₂ = −3.1427.</w:t>
      </w:r>
    </w:p>
    <w:p>
      <w:pPr>
        <w:spacing w:before="160" w:after="80"/>
      </w:pPr>
      <w:r>
        <w:rPr>
          <w:b/>
          <w:color w:val="1F4E79"/>
          <w:sz w:val="22"/>
        </w:rPr>
        <w:t>(a) VaR a 1 día al 95% y 99%</w:t>
      </w:r>
    </w:p>
    <w:p>
      <w:r>
        <w:rPr>
          <w:b w:val="0"/>
          <w:i w:val="0"/>
          <w:sz w:val="22"/>
        </w:rPr>
        <w:t>La fórmula es VaR_α = −(μ̂ + t_{α,ν} · σ̂_t) × Posición.</w:t>
      </w:r>
    </w:p>
    <w:p>
      <w:pPr>
        <w:spacing w:before="120" w:after="120"/>
        <w:jc w:val="center"/>
      </w:pPr>
      <w:r>
        <w:rPr>
          <w:rFonts w:ascii="Cambria Math" w:hAnsi="Cambria Math"/>
          <w:i/>
          <w:sz w:val="24"/>
        </w:rPr>
        <w:t>r₀.₀₅ = 0.045% + (−1.9432)(1.84%) = −3.5305 %</w:t>
      </w:r>
    </w:p>
    <w:p>
      <w:pPr>
        <w:spacing w:before="120" w:after="120"/>
        <w:jc w:val="center"/>
      </w:pPr>
      <w:r>
        <w:rPr>
          <w:rFonts w:ascii="Cambria Math" w:hAnsi="Cambria Math"/>
          <w:i/>
          <w:sz w:val="24"/>
        </w:rPr>
        <w:t>VaR₉₅% = 0.035305 × $10,000,000 ≈ $353,050</w:t>
      </w:r>
    </w:p>
    <w:p>
      <w:pPr>
        <w:spacing w:before="120" w:after="120"/>
        <w:jc w:val="center"/>
      </w:pPr>
      <w:r>
        <w:rPr>
          <w:rFonts w:ascii="Cambria Math" w:hAnsi="Cambria Math"/>
          <w:i/>
          <w:sz w:val="24"/>
        </w:rPr>
        <w:t>r₀.₀₁ = 0.045% + (−3.1427)(1.84%) = −5.7376 %</w:t>
      </w:r>
    </w:p>
    <w:p>
      <w:pPr>
        <w:spacing w:before="120" w:after="120"/>
        <w:jc w:val="center"/>
      </w:pPr>
      <w:r>
        <w:rPr>
          <w:rFonts w:ascii="Cambria Math" w:hAnsi="Cambria Math"/>
          <w:i/>
          <w:sz w:val="24"/>
        </w:rPr>
        <w:t>VaR₉₉% = 0.057376 × $10,000,000 ≈ $573,760</w:t>
      </w:r>
    </w:p>
    <w:p>
      <w:r>
        <w:rPr>
          <w:b w:val="0"/>
          <w:i w:val="0"/>
          <w:sz w:val="22"/>
        </w:rPr>
        <w:t>Interpretación: con 95% de confianza, la pérdida del día siguiente no superará $353,050. Con 99% de confianza, no superará $573,760. El 1%-5% restante de las veces sí puede excederse.</w:t>
      </w:r>
    </w:p>
    <w:p>
      <w:pPr>
        <w:spacing w:before="160" w:after="80"/>
      </w:pPr>
      <w:r>
        <w:rPr>
          <w:b/>
          <w:color w:val="1F4E79"/>
          <w:sz w:val="22"/>
        </w:rPr>
        <w:t>(b) VaR a 10 días con la regla de la raíz cuadrada</w:t>
      </w:r>
    </w:p>
    <w:p>
      <w:pPr>
        <w:spacing w:before="120" w:after="120"/>
        <w:jc w:val="center"/>
      </w:pPr>
      <w:r>
        <w:rPr>
          <w:rFonts w:ascii="Cambria Math" w:hAnsi="Cambria Math"/>
          <w:i/>
          <w:sz w:val="24"/>
        </w:rPr>
        <w:t>VaR₁₀^(95%) = $353,050 × √10 ≈ $1,116,450</w:t>
      </w:r>
    </w:p>
    <w:p>
      <w:pPr>
        <w:spacing w:before="120" w:after="120"/>
        <w:jc w:val="center"/>
      </w:pPr>
      <w:r>
        <w:rPr>
          <w:rFonts w:ascii="Cambria Math" w:hAnsi="Cambria Math"/>
          <w:i/>
          <w:sz w:val="24"/>
        </w:rPr>
        <w:t>VaR₁₀^(99%) = $573,760 × √10 ≈ $1,814,340</w:t>
      </w:r>
    </w:p>
    <w:p>
      <w:r>
        <w:rPr>
          <w:b/>
        </w:rPr>
        <w:t xml:space="preserve">Limitación crítica en contexto GARCH: </w:t>
      </w:r>
      <w:r>
        <w:t>la regla √h asume rendimientos i.i.d. con varianza constante. Bajo GARCH:</w:t>
      </w:r>
    </w:p>
    <w:p>
      <w:pPr>
        <w:pStyle w:val="ListBullet"/>
      </w:pPr>
      <w:r>
        <w:t>La varianza esperada multi-periodo es la suma Σ E_t[σ²_{t+h}] para h = 1 a H, no H · σ_t².</w:t>
      </w:r>
    </w:p>
    <w:p>
      <w:pPr>
        <w:pStyle w:val="ListBullet"/>
      </w:pPr>
      <w:r>
        <w:t>Si la volatilidad actual está por encima de su nivel de largo plazo (σ_t &gt; σ̄), la regla √h SOBREESTIMA el VaR (porque la volatilidad esperada decae con el tiempo).</w:t>
      </w:r>
    </w:p>
    <w:p>
      <w:pPr>
        <w:pStyle w:val="ListBullet"/>
      </w:pPr>
      <w:r>
        <w:t>Si la volatilidad actual está por debajo (σ_t &lt; σ̄), la regla SUBESTIMA el VaR.</w:t>
      </w:r>
    </w:p>
    <w:p>
      <w:pPr>
        <w:pStyle w:val="ListBullet"/>
      </w:pPr>
      <w:r>
        <w:t>La forma correcta es iterar la ecuación GARCH para obtener E_t[σ²_{t+h}] y sumar los pronósticos día por día.</w:t>
      </w:r>
    </w:p>
    <w:p>
      <w:pPr>
        <w:spacing w:before="160" w:after="80"/>
      </w:pPr>
      <w:r>
        <w:rPr>
          <w:b/>
          <w:color w:val="1F4E79"/>
          <w:sz w:val="22"/>
        </w:rPr>
        <w:t>(c) Comparación VaR-GARCH versus VaR histórico</w:t>
      </w:r>
    </w:p>
    <w:p>
      <w:r>
        <w:rPr>
          <w:b w:val="0"/>
          <w:i w:val="0"/>
          <w:sz w:val="22"/>
        </w:rPr>
        <w:t>Las estimaciones difieren significativamente en estos casos:</w:t>
      </w:r>
    </w:p>
    <w:p>
      <w:pPr>
        <w:pStyle w:val="ListBullet"/>
      </w:pPr>
      <w:r>
        <w:t>Volatilidad actual distinta a la histórica. En periodos de estrés, σ_t es mucho mayor que el promedio histórico, y VaR-GARCH &gt; VaR-histórico (más realista del riesgo actual).</w:t>
      </w:r>
    </w:p>
    <w:p>
      <w:pPr>
        <w:pStyle w:val="ListBullet"/>
      </w:pPr>
      <w:r>
        <w:t>En periodos de calma, σ_t &lt; σ̄_hist y VaR-GARCH es menor.</w:t>
      </w:r>
    </w:p>
    <w:p>
      <w:pPr>
        <w:pStyle w:val="ListBullet"/>
      </w:pPr>
      <w:r>
        <w:t>Distribución condicional. El GARCH-t con ν pequeño tiene colas más pesadas que la normal, elevando el VaR al 99% mucho más que el VaR histórico bajo supuesto de normalidad.</w:t>
      </w:r>
    </w:p>
    <w:p>
      <w:r>
        <w:rPr>
          <w:b w:val="0"/>
          <w:i w:val="0"/>
          <w:sz w:val="22"/>
        </w:rPr>
        <w:t>Conclusión: el VaR-GARCH es responsivo al estado actual del mercado, mientras que el VaR histórico es estático y reactivo (refleja solo el pasado promedio).</w:t>
      </w:r>
    </w:p>
    <w:p>
      <w:pPr>
        <w:spacing w:before="160" w:after="80"/>
      </w:pPr>
      <w:r>
        <w:rPr>
          <w:b/>
          <w:color w:val="1F4E79"/>
          <w:sz w:val="22"/>
        </w:rPr>
        <w:t>(d) Backtesting de Kupiec (1995)</w:t>
      </w:r>
    </w:p>
    <w:p>
      <w:r>
        <w:rPr>
          <w:b w:val="0"/>
          <w:i w:val="0"/>
          <w:sz w:val="22"/>
        </w:rPr>
        <w:t>La idea es contar el número de excepciones (días en que la pérdida real superó el VaR) en una ventana de evaluación. Si el modelo es correcto, las excepciones siguen una distribución Binomial(n, α). El estadístico LR de cobertura no condicional es:</w:t>
      </w:r>
    </w:p>
    <w:p>
      <w:pPr>
        <w:spacing w:before="120" w:after="120"/>
        <w:jc w:val="center"/>
      </w:pPr>
      <w:r>
        <w:rPr>
          <w:rFonts w:ascii="Cambria Math" w:hAnsi="Cambria Math"/>
          <w:i/>
          <w:sz w:val="24"/>
        </w:rPr>
        <w:t>LR_uc = −2 log[((1−α)^(n−x) · α^x) / ((1−π̂)^(n−x) · π̂^x)]  ~  χ²₁</w:t>
      </w:r>
    </w:p>
    <w:p>
      <w:r>
        <w:rPr>
          <w:b w:val="0"/>
          <w:i w:val="0"/>
          <w:sz w:val="22"/>
        </w:rPr>
        <w:t>Donde π̂ = x/n con x el número de excepciones y n el tamaño de la muestra.</w:t>
      </w:r>
    </w:p>
    <w:p>
      <w:r>
        <w:rPr>
          <w:b/>
        </w:rPr>
        <w:t xml:space="preserve">Aplicación con n = 250 y α = 1% (VaR al 99%): </w:t>
      </w:r>
      <w:r/>
    </w:p>
    <w:p>
      <w:pPr>
        <w:pStyle w:val="ListBullet"/>
      </w:pPr>
      <w:r>
        <w:t>Excepciones esperadas: n · α = 2.5.</w:t>
      </w:r>
    </w:p>
    <w:p>
      <w:pPr>
        <w:pStyle w:val="ListBullet"/>
      </w:pPr>
      <w:r>
        <w:t>Si x = 3: π̂ = 0.012, LR ≈ 0.13. No se rechaza. Modelo válido.</w:t>
      </w:r>
    </w:p>
    <w:p>
      <w:pPr>
        <w:pStyle w:val="ListBullet"/>
      </w:pPr>
      <w:r>
        <w:t>Si x = 8: π̂ = 0.032, LR ≈ 9.1 &gt; 3.84 (χ²₀.₉₅,₁). Se rechaza. El modelo subestima el riesgo.</w:t>
      </w:r>
    </w:p>
    <w:p>
      <w:r>
        <w:rPr>
          <w:b w:val="0"/>
          <w:i w:val="0"/>
          <w:sz w:val="22"/>
        </w:rPr>
        <w:t>Basilea III complementa este test con la prueba de Christoffersen (independencia), que verifica que las excepciones no se agrupen en clusters (lo que indicaría que el modelo no responde al estado del mercado).</w:t>
      </w:r>
    </w:p>
    <w:p/>
    <w:p>
      <w:pPr>
        <w:pStyle w:val="Heading2"/>
      </w:pPr>
      <w:r>
        <w:t>Ejercicio 9 — SARIMAX multivariable para WTI</w:t>
      </w:r>
    </w:p>
    <w:p>
      <w:r>
        <w:rPr>
          <w:b w:val="0"/>
          <w:i w:val="0"/>
          <w:sz w:val="22"/>
        </w:rPr>
        <w:t>Modelo para el precio mensual del WTI en logaritmos:</w:t>
      </w:r>
    </w:p>
    <w:p>
      <w:pPr>
        <w:spacing w:before="120" w:after="120"/>
        <w:jc w:val="center"/>
      </w:pPr>
      <w:r>
        <w:rPr>
          <w:rFonts w:ascii="Cambria Math" w:hAnsi="Cambria Math"/>
          <w:i/>
          <w:sz w:val="24"/>
        </w:rPr>
        <w:t>(1 − ΦB¹²)(1 − B)(1 − B¹²) log P_t = β₁ x₁_t + β₂ x₂_t + (1 + θB) ε_t</w:t>
      </w:r>
    </w:p>
    <w:p>
      <w:r>
        <w:rPr>
          <w:b w:val="0"/>
          <w:i w:val="0"/>
          <w:sz w:val="22"/>
        </w:rPr>
        <w:t>Con x₁_t = REER (dólar real efectivo) y x₂_t = PMI manufacturero global.</w:t>
      </w:r>
    </w:p>
    <w:p>
      <w:r>
        <w:rPr>
          <w:b w:val="0"/>
          <w:i w:val="0"/>
          <w:sz w:val="22"/>
        </w:rPr>
        <w:t>Estimaciones (todas significativas): θ̂ = −0.634, Φ̂ = −0.291, β̂₁ = −0.412, β̂₂ = +0.587.</w:t>
      </w:r>
    </w:p>
    <w:p>
      <w:pPr>
        <w:spacing w:before="160" w:after="80"/>
      </w:pPr>
      <w:r>
        <w:rPr>
          <w:b/>
          <w:color w:val="1F4E79"/>
          <w:sz w:val="22"/>
        </w:rPr>
        <w:t>(a) Interpretación económica de los coeficientes exógenos</w:t>
      </w:r>
    </w:p>
    <w:p>
      <w:r>
        <w:rPr>
          <w:b/>
        </w:rPr>
        <w:t xml:space="preserve">β̂₁ = −0.412 (REER): </w:t>
      </w:r>
      <w:r>
        <w:t>signo negativo coherente. El petróleo se cotiza en dólares; una apreciación real del dólar lo encarece para compradores no-USD, reduciendo demanda. Históricamente, la relación entre dólar fuerte y commodities débiles está bien documentada.</w:t>
      </w:r>
    </w:p>
    <w:p>
      <w:r>
        <w:rPr>
          <w:b/>
        </w:rPr>
        <w:t xml:space="preserve">β̂₂ = +0.587 (PMI global): </w:t>
      </w:r>
      <w:r>
        <w:t>signo positivo coherente. El PMI mide la expansión o contracción de la actividad manufacturera global. Mayor actividad implica mayor demanda de energía, lo que empuja el precio del crudo al alza.</w:t>
      </w:r>
    </w:p>
    <w:p>
      <w:r>
        <w:rPr>
          <w:b w:val="0"/>
          <w:i w:val="0"/>
          <w:sz w:val="22"/>
        </w:rPr>
        <w:t>Ambos coeficientes están alineados con la teoría macroeconómica estándar de oferta y demanda de commodities.</w:t>
      </w:r>
    </w:p>
    <w:p>
      <w:pPr>
        <w:spacing w:before="160" w:after="80"/>
      </w:pPr>
      <w:r>
        <w:rPr>
          <w:b/>
          <w:color w:val="1F4E79"/>
          <w:sz w:val="22"/>
        </w:rPr>
        <w:t>(b) Pronóstico puntual a 3 meses</w:t>
      </w:r>
    </w:p>
    <w:p>
      <w:r>
        <w:rPr>
          <w:b w:val="0"/>
          <w:i w:val="0"/>
          <w:sz w:val="22"/>
        </w:rPr>
        <w:t>Suponiendo Δx₁,_{t+k} = 0, Δx₂,_{t+k} = +1.5 para k = 1, 2, 3, y rezagos AR/MA nulos al horizonte 3:</w:t>
      </w:r>
    </w:p>
    <w:p>
      <w:pPr>
        <w:spacing w:before="120" w:after="120"/>
        <w:jc w:val="center"/>
      </w:pPr>
      <w:r>
        <w:rPr>
          <w:rFonts w:ascii="Cambria Math" w:hAnsi="Cambria Math"/>
          <w:i/>
          <w:sz w:val="24"/>
        </w:rPr>
        <w:t>Δ log P_{t+k} ≈ β₁ · 0 + β₂ · 1.5 = 0.587 × 1.5 = 0.881</w:t>
      </w:r>
    </w:p>
    <w:p>
      <w:pPr>
        <w:spacing w:before="120" w:after="120"/>
        <w:jc w:val="center"/>
      </w:pPr>
      <w:r>
        <w:rPr>
          <w:rFonts w:ascii="Cambria Math" w:hAnsi="Cambria Math"/>
          <w:i/>
          <w:sz w:val="24"/>
        </w:rPr>
        <w:t>Cambio acumulado en 3 meses: 3 × 0.881 = 2.643</w:t>
      </w:r>
    </w:p>
    <w:p>
      <w:r>
        <w:rPr>
          <w:b w:val="0"/>
          <w:i w:val="0"/>
          <w:sz w:val="22"/>
        </w:rPr>
        <w:t>Este número es numéricamente grande (implica un factor multiplicativo e^2.64 ≈ 14, lo cual no es realista para el precio del petróleo en 3 meses). Esto sugiere que: (i) en la práctica un cambio sostenido de +1.5 en el PMI durante 3 meses consecutivos es excepcional, o (ii) las unidades del PMI están en una escala distinta a la asumida. El ejercicio ilustra el mecanismo del modelo más que una predicción realista. La interpretación correcta es que un PMI fuertemente al alza durante meses consecutivos induciría aumentos importantes en el precio del WTI.</w:t>
      </w:r>
    </w:p>
    <w:p>
      <w:pPr>
        <w:spacing w:before="160" w:after="80"/>
      </w:pPr>
      <w:r>
        <w:rPr>
          <w:b/>
          <w:color w:val="1F4E79"/>
          <w:sz w:val="22"/>
        </w:rPr>
        <w:t>(c) Endogeneidad del PMI y corrección por variables instrumentales</w:t>
      </w:r>
    </w:p>
    <w:p>
      <w:r>
        <w:rPr>
          <w:b/>
        </w:rPr>
        <w:t xml:space="preserve">Problema: </w:t>
      </w:r>
      <w:r>
        <w:t>el precio del petróleo afecta los costos energéticos, la inflación y, por tanto, la actividad industrial medida por el PMI. Hay posible simultaneidad: Cov(x₂_t, ε_t) ≠ 0, lo que hace β̂₂ inconsistente.</w:t>
      </w:r>
    </w:p>
    <w:p>
      <w:r>
        <w:rPr>
          <w:b/>
        </w:rPr>
        <w:t xml:space="preserve">Corrección estándar: </w:t>
      </w:r>
      <w:r>
        <w:t>Variables Instrumentales (IV) o GMM.</w:t>
      </w:r>
    </w:p>
    <w:p>
      <w:pPr>
        <w:pStyle w:val="ListBullet"/>
      </w:pPr>
      <w:r>
        <w:t>Instrumento ideal: variable que afecte al PMI pero no al precio del petróleo de manera directa. Ejemplos: choques climáticos no-petroleros, política monetaria adelantada, índices de confianza del consumidor de regiones no exportadoras de petróleo.</w:t>
      </w:r>
    </w:p>
    <w:p>
      <w:pPr>
        <w:pStyle w:val="ListBullet"/>
      </w:pPr>
      <w:r>
        <w:t>Otra opción: usar rezagos x₂,_{t-k} como instrumentos, si los rezagos no entran directamente en la ecuación estructural.</w:t>
      </w:r>
    </w:p>
    <w:p>
      <w:pPr>
        <w:pStyle w:val="ListBullet"/>
      </w:pPr>
      <w:r>
        <w:t>En el contexto de series de tiempo: un Structural VAR (SVAR) con restricciones de identificación permite estimar todos los efectos simultáneamente con mejor manejo de la endogeneidad.</w:t>
      </w:r>
    </w:p>
    <w:p>
      <w:pPr>
        <w:spacing w:before="160" w:after="80"/>
      </w:pPr>
      <w:r>
        <w:rPr>
          <w:b/>
          <w:color w:val="1F4E79"/>
          <w:sz w:val="22"/>
        </w:rPr>
        <w:t>(d) Validez de un GARCH sobre residuales del SARIMAX</w:t>
      </w:r>
    </w:p>
    <w:p>
      <w:r>
        <w:rPr>
          <w:b w:val="0"/>
          <w:i w:val="0"/>
          <w:sz w:val="22"/>
        </w:rPr>
        <w:t>Es un procedimiento estándar de dos etapas: primero se estima el SARIMAX y se obtienen los residuales ε̂_t; luego se ajusta un GARCH sobre ellos.</w:t>
      </w:r>
    </w:p>
    <w:p>
      <w:r>
        <w:rPr>
          <w:b/>
        </w:rPr>
        <w:t xml:space="preserve">¿Viola supuestos? </w:t>
      </w:r>
      <w:r>
        <w:t>Estrictamente no, siempre que la media esté bien especificada. Bajo un SARIMAX correcto, ε̂_t es ruido blanco en media y conserva la heterocedasticidad subyacente.</w:t>
      </w:r>
    </w:p>
    <w:p>
      <w:r>
        <w:rPr>
          <w:b/>
        </w:rPr>
        <w:t xml:space="preserve">Riesgos del enfoque de dos etapas: </w:t>
      </w:r>
      <w:r/>
    </w:p>
    <w:p>
      <w:pPr>
        <w:pStyle w:val="ListBullet"/>
      </w:pPr>
      <w:r>
        <w:t>Si la media está mal especificada, los residuales contienen autocorrelación que el GARCH puede confundir con efecto ARCH (contaminación).</w:t>
      </w:r>
    </w:p>
    <w:p>
      <w:pPr>
        <w:pStyle w:val="ListBullet"/>
      </w:pPr>
      <w:r>
        <w:t>Los errores estándar de la segunda etapa subestiman la incertidumbre porque no incorporan la variabilidad de la primera etapa.</w:t>
      </w:r>
    </w:p>
    <w:p>
      <w:r>
        <w:rPr>
          <w:b/>
        </w:rPr>
        <w:t xml:space="preserve">Recomendación: </w:t>
      </w:r>
      <w:r>
        <w:t>estimar SARIMAX + GARCH conjuntamente por máxima verosimilitud, usando paquetes como rugarch (R) o arch (Python). Esto produce estimadores eficientes y errores estándar correctos.</w:t>
      </w:r>
    </w:p>
    <w:p/>
    <w:p>
      <w:pPr>
        <w:pStyle w:val="Heading2"/>
      </w:pPr>
      <w:r>
        <w:t>Ejercicio 10 — Selección de modelo y pronóstico de volatilidad</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
              <w:rPr>
                <w:b/>
                <w:sz w:val="20"/>
              </w:rPr>
              <w:t>Modelo</w:t>
            </w:r>
          </w:p>
        </w:tc>
        <w:tc>
          <w:tcPr>
            <w:tcW w:type="dxa" w:w="1881"/>
          </w:tcPr>
          <w:p>
            <w:r/>
            <w:r>
              <w:rPr>
                <w:b/>
                <w:sz w:val="20"/>
              </w:rPr>
              <w:t>AIC</w:t>
            </w:r>
          </w:p>
        </w:tc>
        <w:tc>
          <w:tcPr>
            <w:tcW w:type="dxa" w:w="1881"/>
          </w:tcPr>
          <w:p>
            <w:r/>
            <w:r>
              <w:rPr>
                <w:b/>
                <w:sz w:val="20"/>
              </w:rPr>
              <w:t>BIC</w:t>
            </w:r>
          </w:p>
        </w:tc>
        <w:tc>
          <w:tcPr>
            <w:tcW w:type="dxa" w:w="1881"/>
          </w:tcPr>
          <w:p>
            <w:r/>
            <w:r>
              <w:rPr>
                <w:b/>
                <w:sz w:val="20"/>
              </w:rPr>
              <w:t>Params</w:t>
            </w:r>
          </w:p>
        </w:tc>
        <w:tc>
          <w:tcPr>
            <w:tcW w:type="dxa" w:w="1881"/>
          </w:tcPr>
          <w:p>
            <w:r/>
            <w:r>
              <w:rPr>
                <w:b/>
                <w:sz w:val="20"/>
              </w:rPr>
              <w:t>LB(ẑ²) p</w:t>
            </w:r>
          </w:p>
        </w:tc>
      </w:tr>
      <w:tr>
        <w:tc>
          <w:tcPr>
            <w:tcW w:type="dxa" w:w="1881"/>
          </w:tcPr>
          <w:p>
            <w:r/>
            <w:r>
              <w:rPr>
                <w:sz w:val="20"/>
              </w:rPr>
              <w:t>GARCH(1,1) Normal</w:t>
            </w:r>
          </w:p>
        </w:tc>
        <w:tc>
          <w:tcPr>
            <w:tcW w:type="dxa" w:w="1881"/>
          </w:tcPr>
          <w:p>
            <w:r/>
            <w:r>
              <w:rPr>
                <w:sz w:val="20"/>
              </w:rPr>
              <w:t>3241.80</w:t>
            </w:r>
          </w:p>
        </w:tc>
        <w:tc>
          <w:tcPr>
            <w:tcW w:type="dxa" w:w="1881"/>
          </w:tcPr>
          <w:p>
            <w:r/>
            <w:r>
              <w:rPr>
                <w:sz w:val="20"/>
              </w:rPr>
              <w:t>3258.40</w:t>
            </w:r>
          </w:p>
        </w:tc>
        <w:tc>
          <w:tcPr>
            <w:tcW w:type="dxa" w:w="1881"/>
          </w:tcPr>
          <w:p>
            <w:r/>
            <w:r>
              <w:rPr>
                <w:sz w:val="20"/>
              </w:rPr>
              <w:t>4</w:t>
            </w:r>
          </w:p>
        </w:tc>
        <w:tc>
          <w:tcPr>
            <w:tcW w:type="dxa" w:w="1881"/>
          </w:tcPr>
          <w:p>
            <w:r/>
            <w:r>
              <w:rPr>
                <w:sz w:val="20"/>
              </w:rPr>
              <w:t>0.431</w:t>
            </w:r>
          </w:p>
        </w:tc>
      </w:tr>
      <w:tr>
        <w:tc>
          <w:tcPr>
            <w:tcW w:type="dxa" w:w="1881"/>
          </w:tcPr>
          <w:p>
            <w:r/>
            <w:r>
              <w:rPr>
                <w:sz w:val="20"/>
              </w:rPr>
              <w:t>GARCH(1,1) t</w:t>
            </w:r>
          </w:p>
        </w:tc>
        <w:tc>
          <w:tcPr>
            <w:tcW w:type="dxa" w:w="1881"/>
          </w:tcPr>
          <w:p>
            <w:r/>
            <w:r>
              <w:rPr>
                <w:sz w:val="20"/>
              </w:rPr>
              <w:t>3228.50</w:t>
            </w:r>
          </w:p>
        </w:tc>
        <w:tc>
          <w:tcPr>
            <w:tcW w:type="dxa" w:w="1881"/>
          </w:tcPr>
          <w:p>
            <w:r/>
            <w:r>
              <w:rPr>
                <w:sz w:val="20"/>
              </w:rPr>
              <w:t>3249.60</w:t>
            </w:r>
          </w:p>
        </w:tc>
        <w:tc>
          <w:tcPr>
            <w:tcW w:type="dxa" w:w="1881"/>
          </w:tcPr>
          <w:p>
            <w:r/>
            <w:r>
              <w:rPr>
                <w:sz w:val="20"/>
              </w:rPr>
              <w:t>5</w:t>
            </w:r>
          </w:p>
        </w:tc>
        <w:tc>
          <w:tcPr>
            <w:tcW w:type="dxa" w:w="1881"/>
          </w:tcPr>
          <w:p>
            <w:r/>
            <w:r>
              <w:rPr>
                <w:sz w:val="20"/>
              </w:rPr>
              <w:t>0.512</w:t>
            </w:r>
          </w:p>
        </w:tc>
      </w:tr>
      <w:tr>
        <w:tc>
          <w:tcPr>
            <w:tcW w:type="dxa" w:w="1881"/>
          </w:tcPr>
          <w:p>
            <w:r/>
            <w:r>
              <w:rPr>
                <w:sz w:val="20"/>
              </w:rPr>
              <w:t>EGARCH(1,1) t</w:t>
            </w:r>
          </w:p>
        </w:tc>
        <w:tc>
          <w:tcPr>
            <w:tcW w:type="dxa" w:w="1881"/>
          </w:tcPr>
          <w:p>
            <w:r/>
            <w:r>
              <w:rPr>
                <w:sz w:val="20"/>
              </w:rPr>
              <w:t>3226.10</w:t>
            </w:r>
          </w:p>
        </w:tc>
        <w:tc>
          <w:tcPr>
            <w:tcW w:type="dxa" w:w="1881"/>
          </w:tcPr>
          <w:p>
            <w:r/>
            <w:r>
              <w:rPr>
                <w:sz w:val="20"/>
              </w:rPr>
              <w:t>3251.60</w:t>
            </w:r>
          </w:p>
        </w:tc>
        <w:tc>
          <w:tcPr>
            <w:tcW w:type="dxa" w:w="1881"/>
          </w:tcPr>
          <w:p>
            <w:r/>
            <w:r>
              <w:rPr>
                <w:sz w:val="20"/>
              </w:rPr>
              <w:t>6</w:t>
            </w:r>
          </w:p>
        </w:tc>
        <w:tc>
          <w:tcPr>
            <w:tcW w:type="dxa" w:w="1881"/>
          </w:tcPr>
          <w:p>
            <w:r/>
            <w:r>
              <w:rPr>
                <w:sz w:val="20"/>
              </w:rPr>
              <w:t>0.498</w:t>
            </w:r>
          </w:p>
        </w:tc>
      </w:tr>
      <w:tr>
        <w:tc>
          <w:tcPr>
            <w:tcW w:type="dxa" w:w="1881"/>
          </w:tcPr>
          <w:p>
            <w:r/>
            <w:r>
              <w:rPr>
                <w:sz w:val="20"/>
              </w:rPr>
              <w:t>GJR-GARCH(1,1,1) t</w:t>
            </w:r>
          </w:p>
        </w:tc>
        <w:tc>
          <w:tcPr>
            <w:tcW w:type="dxa" w:w="1881"/>
          </w:tcPr>
          <w:p>
            <w:r/>
            <w:r>
              <w:rPr>
                <w:sz w:val="20"/>
              </w:rPr>
              <w:t>3224.30</w:t>
            </w:r>
          </w:p>
        </w:tc>
        <w:tc>
          <w:tcPr>
            <w:tcW w:type="dxa" w:w="1881"/>
          </w:tcPr>
          <w:p>
            <w:r/>
            <w:r>
              <w:rPr>
                <w:sz w:val="20"/>
              </w:rPr>
              <w:t>3253.30</w:t>
            </w:r>
          </w:p>
        </w:tc>
        <w:tc>
          <w:tcPr>
            <w:tcW w:type="dxa" w:w="1881"/>
          </w:tcPr>
          <w:p>
            <w:r/>
            <w:r>
              <w:rPr>
                <w:sz w:val="20"/>
              </w:rPr>
              <w:t>7</w:t>
            </w:r>
          </w:p>
        </w:tc>
        <w:tc>
          <w:tcPr>
            <w:tcW w:type="dxa" w:w="1881"/>
          </w:tcPr>
          <w:p>
            <w:r/>
            <w:r>
              <w:rPr>
                <w:sz w:val="20"/>
              </w:rPr>
              <w:t>0.487</w:t>
            </w:r>
          </w:p>
        </w:tc>
      </w:tr>
      <w:tr>
        <w:tc>
          <w:tcPr>
            <w:tcW w:type="dxa" w:w="1881"/>
          </w:tcPr>
          <w:p>
            <w:r/>
            <w:r>
              <w:rPr>
                <w:sz w:val="20"/>
              </w:rPr>
              <w:t>GARCH(2,2) Normal</w:t>
            </w:r>
          </w:p>
        </w:tc>
        <w:tc>
          <w:tcPr>
            <w:tcW w:type="dxa" w:w="1881"/>
          </w:tcPr>
          <w:p>
            <w:r/>
            <w:r>
              <w:rPr>
                <w:sz w:val="20"/>
              </w:rPr>
              <w:t>3239.60</w:t>
            </w:r>
          </w:p>
        </w:tc>
        <w:tc>
          <w:tcPr>
            <w:tcW w:type="dxa" w:w="1881"/>
          </w:tcPr>
          <w:p>
            <w:r/>
            <w:r>
              <w:rPr>
                <w:sz w:val="20"/>
              </w:rPr>
              <w:t>3278.50</w:t>
            </w:r>
          </w:p>
        </w:tc>
        <w:tc>
          <w:tcPr>
            <w:tcW w:type="dxa" w:w="1881"/>
          </w:tcPr>
          <w:p>
            <w:r/>
            <w:r>
              <w:rPr>
                <w:sz w:val="20"/>
              </w:rPr>
              <w:t>6</w:t>
            </w:r>
          </w:p>
        </w:tc>
        <w:tc>
          <w:tcPr>
            <w:tcW w:type="dxa" w:w="1881"/>
          </w:tcPr>
          <w:p>
            <w:r/>
            <w:r>
              <w:rPr>
                <w:sz w:val="20"/>
              </w:rPr>
              <w:t>0.391</w:t>
            </w:r>
          </w:p>
        </w:tc>
      </w:tr>
    </w:tbl>
    <w:p>
      <w:pPr>
        <w:spacing w:before="160" w:after="80"/>
      </w:pPr>
      <w:r>
        <w:rPr>
          <w:b/>
          <w:color w:val="1F4E79"/>
          <w:sz w:val="22"/>
        </w:rPr>
        <w:t>(a) Mejor modelo por AIC y por BIC: razón de divergencia</w:t>
      </w:r>
    </w:p>
    <w:p>
      <w:r>
        <w:rPr>
          <w:b/>
        </w:rPr>
        <w:t xml:space="preserve">Por AIC: </w:t>
      </w:r>
      <w:r>
        <w:t>GJR-GARCH(1,1,1)-t con AIC = 3224.30 (el menor).</w:t>
      </w:r>
    </w:p>
    <w:p>
      <w:r>
        <w:rPr>
          <w:b/>
        </w:rPr>
        <w:t xml:space="preserve">Por BIC: </w:t>
      </w:r>
      <w:r>
        <w:t>GARCH(1,1)-t con BIC = 3249.60 (el menor).</w:t>
      </w:r>
    </w:p>
    <w:p>
      <w:r>
        <w:rPr>
          <w:b w:val="0"/>
          <w:i w:val="0"/>
          <w:sz w:val="22"/>
        </w:rPr>
        <w:t>Las fórmulas son:</w:t>
      </w:r>
    </w:p>
    <w:p>
      <w:pPr>
        <w:spacing w:before="120" w:after="120"/>
        <w:jc w:val="center"/>
      </w:pPr>
      <w:r>
        <w:rPr>
          <w:rFonts w:ascii="Cambria Math" w:hAnsi="Cambria Math"/>
          <w:i/>
          <w:sz w:val="24"/>
        </w:rPr>
        <w:t>AIC = −2ℓ + 2k</w:t>
      </w:r>
    </w:p>
    <w:p>
      <w:pPr>
        <w:spacing w:before="120" w:after="120"/>
        <w:jc w:val="center"/>
      </w:pPr>
      <w:r>
        <w:rPr>
          <w:rFonts w:ascii="Cambria Math" w:hAnsi="Cambria Math"/>
          <w:i/>
          <w:sz w:val="24"/>
        </w:rPr>
        <w:t>BIC = −2ℓ + k · log(n)</w:t>
      </w:r>
    </w:p>
    <w:p>
      <w:r>
        <w:rPr>
          <w:b w:val="0"/>
          <w:i w:val="0"/>
          <w:sz w:val="22"/>
        </w:rPr>
        <w:t>El BIC penaliza la complejidad con log(n), no con 2. Para n &gt; 7 ya se cumple log(n) &gt; 2, así que en muestras grandes el BIC favorece fuertemente modelos más parsimoniosos. El AIC tiende a sobreparametrizar.</w:t>
      </w:r>
    </w:p>
    <w:p>
      <w:r>
        <w:rPr>
          <w:b/>
        </w:rPr>
        <w:t xml:space="preserve">Resolución práctica: </w:t>
      </w:r>
      <w:r>
        <w:t>si el objetivo principal es pronóstico, AIC suele preferirse (mayor flexibilidad). Si el objetivo es identificar el modelo "verdadero" (en sentido asintótico), BIC es consistente y preferido.</w:t>
      </w:r>
    </w:p>
    <w:p>
      <w:pPr>
        <w:spacing w:before="160" w:after="80"/>
      </w:pPr>
      <w:r>
        <w:rPr>
          <w:b/>
          <w:color w:val="1F4E79"/>
          <w:sz w:val="22"/>
        </w:rPr>
        <w:t>(b) GARCH(2,2) con mayor AIC: implicación</w:t>
      </w:r>
    </w:p>
    <w:p>
      <w:r>
        <w:rPr>
          <w:b w:val="0"/>
          <w:i w:val="0"/>
          <w:sz w:val="22"/>
        </w:rPr>
        <w:t>El GARCH(2,2) Normal tiene AIC = 3239.60, prácticamente igual al GARCH(1,1) Normal (3241.80), pero con dos parámetros adicionales. Esto significa que los rezagos adicionales no aportan información sustancial; la estructura esencial de la volatilidad se captura con un solo rezago en ARCH y un solo rezago en GARCH.</w:t>
      </w:r>
    </w:p>
    <w:p>
      <w:r>
        <w:rPr>
          <w:b w:val="0"/>
          <w:i w:val="0"/>
          <w:sz w:val="22"/>
        </w:rPr>
        <w:t>Esto es típico en la literatura: GARCH(1,1) es el "caballo de batalla" precisamente porque rara vez incrementar órdenes mejora significativamente el ajuste.</w:t>
      </w:r>
    </w:p>
    <w:p>
      <w:pPr>
        <w:spacing w:before="160" w:after="80"/>
      </w:pPr>
      <w:r>
        <w:rPr>
          <w:b/>
          <w:color w:val="1F4E79"/>
          <w:sz w:val="22"/>
        </w:rPr>
        <w:t>(c) LB(ẑ²) &gt; 0.05 en todos los modelos</w:t>
      </w:r>
    </w:p>
    <w:p>
      <w:r>
        <w:rPr>
          <w:b w:val="0"/>
          <w:i w:val="0"/>
          <w:sz w:val="22"/>
        </w:rPr>
        <w:t>Ningún modelo deja autocorrelación residual significativa en cuadrados. Conclusión: la familia GARCH es adecuada para estos datos. La elección entre miembros de la familia depende entonces de criterios complementarios: AIC/BIC, parsimonia, y propiedades específicas como asimetría o colas pesadas.</w:t>
      </w:r>
    </w:p>
    <w:p>
      <w:pPr>
        <w:spacing w:before="160" w:after="80"/>
      </w:pPr>
      <w:r>
        <w:rPr>
          <w:b/>
          <w:color w:val="1F4E79"/>
          <w:sz w:val="22"/>
        </w:rPr>
        <w:t>(d) Pronóstico de σ²_{t+k} a 5 días para GARCH(1,1)-t</w:t>
      </w:r>
    </w:p>
    <w:p>
      <w:r>
        <w:rPr>
          <w:b w:val="0"/>
          <w:i w:val="0"/>
          <w:sz w:val="22"/>
        </w:rPr>
        <w:t>Datos: σ²_{t+1} = 0.0025, σ̄² = 0.0018, α + β = 0.963. Fórmula:</w:t>
      </w:r>
    </w:p>
    <w:p>
      <w:pPr>
        <w:spacing w:before="120" w:after="120"/>
        <w:jc w:val="center"/>
      </w:pPr>
      <w:r>
        <w:rPr>
          <w:rFonts w:ascii="Cambria Math" w:hAnsi="Cambria Math"/>
          <w:i/>
          <w:sz w:val="24"/>
        </w:rPr>
        <w:t>σ²_{t+k} = σ̄² + (α + β)^(k−1) · (σ²_{t+1} − σ̄²)</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
              <w:rPr>
                <w:b/>
                <w:sz w:val="20"/>
              </w:rPr>
              <w:t>k</w:t>
            </w:r>
          </w:p>
        </w:tc>
        <w:tc>
          <w:tcPr>
            <w:tcW w:type="dxa" w:w="3135"/>
          </w:tcPr>
          <w:p>
            <w:r/>
            <w:r>
              <w:rPr>
                <w:b/>
                <w:sz w:val="20"/>
              </w:rPr>
              <w:t>(α+β)^(k−1) · 0.0007</w:t>
            </w:r>
          </w:p>
        </w:tc>
        <w:tc>
          <w:tcPr>
            <w:tcW w:type="dxa" w:w="3135"/>
          </w:tcPr>
          <w:p>
            <w:r/>
            <w:r>
              <w:rPr>
                <w:b/>
                <w:sz w:val="20"/>
              </w:rPr>
              <w:t>σ²_{t+k}</w:t>
            </w:r>
          </w:p>
        </w:tc>
      </w:tr>
      <w:tr>
        <w:tc>
          <w:tcPr>
            <w:tcW w:type="dxa" w:w="3135"/>
          </w:tcPr>
          <w:p>
            <w:r/>
            <w:r>
              <w:rPr>
                <w:sz w:val="20"/>
              </w:rPr>
              <w:t>1</w:t>
            </w:r>
          </w:p>
        </w:tc>
        <w:tc>
          <w:tcPr>
            <w:tcW w:type="dxa" w:w="3135"/>
          </w:tcPr>
          <w:p>
            <w:r/>
            <w:r>
              <w:rPr>
                <w:sz w:val="20"/>
              </w:rPr>
              <w:t>—</w:t>
            </w:r>
          </w:p>
        </w:tc>
        <w:tc>
          <w:tcPr>
            <w:tcW w:type="dxa" w:w="3135"/>
          </w:tcPr>
          <w:p>
            <w:r/>
            <w:r>
              <w:rPr>
                <w:sz w:val="20"/>
              </w:rPr>
              <w:t>0.002500</w:t>
            </w:r>
          </w:p>
        </w:tc>
      </w:tr>
      <w:tr>
        <w:tc>
          <w:tcPr>
            <w:tcW w:type="dxa" w:w="3135"/>
          </w:tcPr>
          <w:p>
            <w:r/>
            <w:r>
              <w:rPr>
                <w:sz w:val="20"/>
              </w:rPr>
              <w:t>2</w:t>
            </w:r>
          </w:p>
        </w:tc>
        <w:tc>
          <w:tcPr>
            <w:tcW w:type="dxa" w:w="3135"/>
          </w:tcPr>
          <w:p>
            <w:r/>
            <w:r>
              <w:rPr>
                <w:sz w:val="20"/>
              </w:rPr>
              <w:t>0.963 × 0.0007 = 0.000674</w:t>
            </w:r>
          </w:p>
        </w:tc>
        <w:tc>
          <w:tcPr>
            <w:tcW w:type="dxa" w:w="3135"/>
          </w:tcPr>
          <w:p>
            <w:r/>
            <w:r>
              <w:rPr>
                <w:sz w:val="20"/>
              </w:rPr>
              <w:t>0.002474</w:t>
            </w:r>
          </w:p>
        </w:tc>
      </w:tr>
      <w:tr>
        <w:tc>
          <w:tcPr>
            <w:tcW w:type="dxa" w:w="3135"/>
          </w:tcPr>
          <w:p>
            <w:r/>
            <w:r>
              <w:rPr>
                <w:sz w:val="20"/>
              </w:rPr>
              <w:t>3</w:t>
            </w:r>
          </w:p>
        </w:tc>
        <w:tc>
          <w:tcPr>
            <w:tcW w:type="dxa" w:w="3135"/>
          </w:tcPr>
          <w:p>
            <w:r/>
            <w:r>
              <w:rPr>
                <w:sz w:val="20"/>
              </w:rPr>
              <w:t>0.963² × 0.0007 = 0.000649</w:t>
            </w:r>
          </w:p>
        </w:tc>
        <w:tc>
          <w:tcPr>
            <w:tcW w:type="dxa" w:w="3135"/>
          </w:tcPr>
          <w:p>
            <w:r/>
            <w:r>
              <w:rPr>
                <w:sz w:val="20"/>
              </w:rPr>
              <w:t>0.002449</w:t>
            </w:r>
          </w:p>
        </w:tc>
      </w:tr>
      <w:tr>
        <w:tc>
          <w:tcPr>
            <w:tcW w:type="dxa" w:w="3135"/>
          </w:tcPr>
          <w:p>
            <w:r/>
            <w:r>
              <w:rPr>
                <w:sz w:val="20"/>
              </w:rPr>
              <w:t>4</w:t>
            </w:r>
          </w:p>
        </w:tc>
        <w:tc>
          <w:tcPr>
            <w:tcW w:type="dxa" w:w="3135"/>
          </w:tcPr>
          <w:p>
            <w:r/>
            <w:r>
              <w:rPr>
                <w:sz w:val="20"/>
              </w:rPr>
              <w:t>0.963³ × 0.0007 = 0.000625</w:t>
            </w:r>
          </w:p>
        </w:tc>
        <w:tc>
          <w:tcPr>
            <w:tcW w:type="dxa" w:w="3135"/>
          </w:tcPr>
          <w:p>
            <w:r/>
            <w:r>
              <w:rPr>
                <w:sz w:val="20"/>
              </w:rPr>
              <w:t>0.002425</w:t>
            </w:r>
          </w:p>
        </w:tc>
      </w:tr>
      <w:tr>
        <w:tc>
          <w:tcPr>
            <w:tcW w:type="dxa" w:w="3135"/>
          </w:tcPr>
          <w:p>
            <w:r/>
            <w:r>
              <w:rPr>
                <w:sz w:val="20"/>
              </w:rPr>
              <w:t>5</w:t>
            </w:r>
          </w:p>
        </w:tc>
        <w:tc>
          <w:tcPr>
            <w:tcW w:type="dxa" w:w="3135"/>
          </w:tcPr>
          <w:p>
            <w:r/>
            <w:r>
              <w:rPr>
                <w:sz w:val="20"/>
              </w:rPr>
              <w:t>0.963⁴ × 0.0007 = 0.000602</w:t>
            </w:r>
          </w:p>
        </w:tc>
        <w:tc>
          <w:tcPr>
            <w:tcW w:type="dxa" w:w="3135"/>
          </w:tcPr>
          <w:p>
            <w:r/>
            <w:r>
              <w:rPr>
                <w:sz w:val="20"/>
              </w:rPr>
              <w:t>0.002402</w:t>
            </w:r>
          </w:p>
        </w:tc>
      </w:tr>
    </w:tbl>
    <w:p>
      <w:r>
        <w:rPr>
          <w:b w:val="0"/>
          <w:i w:val="0"/>
          <w:sz w:val="22"/>
        </w:rPr>
        <w:t>La varianza esperada decae lentamente desde 0.0025 hacia el nivel de largo plazo 0.0018.</w:t>
      </w:r>
    </w:p>
    <w:p>
      <w:pPr>
        <w:spacing w:before="160" w:after="80"/>
      </w:pPr>
      <w:r>
        <w:rPr>
          <w:b/>
          <w:color w:val="1F4E79"/>
          <w:sz w:val="22"/>
        </w:rPr>
        <w:t>(e) Recomendación bajo Basilea III</w:t>
      </w:r>
    </w:p>
    <w:p>
      <w:r>
        <w:rPr>
          <w:b w:val="0"/>
          <w:i w:val="0"/>
          <w:sz w:val="22"/>
        </w:rPr>
        <w:t>Basilea III exige VaR al 99% a 10 días para riesgo de mercado. Las consideraciones clave son:</w:t>
      </w:r>
    </w:p>
    <w:p>
      <w:pPr>
        <w:pStyle w:val="ListBullet"/>
      </w:pPr>
      <w:r>
        <w:t>Colas pesadas (típicas en finanzas) → usar distribución t-Student.</w:t>
      </w:r>
    </w:p>
    <w:p>
      <w:pPr>
        <w:pStyle w:val="ListBullet"/>
      </w:pPr>
      <w:r>
        <w:t>Asimetría / efecto apalancamiento → usar GJR-GARCH o EGARCH.</w:t>
      </w:r>
    </w:p>
    <w:p>
      <w:pPr>
        <w:pStyle w:val="ListBullet"/>
      </w:pPr>
      <w:r>
        <w:t>Mejor AIC entre los modelos asimétricos: GJR-GARCH(1,1,1)-t.</w:t>
      </w:r>
    </w:p>
    <w:p>
      <w:r>
        <w:rPr>
          <w:b/>
        </w:rPr>
        <w:t xml:space="preserve">Recomendación: </w:t>
      </w:r>
      <w:r>
        <w:t>GJR-GARCH(1,1,1)-t. Combina captura de asimetría (relevante porque el VaR mide riesgo a la baja), colas pesadas para eventos extremos, y mejor ajuste según AIC que el GARCH simétrico. Es el estándar bancario para portafolios con renta variable o crédito.</w:t>
      </w:r>
    </w:p>
    <w:p>
      <w:r>
        <w:br w:type="page"/>
      </w:r>
    </w:p>
    <w:p>
      <w:pPr>
        <w:pStyle w:val="Heading1"/>
      </w:pPr>
      <w:r>
        <w:t>Parte B — Preguntas estilo CFA</w:t>
      </w:r>
    </w:p>
    <w:p>
      <w:r>
        <w:rPr>
          <w:b w:val="0"/>
          <w:i/>
          <w:sz w:val="22"/>
        </w:rPr>
        <w:t>Formato: respuesta correcta con justificación, seguida del análisis de por qué las opciones incorrectas están mal.</w:t>
      </w:r>
    </w:p>
    <w:p/>
    <w:p>
      <w:pPr>
        <w:pStyle w:val="Heading2"/>
      </w:pPr>
      <w:r>
        <w:t>CFA 11 — ACF no significativa en r_t pero sí en r_t²</w:t>
      </w:r>
    </w:p>
    <w:p>
      <w:r>
        <w:rPr>
          <w:b/>
          <w:color w:val="1F4E79"/>
        </w:rPr>
        <w:t xml:space="preserve">Respuesta correcta: B. </w:t>
      </w:r>
      <w:r>
        <w:t>Heterocedasticidad condicional (efecto ARCH); un modelo GARCH es apropiado.</w:t>
      </w:r>
    </w:p>
    <w:p>
      <w:r>
        <w:rPr>
          <w:b/>
        </w:rPr>
        <w:t xml:space="preserve">Justificación: </w:t>
      </w:r>
      <w:r>
        <w:t>ACF no significativa en r_t indica ausencia de autocorrelación en media, consistente con la hipótesis de mercados eficientes. ACF significativa en r_t² indica que la magnitud de los rendimientos está serialmente correlacionada, lo que implica varianza condicional dependiente del tiempo. Esta es la firma característica del efecto ARCH y justifica el uso de un GARCH.</w:t>
      </w:r>
    </w:p>
    <w:p>
      <w:r>
        <w:rPr>
          <w:b w:val="0"/>
          <w:i w:val="0"/>
          <w:sz w:val="22"/>
        </w:rPr>
        <w:t>Por qué las otras están mal:</w:t>
      </w:r>
    </w:p>
    <w:p>
      <w:pPr>
        <w:pStyle w:val="ListBullet"/>
      </w:pPr>
      <w:r>
        <w:t>A. Si fueran i.i.d., también la ACF de r_t² sería nula. No es el caso.</w:t>
      </w:r>
    </w:p>
    <w:p>
      <w:pPr>
        <w:pStyle w:val="ListBullet"/>
      </w:pPr>
      <w:r>
        <w:t>C. No hay autocorrelación en r_t, así que un ARMA no es apropiado.</w:t>
      </w:r>
    </w:p>
    <w:p>
      <w:pPr>
        <w:pStyle w:val="ListBullet"/>
      </w:pPr>
      <w:r>
        <w:t>D. Una caminata aleatoria con tendencia determinista no explica autocorrelación en cuadrados.</w:t>
      </w:r>
    </w:p>
    <w:p>
      <w:pPr>
        <w:pStyle w:val="Heading2"/>
      </w:pPr>
      <w:r>
        <w:t>CFA 12 — GARCH(1,1) EUR/USD con α + β = 0.99</w:t>
      </w:r>
    </w:p>
    <w:p>
      <w:r>
        <w:rPr>
          <w:b/>
          <w:color w:val="1F4E79"/>
        </w:rPr>
        <w:t xml:space="preserve">Respuesta correcta: B. </w:t>
      </w:r>
      <w:r>
        <w:t>La persistencia α̂ + β̂ = 0.99 implica reversión muy lenta: los choques tardan muchos periodos en disiparse.</w:t>
      </w:r>
    </w:p>
    <w:p>
      <w:r>
        <w:rPr>
          <w:b/>
        </w:rPr>
        <w:t xml:space="preserve">Justificación: </w:t>
      </w:r>
      <w:r>
        <w:t>La vida media de un shock es h* = ln(0.5) / ln(α+β) = ln(0.5) / ln(0.99) ≈ 69 días. Casi 70 días para que se disipe la mitad del impacto. Eso es lo opuesto a una reversión rápida.</w:t>
      </w:r>
    </w:p>
    <w:p>
      <w:r>
        <w:rPr>
          <w:b w:val="0"/>
          <w:i w:val="0"/>
          <w:sz w:val="22"/>
        </w:rPr>
        <w:t>Por qué las otras están mal:</w:t>
      </w:r>
    </w:p>
    <w:p>
      <w:pPr>
        <w:pStyle w:val="ListBullet"/>
      </w:pPr>
      <w:r>
        <w:t>A. α̂ pequeño no implica reversión rápida; lo que determina la persistencia es la suma α + β.</w:t>
      </w:r>
    </w:p>
    <w:p>
      <w:pPr>
        <w:pStyle w:val="ListBullet"/>
      </w:pPr>
      <w:r>
        <w:t>C. β &gt; 0.9 por sí solo no garantiza estacionariedad; se requiere α + β &lt; 1.</w:t>
      </w:r>
    </w:p>
    <w:p>
      <w:pPr>
        <w:pStyle w:val="ListBullet"/>
      </w:pPr>
      <w:r>
        <w:t>D. α + β &gt; 1 implica explosión (no estacionariedad), no reversión rápida.</w:t>
      </w:r>
    </w:p>
    <w:p>
      <w:pPr>
        <w:pStyle w:val="Heading2"/>
      </w:pPr>
      <w:r>
        <w:t>CFA 13 — EGARCH versus GARCH</w:t>
      </w:r>
    </w:p>
    <w:p>
      <w:r>
        <w:rPr>
          <w:b/>
          <w:color w:val="1F4E79"/>
        </w:rPr>
        <w:t xml:space="preserve">Respuesta correcta: B. </w:t>
      </w:r>
      <w:r>
        <w:t>El EGARCH modela log σ_t² sin restricciones de signo y captura asimetría en el impacto de innovaciones positivas y negativas.</w:t>
      </w:r>
    </w:p>
    <w:p>
      <w:r>
        <w:rPr>
          <w:b w:val="0"/>
          <w:i w:val="0"/>
          <w:sz w:val="22"/>
        </w:rPr>
        <w:t>Por qué las otras están mal:</w:t>
      </w:r>
    </w:p>
    <w:p>
      <w:pPr>
        <w:pStyle w:val="ListBullet"/>
      </w:pPr>
      <w:r>
        <w:t>A. Falso. El EGARCH NO requiere ω &gt; 0, α ≥ 0 ni β ≥ 0. Esa es justamente su ventaja.</w:t>
      </w:r>
    </w:p>
    <w:p>
      <w:pPr>
        <w:pStyle w:val="ListBullet"/>
      </w:pPr>
      <w:r>
        <w:t>C. Falso. El AIC depende de los datos. El EGARCH puede tener AIC mayor si la asimetría no aporta valor.</w:t>
      </w:r>
    </w:p>
    <w:p>
      <w:pPr>
        <w:pStyle w:val="ListBullet"/>
      </w:pPr>
      <w:r>
        <w:t>D. Falso. Las predicciones difieren cuando existe asimetría real en los datos.</w:t>
      </w:r>
    </w:p>
    <w:p>
      <w:pPr>
        <w:pStyle w:val="Heading2"/>
      </w:pPr>
      <w:r>
        <w:t>CFA 14 — VaR-GARCH mayor que VaR histórico</w:t>
      </w:r>
    </w:p>
    <w:p>
      <w:r>
        <w:rPr>
          <w:b/>
          <w:color w:val="1F4E79"/>
        </w:rPr>
        <w:t xml:space="preserve">Respuesta correcta: B. </w:t>
      </w:r>
      <w:r>
        <w:t>La volatilidad condicional actual supera la volatilidad histórica promedio, lo que ocurre típicamente en periodos de tensión de mercado.</w:t>
      </w:r>
    </w:p>
    <w:p>
      <w:r>
        <w:rPr>
          <w:b/>
        </w:rPr>
        <w:t xml:space="preserve">Justificación: </w:t>
      </w:r>
      <w:r>
        <w:t>Si σ̂_t actual es mayor que σ̄_histórica, el VaR condicional refleja este estado de estrés y supera al VaR histórico estático. Esta es precisamente la ventaja del enfoque GARCH: adaptarse al régimen actual.</w:t>
      </w:r>
    </w:p>
    <w:p>
      <w:r>
        <w:rPr>
          <w:b w:val="0"/>
          <w:i w:val="0"/>
          <w:sz w:val="22"/>
        </w:rPr>
        <w:t>Por qué las otras están mal:</w:t>
      </w:r>
    </w:p>
    <w:p>
      <w:pPr>
        <w:pStyle w:val="ListBullet"/>
      </w:pPr>
      <w:r>
        <w:t>A. No siempre. En periodos de calma, el VaR-GARCH puede ser menor que el histórico.</w:t>
      </w:r>
    </w:p>
    <w:p>
      <w:pPr>
        <w:pStyle w:val="ListBullet"/>
      </w:pPr>
      <w:r>
        <w:t>C. Falso. La distribución t-Student tiene colas más pesadas que la normal, no más delgadas.</w:t>
      </w:r>
    </w:p>
    <w:p>
      <w:pPr>
        <w:pStyle w:val="ListBullet"/>
      </w:pPr>
      <w:r>
        <w:t>D. El VaR histórico tampoco asume correlación serial; no es el punto central.</w:t>
      </w:r>
    </w:p>
    <w:p>
      <w:pPr>
        <w:pStyle w:val="Heading2"/>
      </w:pPr>
      <w:r>
        <w:t>CFA 15 — SARIMAX con VIX como variable exógena</w:t>
      </w:r>
    </w:p>
    <w:p>
      <w:r>
        <w:rPr>
          <w:b/>
          <w:color w:val="1F4E79"/>
        </w:rPr>
        <w:t xml:space="preserve">Respuesta correcta: B. </w:t>
      </w:r>
      <w:r>
        <w:t>El VIX debe ser estrictamente exógeno: Cov(x_t, ε_s) = 0 para todo t y s, sin retroalimentación del portafolio hacia el VIX.</w:t>
      </w:r>
    </w:p>
    <w:p>
      <w:r>
        <w:rPr>
          <w:b/>
        </w:rPr>
        <w:t xml:space="preserve">Justificación: </w:t>
      </w:r>
      <w:r>
        <w:t>La consistencia del estimador SARIMAX depende crucialmente de la exogeneidad estricta. Si el portafolio de opciones (que puede ser VIX-sensible) retroalimenta el nivel del VIX, hay simultaneidad y los estimadores son sesgados e inconsistentes.</w:t>
      </w:r>
    </w:p>
    <w:p>
      <w:r>
        <w:rPr>
          <w:b w:val="0"/>
          <w:i w:val="0"/>
          <w:sz w:val="22"/>
        </w:rPr>
        <w:t>Por qué las otras están mal:</w:t>
      </w:r>
    </w:p>
    <w:p>
      <w:pPr>
        <w:pStyle w:val="ListBullet"/>
      </w:pPr>
      <w:r>
        <w:t>A. La normalidad de la variable exógena no es requisito para la estimación SARIMAX.</w:t>
      </w:r>
    </w:p>
    <w:p>
      <w:pPr>
        <w:pStyle w:val="ListBullet"/>
      </w:pPr>
      <w:r>
        <w:t>C. Si el VIX no es estacionario en niveles, puede diferenciarse antes de incluirlo. No es un requisito crítico.</w:t>
      </w:r>
    </w:p>
    <w:p>
      <w:pPr>
        <w:pStyle w:val="ListBullet"/>
      </w:pPr>
      <w:r>
        <w:t>D. Tener el mismo orden de integración es deseable (para evitar regresión espuria) pero no es estrictamente necesario en SARIMAX.</w:t>
      </w:r>
    </w:p>
    <w:p>
      <w:pPr>
        <w:pStyle w:val="Heading2"/>
      </w:pPr>
      <w:r>
        <w:t>CFA 16 — Ljung-Box sobre ẑ² con p-valor = 0.002</w:t>
      </w:r>
    </w:p>
    <w:p>
      <w:r>
        <w:rPr>
          <w:b/>
          <w:color w:val="1F4E79"/>
        </w:rPr>
        <w:t xml:space="preserve">Respuesta correcta: B. </w:t>
      </w:r>
      <w:r>
        <w:t>El GARCH no capturó toda la estructura de la varianza; persiste autocorrelación en ẑ_t². Conviene incrementar los órdenes o cambiar la especificación.</w:t>
      </w:r>
    </w:p>
    <w:p>
      <w:r>
        <w:rPr>
          <w:b/>
        </w:rPr>
        <w:t xml:space="preserve">Justificación: </w:t>
      </w:r>
      <w:r>
        <w:t>La prueba Ljung-Box sobre cuadrados de residuales estandarizados evalúa si el GARCH absorbió la heterocedasticidad. Un p-valor = 0.002 rechaza la hipótesis nula de no-autocorrelación, indicando que el modelo es inadecuado.</w:t>
      </w:r>
    </w:p>
    <w:p>
      <w:r>
        <w:rPr>
          <w:b/>
        </w:rPr>
        <w:t xml:space="preserve">Posibles remedios: </w:t>
      </w:r>
      <w:r>
        <w:t>aumentar los órdenes (p, q) del GARCH, cambiar a EGARCH o GJR-GARCH (si hay asimetría no capturada), o usar un Component-GARCH para captar memoria larga.</w:t>
      </w:r>
    </w:p>
    <w:p>
      <w:r>
        <w:rPr>
          <w:b w:val="0"/>
          <w:i w:val="0"/>
          <w:sz w:val="22"/>
        </w:rPr>
        <w:t>Por qué las otras están mal:</w:t>
      </w:r>
    </w:p>
    <w:p>
      <w:pPr>
        <w:pStyle w:val="ListBullet"/>
      </w:pPr>
      <w:r>
        <w:t>A. Contradice la evidencia. Un p = 0.002 rechaza la hipótesis de adecuación.</w:t>
      </w:r>
    </w:p>
    <w:p>
      <w:pPr>
        <w:pStyle w:val="ListBullet"/>
      </w:pPr>
      <w:r>
        <w:t>C. Cambiar la distribución (a t-Student o GED) no soluciona problemas de autocorrelación en cuadrados; eso es un problema estructural del modelo.</w:t>
      </w:r>
    </w:p>
    <w:p>
      <w:pPr>
        <w:pStyle w:val="ListBullet"/>
      </w:pPr>
      <w:r>
        <w:t>D. La estacionariedad en media no se evalúa con LB sobre cuadrados.</w:t>
      </w:r>
    </w:p>
    <w:p>
      <w:pPr>
        <w:pStyle w:val="Heading2"/>
      </w:pPr>
      <w:r>
        <w:t>CFA 17 — GARCH-M con δ̂ &gt; 0 significativo</w:t>
      </w:r>
    </w:p>
    <w:p>
      <w:r>
        <w:rPr>
          <w:b/>
          <w:color w:val="1F4E79"/>
        </w:rPr>
        <w:t xml:space="preserve">Respuesta correcta: A. </w:t>
      </w:r>
      <w:r>
        <w:t>Existe una prima de riesgo positiva: los inversionistas exigen mayor retorno cuando la volatilidad condicional es mayor, consistente con la teoría de portafolios.</w:t>
      </w:r>
    </w:p>
    <w:p>
      <w:r>
        <w:rPr>
          <w:b/>
        </w:rPr>
        <w:t xml:space="preserve">Justificación: </w:t>
      </w:r>
      <w:r>
        <w:t>El modelo r_t = μ + δσ_t + ε_t con δ &gt; 0 significativo es la base teórica de Merton (1973) y la teoría moderna de portafolios. Es el fundamento estadístico de la relación riesgo-retorno positiva.</w:t>
      </w:r>
    </w:p>
    <w:p>
      <w:r>
        <w:rPr>
          <w:b w:val="0"/>
          <w:i w:val="0"/>
          <w:sz w:val="22"/>
        </w:rPr>
        <w:t>Por qué las otras están mal:</w:t>
      </w:r>
    </w:p>
    <w:p>
      <w:pPr>
        <w:pStyle w:val="ListBullet"/>
      </w:pPr>
      <w:r>
        <w:t>B. Signo opuesto al observado. δ &gt; 0 no implica efecto negativo.</w:t>
      </w:r>
    </w:p>
    <w:p>
      <w:pPr>
        <w:pStyle w:val="ListBullet"/>
      </w:pPr>
      <w:r>
        <w:t>C. El GARCH-M está bien especificado precisamente para incluir σ_t en la ecuación de media.</w:t>
      </w:r>
    </w:p>
    <w:p>
      <w:pPr>
        <w:pStyle w:val="ListBullet"/>
      </w:pPr>
      <w:r>
        <w:t>D. Existe predictibilidad en sentido condicional (dado el conjunto de información F_{t-1}), pero esto NO viola la hipótesis de mercados eficientes en sentido débil. La información usada es pública y pasada.</w:t>
      </w:r>
    </w:p>
    <w:p>
      <w:pPr>
        <w:pStyle w:val="Heading2"/>
      </w:pPr>
      <w:r>
        <w:t>CFA 18 — GARCH Normal versus GARCH-t</w:t>
      </w:r>
    </w:p>
    <w:p>
      <w:r>
        <w:rPr>
          <w:b/>
          <w:color w:val="1F4E79"/>
        </w:rPr>
        <w:t xml:space="preserve">Respuesta correcta: B. </w:t>
      </w:r>
      <w:r>
        <w:t>Se prefiere el modelo t: el AIC menor indica que la mejora en ajuste por colas pesadas compensa el parámetro adicional ν.</w:t>
      </w:r>
    </w:p>
    <w:p>
      <w:r>
        <w:rPr>
          <w:b/>
        </w:rPr>
        <w:t xml:space="preserve">Justificación: </w:t>
      </w:r>
      <w:r>
        <w:t>ΔAIC = 3241.8 − 3228.5 = 13.3 puntos. Diferencias mayores a 10 puntos son consideradas decisivas en favor del modelo con menor AIC. La distribución t captura la curtosis &gt; 3 característica de los datos financieros. El parámetro adicional ν está bien justificado por la mejora.</w:t>
      </w:r>
    </w:p>
    <w:p>
      <w:r>
        <w:rPr>
          <w:b w:val="0"/>
          <w:i w:val="0"/>
          <w:sz w:val="22"/>
        </w:rPr>
        <w:t>Por qué las otras están mal:</w:t>
      </w:r>
    </w:p>
    <w:p>
      <w:pPr>
        <w:pStyle w:val="ListBullet"/>
      </w:pPr>
      <w:r>
        <w:t>A. Parsimonia no es el único criterio. El modelo t tiene apenas un parámetro más y el ajuste mejora claramente.</w:t>
      </w:r>
    </w:p>
    <w:p>
      <w:pPr>
        <w:pStyle w:val="ListBullet"/>
      </w:pPr>
      <w:r>
        <w:t>C. Falso. Los AIC son comparables entre modelos con diferentes distribuciones, siempre que la log-verosimilitud se calcule correctamente.</w:t>
      </w:r>
    </w:p>
    <w:p>
      <w:pPr>
        <w:pStyle w:val="ListBullet"/>
      </w:pPr>
      <w:r>
        <w:t>D. No existe tal regla. AIC y BIC son criterios complementarios; el tamaño de muestra los afecta pero no se excluyen mutuamente.</w:t>
      </w:r>
    </w:p>
    <w:p>
      <w:pPr>
        <w:pStyle w:val="Heading2"/>
      </w:pPr>
      <w:r>
        <w:t>CFA 19 — VaR a 10 días con la regla √10 bajo Basilea III</w:t>
      </w:r>
    </w:p>
    <w:p>
      <w:r>
        <w:rPr>
          <w:b/>
          <w:color w:val="1F4E79"/>
        </w:rPr>
        <w:t xml:space="preserve">Respuesta correcta: A. </w:t>
      </w:r>
      <w:r>
        <w:t>La regla √h es exacta para rendimientos i.i.d. normales pero, con clustering GARCH, la volatilidad no es constante. Los pronósticos multi-periodo deben iterarse con la ecuación de varianza del GARCH, no escalarse con √h.</w:t>
      </w:r>
    </w:p>
    <w:p>
      <w:r>
        <w:rPr>
          <w:b/>
        </w:rPr>
        <w:t xml:space="preserve">Justificación: </w:t>
      </w:r>
      <w:r>
        <w:t>Bajo GARCH, la varianza acumulada a horizonte H es Var(r_{t+1 a t+H} | F_t) = Σ E_t[σ²_{t+h}], que es distinta de H · σ_t². La regla √h sobreestima o subestima el VaR según si σ_t &gt; σ̄ o σ_t &lt; σ̄.</w:t>
      </w:r>
    </w:p>
    <w:p>
      <w:r>
        <w:rPr>
          <w:b w:val="0"/>
          <w:i w:val="0"/>
          <w:sz w:val="22"/>
        </w:rPr>
        <w:t>Por qué las otras están mal:</w:t>
      </w:r>
    </w:p>
    <w:p>
      <w:pPr>
        <w:pStyle w:val="ListBullet"/>
      </w:pPr>
      <w:r>
        <w:t>B. No es por la distribución, sino por la dinámica de la varianza.</w:t>
      </w:r>
    </w:p>
    <w:p>
      <w:pPr>
        <w:pStyle w:val="ListBullet"/>
      </w:pPr>
      <w:r>
        <w:t>C. El VaR sí es escalable temporalmente bajo i.i.d. normalidad. La sub-aditividad es una propiedad de portafolios (sobre activos), no temporal.</w:t>
      </w:r>
    </w:p>
    <w:p>
      <w:pPr>
        <w:pStyle w:val="ListBullet"/>
      </w:pPr>
      <w:r>
        <w:t>D. Basilea III no prescribe exactamente 250 días; usa ventanas más largas (típicamente 1 año = 250 días, pero esto no excluye GARCH).</w:t>
      </w:r>
    </w:p>
    <w:p>
      <w:pPr>
        <w:pStyle w:val="Heading2"/>
      </w:pPr>
      <w:r>
        <w:t>CFA 20 — Jarque-Bera significativo, Ljung-Box no significativo en SARIMAX</w:t>
      </w:r>
    </w:p>
    <w:p>
      <w:r>
        <w:rPr>
          <w:b/>
          <w:color w:val="1F4E79"/>
        </w:rPr>
        <w:t xml:space="preserve">Respuesta correcta: C. </w:t>
      </w:r>
      <w:r>
        <w:t>Mantener el SARIMAX para la media y reestimar con quasi-máxima verosimilitud (QML) o distribución t-Student para obtener inferencia válida bajo colas pesadas.</w:t>
      </w:r>
    </w:p>
    <w:p>
      <w:r>
        <w:rPr>
          <w:b/>
        </w:rPr>
        <w:t xml:space="preserve">Justificación: </w:t>
      </w:r>
      <w:r>
        <w:t>Ljung-Box no significativo indica que la dinámica de la media está bien capturada por el SARIMAX. Jarque-Bera significativo con curtosis 6.8 indica que la distribución de innovaciones NO es normal. La solución correcta es cambiar la distribución (manteniendo la especificación de media). Bajo QML, los estimadores siguen siendo consistentes, pero los errores estándar requieren corrección sandwich (Bollerslev-Wooldridge).</w:t>
      </w:r>
    </w:p>
    <w:p>
      <w:r>
        <w:rPr>
          <w:b w:val="0"/>
          <w:i w:val="0"/>
          <w:sz w:val="22"/>
        </w:rPr>
        <w:t>Por qué las otras están mal:</w:t>
      </w:r>
    </w:p>
    <w:p>
      <w:pPr>
        <w:pStyle w:val="ListBullet"/>
      </w:pPr>
      <w:r>
        <w:t>A. Aumentar los órdenes ARMA no corrige el problema de distribución; el LB ya pasa, indicando que la media está bien.</w:t>
      </w:r>
    </w:p>
    <w:p>
      <w:pPr>
        <w:pStyle w:val="ListBullet"/>
      </w:pPr>
      <w:r>
        <w:t>B. JB sí afecta: bajo no-normalidad, los errores estándar basados en la información de Fisher (MLE estándar) son incorrectos. La inferencia debe ajustarse.</w:t>
      </w:r>
    </w:p>
    <w:p>
      <w:pPr>
        <w:pStyle w:val="ListBullet"/>
      </w:pPr>
      <w:r>
        <w:t>D. Una segunda diferenciación estacional no resuelve curtosis y además puede sobre-diferenciar la serie.</w:t>
      </w:r>
    </w:p>
    <w:p>
      <w:r>
        <w:br w:type="page"/>
      </w:r>
    </w:p>
    <w:p>
      <w:pPr>
        <w:pStyle w:val="Heading1"/>
      </w:pPr>
      <w:r>
        <w:t>Resumen de respuestas Parte B (CFA)</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b/>
                <w:sz w:val="20"/>
              </w:rPr>
              <w:t>Pregunta</w:t>
            </w:r>
          </w:p>
        </w:tc>
        <w:tc>
          <w:tcPr>
            <w:tcW w:type="dxa" w:w="2351"/>
          </w:tcPr>
          <w:p>
            <w:r/>
            <w:r>
              <w:rPr>
                <w:b/>
                <w:sz w:val="20"/>
              </w:rPr>
              <w:t>Respuesta</w:t>
            </w:r>
          </w:p>
        </w:tc>
        <w:tc>
          <w:tcPr>
            <w:tcW w:type="dxa" w:w="2351"/>
          </w:tcPr>
          <w:p>
            <w:r/>
            <w:r>
              <w:rPr>
                <w:b/>
                <w:sz w:val="20"/>
              </w:rPr>
              <w:t>Pregunta</w:t>
            </w:r>
          </w:p>
        </w:tc>
        <w:tc>
          <w:tcPr>
            <w:tcW w:type="dxa" w:w="2351"/>
          </w:tcPr>
          <w:p>
            <w:r/>
            <w:r>
              <w:rPr>
                <w:b/>
                <w:sz w:val="20"/>
              </w:rPr>
              <w:t>Respuesta</w:t>
            </w:r>
          </w:p>
        </w:tc>
      </w:tr>
      <w:tr>
        <w:tc>
          <w:tcPr>
            <w:tcW w:type="dxa" w:w="2351"/>
          </w:tcPr>
          <w:p>
            <w:r/>
            <w:r>
              <w:rPr>
                <w:sz w:val="20"/>
              </w:rPr>
              <w:t>CFA 11</w:t>
            </w:r>
          </w:p>
        </w:tc>
        <w:tc>
          <w:tcPr>
            <w:tcW w:type="dxa" w:w="2351"/>
          </w:tcPr>
          <w:p>
            <w:r/>
            <w:r>
              <w:rPr>
                <w:sz w:val="20"/>
              </w:rPr>
              <w:t>B</w:t>
            </w:r>
          </w:p>
        </w:tc>
        <w:tc>
          <w:tcPr>
            <w:tcW w:type="dxa" w:w="2351"/>
          </w:tcPr>
          <w:p>
            <w:r/>
            <w:r>
              <w:rPr>
                <w:sz w:val="20"/>
              </w:rPr>
              <w:t>CFA 16</w:t>
            </w:r>
          </w:p>
        </w:tc>
        <w:tc>
          <w:tcPr>
            <w:tcW w:type="dxa" w:w="2351"/>
          </w:tcPr>
          <w:p>
            <w:r/>
            <w:r>
              <w:rPr>
                <w:sz w:val="20"/>
              </w:rPr>
              <w:t>B</w:t>
            </w:r>
          </w:p>
        </w:tc>
      </w:tr>
      <w:tr>
        <w:tc>
          <w:tcPr>
            <w:tcW w:type="dxa" w:w="2351"/>
          </w:tcPr>
          <w:p>
            <w:r/>
            <w:r>
              <w:rPr>
                <w:sz w:val="20"/>
              </w:rPr>
              <w:t>CFA 12</w:t>
            </w:r>
          </w:p>
        </w:tc>
        <w:tc>
          <w:tcPr>
            <w:tcW w:type="dxa" w:w="2351"/>
          </w:tcPr>
          <w:p>
            <w:r/>
            <w:r>
              <w:rPr>
                <w:sz w:val="20"/>
              </w:rPr>
              <w:t>B</w:t>
            </w:r>
          </w:p>
        </w:tc>
        <w:tc>
          <w:tcPr>
            <w:tcW w:type="dxa" w:w="2351"/>
          </w:tcPr>
          <w:p>
            <w:r/>
            <w:r>
              <w:rPr>
                <w:sz w:val="20"/>
              </w:rPr>
              <w:t>CFA 17</w:t>
            </w:r>
          </w:p>
        </w:tc>
        <w:tc>
          <w:tcPr>
            <w:tcW w:type="dxa" w:w="2351"/>
          </w:tcPr>
          <w:p>
            <w:r/>
            <w:r>
              <w:rPr>
                <w:sz w:val="20"/>
              </w:rPr>
              <w:t>A</w:t>
            </w:r>
          </w:p>
        </w:tc>
      </w:tr>
      <w:tr>
        <w:tc>
          <w:tcPr>
            <w:tcW w:type="dxa" w:w="2351"/>
          </w:tcPr>
          <w:p>
            <w:r/>
            <w:r>
              <w:rPr>
                <w:sz w:val="20"/>
              </w:rPr>
              <w:t>CFA 13</w:t>
            </w:r>
          </w:p>
        </w:tc>
        <w:tc>
          <w:tcPr>
            <w:tcW w:type="dxa" w:w="2351"/>
          </w:tcPr>
          <w:p>
            <w:r/>
            <w:r>
              <w:rPr>
                <w:sz w:val="20"/>
              </w:rPr>
              <w:t>B</w:t>
            </w:r>
          </w:p>
        </w:tc>
        <w:tc>
          <w:tcPr>
            <w:tcW w:type="dxa" w:w="2351"/>
          </w:tcPr>
          <w:p>
            <w:r/>
            <w:r>
              <w:rPr>
                <w:sz w:val="20"/>
              </w:rPr>
              <w:t>CFA 18</w:t>
            </w:r>
          </w:p>
        </w:tc>
        <w:tc>
          <w:tcPr>
            <w:tcW w:type="dxa" w:w="2351"/>
          </w:tcPr>
          <w:p>
            <w:r/>
            <w:r>
              <w:rPr>
                <w:sz w:val="20"/>
              </w:rPr>
              <w:t>B</w:t>
            </w:r>
          </w:p>
        </w:tc>
      </w:tr>
      <w:tr>
        <w:tc>
          <w:tcPr>
            <w:tcW w:type="dxa" w:w="2351"/>
          </w:tcPr>
          <w:p>
            <w:r/>
            <w:r>
              <w:rPr>
                <w:sz w:val="20"/>
              </w:rPr>
              <w:t>CFA 14</w:t>
            </w:r>
          </w:p>
        </w:tc>
        <w:tc>
          <w:tcPr>
            <w:tcW w:type="dxa" w:w="2351"/>
          </w:tcPr>
          <w:p>
            <w:r/>
            <w:r>
              <w:rPr>
                <w:sz w:val="20"/>
              </w:rPr>
              <w:t>B</w:t>
            </w:r>
          </w:p>
        </w:tc>
        <w:tc>
          <w:tcPr>
            <w:tcW w:type="dxa" w:w="2351"/>
          </w:tcPr>
          <w:p>
            <w:r/>
            <w:r>
              <w:rPr>
                <w:sz w:val="20"/>
              </w:rPr>
              <w:t>CFA 19</w:t>
            </w:r>
          </w:p>
        </w:tc>
        <w:tc>
          <w:tcPr>
            <w:tcW w:type="dxa" w:w="2351"/>
          </w:tcPr>
          <w:p>
            <w:r/>
            <w:r>
              <w:rPr>
                <w:sz w:val="20"/>
              </w:rPr>
              <w:t>A</w:t>
            </w:r>
          </w:p>
        </w:tc>
      </w:tr>
      <w:tr>
        <w:tc>
          <w:tcPr>
            <w:tcW w:type="dxa" w:w="2351"/>
          </w:tcPr>
          <w:p>
            <w:r/>
            <w:r>
              <w:rPr>
                <w:sz w:val="20"/>
              </w:rPr>
              <w:t>CFA 15</w:t>
            </w:r>
          </w:p>
        </w:tc>
        <w:tc>
          <w:tcPr>
            <w:tcW w:type="dxa" w:w="2351"/>
          </w:tcPr>
          <w:p>
            <w:r/>
            <w:r>
              <w:rPr>
                <w:sz w:val="20"/>
              </w:rPr>
              <w:t>B</w:t>
            </w:r>
          </w:p>
        </w:tc>
        <w:tc>
          <w:tcPr>
            <w:tcW w:type="dxa" w:w="2351"/>
          </w:tcPr>
          <w:p>
            <w:r/>
            <w:r>
              <w:rPr>
                <w:sz w:val="20"/>
              </w:rPr>
              <w:t>CFA 20</w:t>
            </w:r>
          </w:p>
        </w:tc>
        <w:tc>
          <w:tcPr>
            <w:tcW w:type="dxa" w:w="2351"/>
          </w:tcPr>
          <w:p>
            <w:r/>
            <w:r>
              <w:rPr>
                <w:sz w:val="20"/>
              </w:rPr>
              <w:t>C</w:t>
            </w:r>
          </w:p>
        </w:tc>
      </w:tr>
    </w:tbl>
    <w:p/>
    <w:p>
      <w:pPr>
        <w:jc w:val="center"/>
      </w:pPr>
      <w:r>
        <w:rPr>
          <w:i/>
          <w:color w:val="555555"/>
        </w:rPr>
        <w:t>— Fin del documento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