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11A16"/>
          <w:sz w:val="44"/>
        </w:rPr>
        <w:t>Computational Simulation Report</w:t>
      </w:r>
    </w:p>
    <w:p>
      <w:r>
        <w:rPr>
          <w:color w:val="6B6259"/>
          <w:sz w:val="24"/>
        </w:rPr>
        <w:t>Mission 44 · PrometeoLasc2026 · Trajectory, aerodynamics and flight-dynamics analysis</w:t>
      </w:r>
    </w:p>
    <w:p>
      <w:r>
        <w:rPr>
          <w:b/>
          <w:color w:val="8A1538"/>
        </w:rPr>
        <w:t>BEYOND UP</w:t>
      </w:r>
    </w:p>
    <w:p>
      <w:r>
        <w:t>BEYOND UP · Universidad Panamericana · México</w:t>
      </w:r>
      <w:r>
        <w:rPr>
          <w:i/>
          <w:highlight w:val="yellow"/>
        </w:rPr>
        <w:t xml:space="preserve"> [EDIT: add the real team member names for this submission]</w:t>
      </w:r>
    </w:p>
    <w:p>
      <w:r>
        <w:t>LASC (Latin America Space Challenge)  |  Generated 2026-09-29 04:08 UTC  |  App version section4  |  Author: Diego Rocketeer</w:t>
      </w:r>
    </w:p>
    <w:p>
      <w:r>
        <w:t>This report summarizes the predicted flight of PrometeoLasc2026: an apogee of 1074.4 m at a peak speed of 158.5 m/s (Mach 0.473), with a minimum static margin of 2.49 cal through the ascent.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color w:val="6B6259"/>
                <w:sz w:val="16"/>
              </w:rPr>
              <w:t>Apogee AGL</w:t>
            </w:r>
          </w:p>
        </w:tc>
        <w:tc>
          <w:tcPr>
            <w:tcW w:type="dxa" w:w="2160"/>
            <w:shd w:val="clear" w:fill="F2EFEA"/>
          </w:tcPr>
          <w:p>
            <w:r>
              <w:rPr>
                <w:color w:val="6B6259"/>
                <w:sz w:val="16"/>
              </w:rPr>
              <w:t>Max Mach</w:t>
            </w:r>
          </w:p>
        </w:tc>
        <w:tc>
          <w:tcPr>
            <w:tcW w:type="dxa" w:w="2160"/>
            <w:shd w:val="clear" w:fill="F2EFEA"/>
          </w:tcPr>
          <w:p>
            <w:r>
              <w:rPr>
                <w:color w:val="6B6259"/>
                <w:sz w:val="16"/>
              </w:rPr>
              <w:t>Min static margin</w:t>
            </w:r>
          </w:p>
        </w:tc>
        <w:tc>
          <w:tcPr>
            <w:tcW w:type="dxa" w:w="2160"/>
            <w:shd w:val="clear" w:fill="F2EFEA"/>
          </w:tcPr>
          <w:p>
            <w:r>
              <w:rPr>
                <w:color w:val="6B6259"/>
                <w:sz w:val="16"/>
              </w:rPr>
              <w:t>Flight time</w:t>
            </w:r>
          </w:p>
        </w:tc>
      </w:tr>
      <w:tr>
        <w:tc>
          <w:tcPr>
            <w:tcW w:type="dxa" w:w="2160"/>
          </w:tcPr>
          <w:p>
            <w:r>
              <w:rPr>
                <w:b/>
                <w:color w:val="8A1538"/>
              </w:rPr>
              <w:t>1074.4 m</w:t>
            </w:r>
          </w:p>
        </w:tc>
        <w:tc>
          <w:tcPr>
            <w:tcW w:type="dxa" w:w="2160"/>
          </w:tcPr>
          <w:p>
            <w:r>
              <w:rPr>
                <w:b/>
                <w:color w:val="8A1538"/>
              </w:rPr>
              <w:t>0.473</w:t>
            </w:r>
          </w:p>
        </w:tc>
        <w:tc>
          <w:tcPr>
            <w:tcW w:type="dxa" w:w="2160"/>
          </w:tcPr>
          <w:p>
            <w:r>
              <w:rPr>
                <w:b/>
                <w:color w:val="8A1538"/>
              </w:rPr>
              <w:t>2.49 cal</w:t>
            </w:r>
          </w:p>
        </w:tc>
        <w:tc>
          <w:tcPr>
            <w:tcW w:type="dxa" w:w="2160"/>
          </w:tcPr>
          <w:p>
            <w:r>
              <w:rPr>
                <w:b/>
                <w:color w:val="8A1538"/>
              </w:rPr>
              <w:t>206.8 s</w:t>
            </w:r>
          </w:p>
        </w:tc>
      </w:tr>
    </w:tbl>
    <w:p>
      <w:r>
        <w:br w:type="page"/>
      </w:r>
    </w:p>
    <w:p>
      <w:pPr>
        <w:pStyle w:val="Heading1"/>
      </w:pPr>
      <w:r>
        <w:rPr>
          <w:color w:val="211A16"/>
        </w:rPr>
        <w:t>Table of contents</w:t>
      </w:r>
    </w:p>
    <w:p>
      <w:r>
        <w:fldChar w:fldCharType="begin"/>
        <w:instrText xml:space="preserve">TOC \o "1-2" \h \z \u</w:instrText>
        <w:fldChar w:fldCharType="separate"/>
        <w:t>Right-click and choose "Update Field" (or press F9) to populate this table of contents.</w:t>
        <w:fldChar w:fldCharType="end"/>
      </w:r>
    </w:p>
    <w:p>
      <w:r>
        <w:br w:type="page"/>
      </w:r>
    </w:p>
    <w:p>
      <w:pPr>
        <w:pStyle w:val="Heading1"/>
      </w:pPr>
      <w:r>
        <w:rPr>
          <w:color w:val="211A16"/>
        </w:rPr>
        <w:t>1. General information and set-up</w:t>
      </w:r>
    </w:p>
    <w:p>
      <w:r>
        <w:t>This report documents the computational flight simulation of PrometeoLasc2026, produced with Beyond UP's RocketPy-based simulation pipeline from the vehicle's OpenRocket design file and motor data file, with no hand-typed inputs beyond the overrides explicitly listed in Section 2 and the Assumptions section. This mission is submitted for LASC (Latin America Space Challenge). The objectives of this simulation are to predict the vehicle's ascent and descent trajectory, verify static stability throughout powered flight against the applicable safety requirements, characterize the expected landing footprint under wind uncertainty, and provide the flight cases and supporting data required for competition submission.</w:t>
      </w:r>
    </w:p>
    <w:p>
      <w:pPr>
        <w:pStyle w:val="Heading2"/>
      </w:pPr>
      <w:r>
        <w:rPr>
          <w:color w:val="211A16"/>
        </w:rPr>
        <w:t>1.1 Analysis environment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Simulation engine</w:t>
            </w:r>
          </w:p>
        </w:tc>
        <w:tc>
          <w:tcPr>
            <w:tcW w:type="dxa" w:w="4320"/>
          </w:tcPr>
          <w:p>
            <w:r>
              <w:t>RocketPy 1.13.0 (Python 3.11.15)</w:t>
            </w:r>
          </w:p>
        </w:tc>
      </w:tr>
      <w:tr>
        <w:tc>
          <w:tcPr>
            <w:tcW w:type="dxa" w:w="4320"/>
          </w:tcPr>
          <w:p>
            <w:r>
              <w:t>Application build</w:t>
            </w:r>
          </w:p>
        </w:tc>
        <w:tc>
          <w:tcPr>
            <w:tcW w:type="dxa" w:w="4320"/>
          </w:tcPr>
          <w:p>
            <w:r>
              <w:t>section4</w:t>
            </w:r>
          </w:p>
        </w:tc>
      </w:tr>
      <w:tr>
        <w:tc>
          <w:tcPr>
            <w:tcW w:type="dxa" w:w="4320"/>
          </w:tcPr>
          <w:p>
            <w:r>
              <w:t>CPU</w:t>
            </w:r>
          </w:p>
        </w:tc>
        <w:tc>
          <w:tcPr>
            <w:tcW w:type="dxa" w:w="4320"/>
          </w:tcPr>
          <w:p>
            <w:r>
              <w:t>x86_64</w:t>
            </w:r>
          </w:p>
        </w:tc>
      </w:tr>
      <w:tr>
        <w:tc>
          <w:tcPr>
            <w:tcW w:type="dxa" w:w="4320"/>
          </w:tcPr>
          <w:p>
            <w:r>
              <w:t>Operating system</w:t>
            </w:r>
          </w:p>
        </w:tc>
        <w:tc>
          <w:tcPr>
            <w:tcW w:type="dxa" w:w="4320"/>
          </w:tcPr>
          <w:p>
            <w:r>
              <w:t>Linux-6.18.44-fc-v49-x86_64-with-glibc2.39</w:t>
            </w:r>
          </w:p>
        </w:tc>
      </w:tr>
      <w:tr>
        <w:tc>
          <w:tcPr>
            <w:tcW w:type="dxa" w:w="4320"/>
          </w:tcPr>
          <w:p>
            <w:r>
              <w:t>Computation time</w:t>
            </w:r>
          </w:p>
        </w:tc>
        <w:tc>
          <w:tcPr>
            <w:tcW w:type="dxa" w:w="4320"/>
          </w:tcPr>
          <w:p>
            <w:r>
              <w:t>0.32 s</w:t>
            </w:r>
          </w:p>
        </w:tc>
      </w:tr>
    </w:tbl>
    <w:p>
      <w:pPr>
        <w:pStyle w:val="Heading2"/>
      </w:pPr>
      <w:r>
        <w:rPr>
          <w:color w:val="211A16"/>
        </w:rPr>
        <w:t>1.2 Model information</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OpenRocket design file</w:t>
            </w:r>
          </w:p>
        </w:tc>
        <w:tc>
          <w:tcPr>
            <w:tcW w:type="dxa" w:w="4320"/>
          </w:tcPr>
          <w:p>
            <w:r>
              <w:t>PrometeoLasc2026.ork</w:t>
            </w:r>
          </w:p>
        </w:tc>
      </w:tr>
      <w:tr>
        <w:tc>
          <w:tcPr>
            <w:tcW w:type="dxa" w:w="4320"/>
          </w:tcPr>
          <w:p>
            <w:r>
              <w:t>Motor data file (.eng)</w:t>
            </w:r>
          </w:p>
        </w:tc>
        <w:tc>
          <w:tcPr>
            <w:tcW w:type="dxa" w:w="4320"/>
          </w:tcPr>
          <w:p>
            <w:r>
              <w:t>Icarus_I_K519.eng</w:t>
            </w:r>
          </w:p>
        </w:tc>
      </w:tr>
      <w:tr>
        <w:tc>
          <w:tcPr>
            <w:tcW w:type="dxa" w:w="4320"/>
          </w:tcPr>
          <w:p>
            <w:r>
              <w:t>Drag curve source</w:t>
            </w:r>
          </w:p>
        </w:tc>
        <w:tc>
          <w:tcPr>
            <w:tcW w:type="dxa" w:w="4320"/>
          </w:tcPr>
          <w:p>
            <w:r>
              <w:t>user-supplied CSV files (power_off_drag.csv, power_on_drag.csv)</w:t>
            </w:r>
          </w:p>
        </w:tc>
      </w:tr>
    </w:tbl>
    <w:p>
      <w:pPr>
        <w:pStyle w:val="Heading2"/>
      </w:pPr>
      <w:r>
        <w:rPr>
          <w:color w:val="211A16"/>
        </w:rPr>
        <w:t>1.3 Simulation parameters</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ODE solver</w:t>
            </w:r>
          </w:p>
        </w:tc>
        <w:tc>
          <w:tcPr>
            <w:tcW w:type="dxa" w:w="4320"/>
          </w:tcPr>
          <w:p>
            <w:r>
              <w:t>LSODA</w:t>
            </w:r>
          </w:p>
        </w:tc>
      </w:tr>
      <w:tr>
        <w:tc>
          <w:tcPr>
            <w:tcW w:type="dxa" w:w="4320"/>
          </w:tcPr>
          <w:p>
            <w:r>
              <w:t>Equations of motion</w:t>
            </w:r>
          </w:p>
        </w:tc>
        <w:tc>
          <w:tcPr>
            <w:tcW w:type="dxa" w:w="4320"/>
          </w:tcPr>
          <w:p>
            <w:r>
              <w:t>standard</w:t>
            </w:r>
          </w:p>
        </w:tc>
      </w:tr>
      <w:tr>
        <w:tc>
          <w:tcPr>
            <w:tcW w:type="dxa" w:w="4320"/>
          </w:tcPr>
          <w:p>
            <w:r>
              <w:t>Relative tolerance (rtol)</w:t>
            </w:r>
          </w:p>
        </w:tc>
        <w:tc>
          <w:tcPr>
            <w:tcW w:type="dxa" w:w="4320"/>
          </w:tcPr>
          <w:p>
            <w:r>
              <w:t>1e-06</w:t>
            </w:r>
          </w:p>
        </w:tc>
      </w:tr>
      <w:tr>
        <w:tc>
          <w:tcPr>
            <w:tcW w:type="dxa" w:w="4320"/>
          </w:tcPr>
          <w:p>
            <w:r>
              <w:t>Absolute tolerance (atol)</w:t>
            </w:r>
          </w:p>
        </w:tc>
        <w:tc>
          <w:tcPr>
            <w:tcW w:type="dxa" w:w="4320"/>
          </w:tcPr>
          <w:p>
            <w:r>
              <w:t>0.001 (position/velocity/quaternion components; see RocketPy's own Flight docs for the full 13-element vector)</w:t>
            </w:r>
          </w:p>
        </w:tc>
      </w:tr>
      <w:tr>
        <w:tc>
          <w:tcPr>
            <w:tcW w:type="dxa" w:w="4320"/>
          </w:tcPr>
          <w:p>
            <w:r>
              <w:t>Max. time step</w:t>
            </w:r>
          </w:p>
        </w:tc>
        <w:tc>
          <w:tcPr>
            <w:tcW w:type="dxa" w:w="4320"/>
          </w:tcPr>
          <w:p>
            <w:r>
              <w:t>unlimited (adaptive)</w:t>
            </w:r>
          </w:p>
        </w:tc>
      </w:tr>
      <w:tr>
        <w:tc>
          <w:tcPr>
            <w:tcW w:type="dxa" w:w="4320"/>
          </w:tcPr>
          <w:p>
            <w:r>
              <w:t>Min. time step</w:t>
            </w:r>
          </w:p>
        </w:tc>
        <w:tc>
          <w:tcPr>
            <w:tcW w:type="dxa" w:w="4320"/>
          </w:tcPr>
          <w:p>
            <w:r>
              <w:t>0 s</w:t>
            </w:r>
          </w:p>
        </w:tc>
      </w:tr>
      <w:tr>
        <w:tc>
          <w:tcPr>
            <w:tcW w:type="dxa" w:w="4320"/>
          </w:tcPr>
          <w:p>
            <w:r>
              <w:t>Termination condition</w:t>
            </w:r>
          </w:p>
        </w:tc>
        <w:tc>
          <w:tcPr>
            <w:tcW w:type="dxa" w:w="4320"/>
          </w:tcPr>
          <w:p>
            <w:r>
              <w:t>full flight, through ground impact or landing under recovery</w:t>
            </w:r>
          </w:p>
        </w:tc>
      </w:tr>
    </w:tbl>
    <w:p>
      <w:pPr>
        <w:pStyle w:val="Heading1"/>
      </w:pPr>
      <w:r>
        <w:rPr>
          <w:color w:val="211A16"/>
        </w:rPr>
        <w:t>2. Vehicle configuration and mass properties</w:t>
      </w:r>
    </w:p>
    <w:p>
      <w:r>
        <w:drawing>
          <wp:inline xmlns:a="http://schemas.openxmlformats.org/drawingml/2006/main" xmlns:pic="http://schemas.openxmlformats.org/drawingml/2006/picture">
            <wp:extent cx="5486400" cy="1755648"/>
            <wp:docPr id="1" name="Picture 1"/>
            <wp:cNvGraphicFramePr>
              <a:graphicFrameLocks noChangeAspect="1"/>
            </wp:cNvGraphicFramePr>
            <a:graphic>
              <a:graphicData uri="http://schemas.openxmlformats.org/drawingml/2006/picture">
                <pic:pic>
                  <pic:nvPicPr>
                    <pic:cNvPr id="0" name="report_side_profile_a3befabc.png"/>
                    <pic:cNvPicPr/>
                  </pic:nvPicPr>
                  <pic:blipFill>
                    <a:blip r:embed="rId11"/>
                    <a:stretch>
                      <a:fillRect/>
                    </a:stretch>
                  </pic:blipFill>
                  <pic:spPr>
                    <a:xfrm>
                      <a:off x="0" y="0"/>
                      <a:ext cx="5486400" cy="1755648"/>
                    </a:xfrm>
                    <a:prstGeom prst="rect"/>
                  </pic:spPr>
                </pic:pic>
              </a:graphicData>
            </a:graphic>
          </wp:inline>
        </w:drawing>
      </w:r>
    </w:p>
    <w:p>
      <w:r>
        <w:rPr>
          <w:b/>
          <w:sz w:val="18"/>
        </w:rPr>
        <w:t>Figure 1. Vehicle side profile with CG/CP and static margin.</w:t>
      </w:r>
    </w:p>
    <w:p>
      <w:r>
        <w:t>Figure 1 shows the vehicle's side profile with its center of gravity and center of pressure marked. PrometeoLasc2026 is 1.47 m long with a body diameter of 11.0 cm (reference area 0.00943 m2). The dry mass is 5.662 kg with the center of gravity at 0.628 m from the nose tip (user-entered override (LoadResult UI field)). Across the ascent the static margin ranges from 2.49 to 3.30 calibers, which is within the RCSM's required 1.5-4.0 cal band (FLT 4.3.5/4.3.6).</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Length</w:t>
            </w:r>
          </w:p>
        </w:tc>
        <w:tc>
          <w:tcPr>
            <w:tcW w:type="dxa" w:w="4320"/>
          </w:tcPr>
          <w:p>
            <w:r>
              <w:t>147.0 cm</w:t>
            </w:r>
          </w:p>
        </w:tc>
      </w:tr>
      <w:tr>
        <w:tc>
          <w:tcPr>
            <w:tcW w:type="dxa" w:w="4320"/>
          </w:tcPr>
          <w:p>
            <w:r>
              <w:t>Diameter</w:t>
            </w:r>
          </w:p>
        </w:tc>
        <w:tc>
          <w:tcPr>
            <w:tcW w:type="dxa" w:w="4320"/>
          </w:tcPr>
          <w:p>
            <w:r>
              <w:t>11.0 cm</w:t>
            </w:r>
          </w:p>
        </w:tc>
      </w:tr>
      <w:tr>
        <w:tc>
          <w:tcPr>
            <w:tcW w:type="dxa" w:w="4320"/>
          </w:tcPr>
          <w:p>
            <w:r>
              <w:t>Reference area</w:t>
            </w:r>
          </w:p>
        </w:tc>
        <w:tc>
          <w:tcPr>
            <w:tcW w:type="dxa" w:w="4320"/>
          </w:tcPr>
          <w:p>
            <w:r>
              <w:t>0.00943 m2</w:t>
            </w:r>
          </w:p>
        </w:tc>
      </w:tr>
      <w:tr>
        <w:tc>
          <w:tcPr>
            <w:tcW w:type="dxa" w:w="4320"/>
          </w:tcPr>
          <w:p>
            <w:r>
              <w:t>Dry mass</w:t>
            </w:r>
          </w:p>
        </w:tc>
        <w:tc>
          <w:tcPr>
            <w:tcW w:type="dxa" w:w="4320"/>
          </w:tcPr>
          <w:p>
            <w:r>
              <w:t>5.662 kg</w:t>
            </w:r>
          </w:p>
        </w:tc>
      </w:tr>
      <w:tr>
        <w:tc>
          <w:tcPr>
            <w:tcW w:type="dxa" w:w="4320"/>
          </w:tcPr>
          <w:p>
            <w:r>
              <w:t>Dry CG</w:t>
            </w:r>
          </w:p>
        </w:tc>
        <w:tc>
          <w:tcPr>
            <w:tcW w:type="dxa" w:w="4320"/>
          </w:tcPr>
          <w:p>
            <w:r>
              <w:t>0.628 m from nose</w:t>
            </w:r>
          </w:p>
        </w:tc>
      </w:tr>
      <w:tr>
        <w:tc>
          <w:tcPr>
            <w:tcW w:type="dxa" w:w="4320"/>
          </w:tcPr>
          <w:p>
            <w:r>
              <w:t>Static margin range (ascent min.)</w:t>
            </w:r>
          </w:p>
        </w:tc>
        <w:tc>
          <w:tcPr>
            <w:tcW w:type="dxa" w:w="4320"/>
          </w:tcPr>
          <w:p>
            <w:r>
              <w:t>2.49 - 3.30 cal</w:t>
            </w:r>
          </w:p>
        </w:tc>
      </w:tr>
      <w:tr>
        <w:tc>
          <w:tcPr>
            <w:tcW w:type="dxa" w:w="4320"/>
          </w:tcPr>
          <w:p>
            <w:r>
              <w:t>Stable (FLT 4.3.5/4.3.6, 1.5-4 cal)</w:t>
            </w:r>
          </w:p>
        </w:tc>
        <w:tc>
          <w:tcPr>
            <w:tcW w:type="dxa" w:w="4320"/>
          </w:tcPr>
          <w:p>
            <w:r>
              <w:t>YES</w:t>
            </w:r>
          </w:p>
        </w:tc>
      </w:tr>
    </w:tbl>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b/>
              </w:rPr>
              <w:t>Parachute</w:t>
            </w:r>
          </w:p>
        </w:tc>
        <w:tc>
          <w:tcPr>
            <w:tcW w:type="dxa" w:w="2160"/>
            <w:shd w:val="clear" w:fill="F2EFEA"/>
          </w:tcPr>
          <w:p>
            <w:r>
              <w:rPr>
                <w:b/>
              </w:rPr>
              <w:t>Diameter (m)</w:t>
            </w:r>
          </w:p>
        </w:tc>
        <w:tc>
          <w:tcPr>
            <w:tcW w:type="dxa" w:w="2160"/>
            <w:shd w:val="clear" w:fill="F2EFEA"/>
          </w:tcPr>
          <w:p>
            <w:r>
              <w:rPr>
                <w:b/>
              </w:rPr>
              <w:t>Area (m2)</w:t>
            </w:r>
          </w:p>
        </w:tc>
        <w:tc>
          <w:tcPr>
            <w:tcW w:type="dxa" w:w="2160"/>
            <w:shd w:val="clear" w:fill="F2EFEA"/>
          </w:tcPr>
          <w:p>
            <w:r>
              <w:rPr>
                <w:b/>
              </w:rPr>
              <w:t>Cd</w:t>
            </w:r>
          </w:p>
        </w:tc>
      </w:tr>
      <w:tr>
        <w:tc>
          <w:tcPr>
            <w:tcW w:type="dxa" w:w="2160"/>
          </w:tcPr>
          <w:p>
            <w:r>
              <w:t>Parachute</w:t>
            </w:r>
          </w:p>
        </w:tc>
        <w:tc>
          <w:tcPr>
            <w:tcW w:type="dxa" w:w="2160"/>
          </w:tcPr>
          <w:p>
            <w:r>
              <w:t>2.80</w:t>
            </w:r>
          </w:p>
        </w:tc>
        <w:tc>
          <w:tcPr>
            <w:tcW w:type="dxa" w:w="2160"/>
          </w:tcPr>
          <w:p>
            <w:r>
              <w:t>6.158</w:t>
            </w:r>
          </w:p>
        </w:tc>
        <w:tc>
          <w:tcPr>
            <w:tcW w:type="dxa" w:w="2160"/>
          </w:tcPr>
          <w:p>
            <w:r>
              <w:t>0.75</w:t>
            </w:r>
          </w:p>
        </w:tc>
      </w:tr>
    </w:tbl>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plot_mass_79f1c5ad.png"/>
                    <pic:cNvPicPr/>
                  </pic:nvPicPr>
                  <pic:blipFill>
                    <a:blip r:embed="rId12"/>
                    <a:stretch>
                      <a:fillRect/>
                    </a:stretch>
                  </pic:blipFill>
                  <pic:spPr>
                    <a:xfrm>
                      <a:off x="0" y="0"/>
                      <a:ext cx="5486400" cy="3200400"/>
                    </a:xfrm>
                    <a:prstGeom prst="rect"/>
                  </pic:spPr>
                </pic:pic>
              </a:graphicData>
            </a:graphic>
          </wp:inline>
        </w:drawing>
      </w:r>
    </w:p>
    <w:p>
      <w:r>
        <w:rPr>
          <w:b/>
          <w:sz w:val="18"/>
        </w:rPr>
        <w:t>Figure 2. Total mass (rocket + motor) vs. time.</w:t>
      </w:r>
    </w:p>
    <w:p>
      <w:pPr>
        <w:pStyle w:val="Heading1"/>
      </w:pPr>
      <w:r>
        <w:rPr>
          <w:color w:val="211A16"/>
        </w:rPr>
        <w:t>3. Propulsion</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plot_thrust_1b5f9f33.png"/>
                    <pic:cNvPicPr/>
                  </pic:nvPicPr>
                  <pic:blipFill>
                    <a:blip r:embed="rId13"/>
                    <a:stretch>
                      <a:fillRect/>
                    </a:stretch>
                  </pic:blipFill>
                  <pic:spPr>
                    <a:xfrm>
                      <a:off x="0" y="0"/>
                      <a:ext cx="5486400" cy="3200400"/>
                    </a:xfrm>
                    <a:prstGeom prst="rect"/>
                  </pic:spPr>
                </pic:pic>
              </a:graphicData>
            </a:graphic>
          </wp:inline>
        </w:drawing>
      </w:r>
    </w:p>
    <w:p>
      <w:r>
        <w:rPr>
          <w:b/>
          <w:sz w:val="18"/>
        </w:rPr>
        <w:t>Figure 3. Thrust curve used for this simulation.</w:t>
      </w:r>
    </w:p>
    <w:p>
      <w:r>
        <w:t>The vehicle is powered by a K519 motor (BeyondUP), delivering a total impulse of 1865.1 N*s over a 3.57 s burn (average thrust 522.4 N, peak 566.6 N). Figure 3 shows the thrust curve used for this simulation. Propellant mass is 2.017 kg out of a total loaded mass of 4.738 kg.</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Motor</w:t>
            </w:r>
          </w:p>
        </w:tc>
        <w:tc>
          <w:tcPr>
            <w:tcW w:type="dxa" w:w="4320"/>
          </w:tcPr>
          <w:p>
            <w:r>
              <w:t>K519 (BeyondUP)</w:t>
            </w:r>
          </w:p>
        </w:tc>
      </w:tr>
      <w:tr>
        <w:tc>
          <w:tcPr>
            <w:tcW w:type="dxa" w:w="4320"/>
          </w:tcPr>
          <w:p>
            <w:r>
              <w:t>Total impulse</w:t>
            </w:r>
          </w:p>
        </w:tc>
        <w:tc>
          <w:tcPr>
            <w:tcW w:type="dxa" w:w="4320"/>
          </w:tcPr>
          <w:p>
            <w:r>
              <w:t>1865.1 N*s</w:t>
            </w:r>
          </w:p>
        </w:tc>
      </w:tr>
      <w:tr>
        <w:tc>
          <w:tcPr>
            <w:tcW w:type="dxa" w:w="4320"/>
          </w:tcPr>
          <w:p>
            <w:r>
              <w:t>Average / peak thrust</w:t>
            </w:r>
          </w:p>
        </w:tc>
        <w:tc>
          <w:tcPr>
            <w:tcW w:type="dxa" w:w="4320"/>
          </w:tcPr>
          <w:p>
            <w:r>
              <w:t>522.4 N / 566.6 N</w:t>
            </w:r>
          </w:p>
        </w:tc>
      </w:tr>
      <w:tr>
        <w:tc>
          <w:tcPr>
            <w:tcW w:type="dxa" w:w="4320"/>
          </w:tcPr>
          <w:p>
            <w:r>
              <w:t>Burn time</w:t>
            </w:r>
          </w:p>
        </w:tc>
        <w:tc>
          <w:tcPr>
            <w:tcW w:type="dxa" w:w="4320"/>
          </w:tcPr>
          <w:p>
            <w:r>
              <w:t>3.57 s</w:t>
            </w:r>
          </w:p>
        </w:tc>
      </w:tr>
      <w:tr>
        <w:tc>
          <w:tcPr>
            <w:tcW w:type="dxa" w:w="4320"/>
          </w:tcPr>
          <w:p>
            <w:r>
              <w:t>Propellant / dry / total mass</w:t>
            </w:r>
          </w:p>
        </w:tc>
        <w:tc>
          <w:tcPr>
            <w:tcW w:type="dxa" w:w="4320"/>
          </w:tcPr>
          <w:p>
            <w:r>
              <w:t>2.017 / 2.721 / 4.738 kg</w:t>
            </w:r>
          </w:p>
        </w:tc>
      </w:tr>
    </w:tbl>
    <w:p>
      <w:pPr>
        <w:pStyle w:val="Heading1"/>
      </w:pPr>
      <w:r>
        <w:rPr>
          <w:color w:val="211A16"/>
        </w:rPr>
        <w:t>4. Trajectory (nominal and ballistic)</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plot_altitude_33d13f69.png"/>
                    <pic:cNvPicPr/>
                  </pic:nvPicPr>
                  <pic:blipFill>
                    <a:blip r:embed="rId14"/>
                    <a:stretch>
                      <a:fillRect/>
                    </a:stretch>
                  </pic:blipFill>
                  <pic:spPr>
                    <a:xfrm>
                      <a:off x="0" y="0"/>
                      <a:ext cx="5486400" cy="3200400"/>
                    </a:xfrm>
                    <a:prstGeom prst="rect"/>
                  </pic:spPr>
                </pic:pic>
              </a:graphicData>
            </a:graphic>
          </wp:inline>
        </w:drawing>
      </w:r>
    </w:p>
    <w:p>
      <w:r>
        <w:rPr>
          <w:b/>
          <w:sz w:val="18"/>
        </w:rPr>
        <w:t>Figure 4. Ascent and descent trajectory - see remaining plots below for individual quantities.</w:t>
      </w:r>
    </w:p>
    <w:p>
      <w:r>
        <w:t>Figure 4 shows the predicted altitude, velocity and acceleration through the ascent, together with the 3D trajectory and ground track. The nominal case (dual-deployment recovery) is compared against the ballistic case (no parachutes) later in Section 8, which bounds the vehicle's worst-case impact energy and downrange distance.</w:t>
      </w:r>
    </w:p>
    <w:p>
      <w:pPr>
        <w:pStyle w:val="Heading2"/>
      </w:pPr>
      <w:r>
        <w:rPr>
          <w:color w:val="211A16"/>
        </w:rPr>
        <w:t>Vertical velocity</w:t>
      </w:r>
    </w:p>
    <w:p>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plot_vertical_velocity_884df435.png"/>
                    <pic:cNvPicPr/>
                  </pic:nvPicPr>
                  <pic:blipFill>
                    <a:blip r:embed="rId15"/>
                    <a:stretch>
                      <a:fillRect/>
                    </a:stretch>
                  </pic:blipFill>
                  <pic:spPr>
                    <a:xfrm>
                      <a:off x="0" y="0"/>
                      <a:ext cx="5486400" cy="3200400"/>
                    </a:xfrm>
                    <a:prstGeom prst="rect"/>
                  </pic:spPr>
                </pic:pic>
              </a:graphicData>
            </a:graphic>
          </wp:inline>
        </w:drawing>
      </w:r>
    </w:p>
    <w:p>
      <w:pPr>
        <w:pStyle w:val="Heading2"/>
      </w:pPr>
      <w:r>
        <w:rPr>
          <w:color w:val="211A16"/>
        </w:rPr>
        <w:t>Total velocity</w:t>
      </w:r>
    </w:p>
    <w:p>
      <w: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plot_total_velocity_56473749.png"/>
                    <pic:cNvPicPr/>
                  </pic:nvPicPr>
                  <pic:blipFill>
                    <a:blip r:embed="rId16"/>
                    <a:stretch>
                      <a:fillRect/>
                    </a:stretch>
                  </pic:blipFill>
                  <pic:spPr>
                    <a:xfrm>
                      <a:off x="0" y="0"/>
                      <a:ext cx="5486400" cy="3200400"/>
                    </a:xfrm>
                    <a:prstGeom prst="rect"/>
                  </pic:spPr>
                </pic:pic>
              </a:graphicData>
            </a:graphic>
          </wp:inline>
        </w:drawing>
      </w:r>
    </w:p>
    <w:p>
      <w:pPr>
        <w:pStyle w:val="Heading2"/>
      </w:pPr>
      <w:r>
        <w:rPr>
          <w:color w:val="211A16"/>
        </w:rPr>
        <w:t>Acceleration (boost phase)</w:t>
      </w:r>
    </w:p>
    <w:p>
      <w:r>
        <w:drawing>
          <wp:inline xmlns:a="http://schemas.openxmlformats.org/drawingml/2006/main" xmlns:pic="http://schemas.openxmlformats.org/drawingml/2006/picture">
            <wp:extent cx="5486400" cy="3200400"/>
            <wp:docPr id="7" name="Picture 7"/>
            <wp:cNvGraphicFramePr>
              <a:graphicFrameLocks noChangeAspect="1"/>
            </wp:cNvGraphicFramePr>
            <a:graphic>
              <a:graphicData uri="http://schemas.openxmlformats.org/drawingml/2006/picture">
                <pic:pic>
                  <pic:nvPicPr>
                    <pic:cNvPr id="0" name="plot_acceleration_boost_47e4c6ae.png"/>
                    <pic:cNvPicPr/>
                  </pic:nvPicPr>
                  <pic:blipFill>
                    <a:blip r:embed="rId17"/>
                    <a:stretch>
                      <a:fillRect/>
                    </a:stretch>
                  </pic:blipFill>
                  <pic:spPr>
                    <a:xfrm>
                      <a:off x="0" y="0"/>
                      <a:ext cx="5486400" cy="3200400"/>
                    </a:xfrm>
                    <a:prstGeom prst="rect"/>
                  </pic:spPr>
                </pic:pic>
              </a:graphicData>
            </a:graphic>
          </wp:inline>
        </w:drawing>
      </w:r>
    </w:p>
    <w:p>
      <w:pPr>
        <w:pStyle w:val="Heading2"/>
      </w:pPr>
      <w:r>
        <w:rPr>
          <w:color w:val="211A16"/>
        </w:rPr>
        <w:t>3D trajectory</w:t>
      </w:r>
    </w:p>
    <w:p>
      <w:r>
        <w:drawing>
          <wp:inline xmlns:a="http://schemas.openxmlformats.org/drawingml/2006/main" xmlns:pic="http://schemas.openxmlformats.org/drawingml/2006/picture">
            <wp:extent cx="5486400" cy="5486400"/>
            <wp:docPr id="8" name="Picture 8"/>
            <wp:cNvGraphicFramePr>
              <a:graphicFrameLocks noChangeAspect="1"/>
            </wp:cNvGraphicFramePr>
            <a:graphic>
              <a:graphicData uri="http://schemas.openxmlformats.org/drawingml/2006/picture">
                <pic:pic>
                  <pic:nvPicPr>
                    <pic:cNvPr id="0" name="trajectory_3d_f6c63ac6.png"/>
                    <pic:cNvPicPr/>
                  </pic:nvPicPr>
                  <pic:blipFill>
                    <a:blip r:embed="rId18"/>
                    <a:stretch>
                      <a:fillRect/>
                    </a:stretch>
                  </pic:blipFill>
                  <pic:spPr>
                    <a:xfrm>
                      <a:off x="0" y="0"/>
                      <a:ext cx="5486400" cy="5486400"/>
                    </a:xfrm>
                    <a:prstGeom prst="rect"/>
                  </pic:spPr>
                </pic:pic>
              </a:graphicData>
            </a:graphic>
          </wp:inline>
        </w:drawing>
      </w:r>
    </w:p>
    <w:p>
      <w:pPr>
        <w:pStyle w:val="Heading2"/>
      </w:pPr>
      <w:r>
        <w:rPr>
          <w:color w:val="211A16"/>
        </w:rPr>
        <w:t>Ground track (top view)</w:t>
      </w:r>
    </w:p>
    <w:p>
      <w:r>
        <w:drawing>
          <wp:inline xmlns:a="http://schemas.openxmlformats.org/drawingml/2006/main" xmlns:pic="http://schemas.openxmlformats.org/drawingml/2006/picture">
            <wp:extent cx="5486400" cy="5486400"/>
            <wp:docPr id="9" name="Picture 9"/>
            <wp:cNvGraphicFramePr>
              <a:graphicFrameLocks noChangeAspect="1"/>
            </wp:cNvGraphicFramePr>
            <a:graphic>
              <a:graphicData uri="http://schemas.openxmlformats.org/drawingml/2006/picture">
                <pic:pic>
                  <pic:nvPicPr>
                    <pic:cNvPr id="0" name="plot_ground_track_2e356a5f.png"/>
                    <pic:cNvPicPr/>
                  </pic:nvPicPr>
                  <pic:blipFill>
                    <a:blip r:embed="rId19"/>
                    <a:stretch>
                      <a:fillRect/>
                    </a:stretch>
                  </pic:blipFill>
                  <pic:spPr>
                    <a:xfrm>
                      <a:off x="0" y="0"/>
                      <a:ext cx="5486400" cy="5486400"/>
                    </a:xfrm>
                    <a:prstGeom prst="rect"/>
                  </pic:spPr>
                </pic:pic>
              </a:graphicData>
            </a:graphic>
          </wp:inline>
        </w:drawing>
      </w:r>
    </w:p>
    <w:p>
      <w:pPr>
        <w:pStyle w:val="Heading1"/>
      </w:pPr>
      <w:r>
        <w:rPr>
          <w:color w:val="211A16"/>
        </w:rPr>
        <w:t>5. Aerodynamics</w:t>
      </w:r>
    </w:p>
    <w:p>
      <w:r>
        <w:drawing>
          <wp:inline xmlns:a="http://schemas.openxmlformats.org/drawingml/2006/main" xmlns:pic="http://schemas.openxmlformats.org/drawingml/2006/picture">
            <wp:extent cx="5486400" cy="3200400"/>
            <wp:docPr id="10" name="Picture 10"/>
            <wp:cNvGraphicFramePr>
              <a:graphicFrameLocks noChangeAspect="1"/>
            </wp:cNvGraphicFramePr>
            <a:graphic>
              <a:graphicData uri="http://schemas.openxmlformats.org/drawingml/2006/picture">
                <pic:pic>
                  <pic:nvPicPr>
                    <pic:cNvPr id="0" name="plot_cd_mach_f2f709a9.png"/>
                    <pic:cNvPicPr/>
                  </pic:nvPicPr>
                  <pic:blipFill>
                    <a:blip r:embed="rId20"/>
                    <a:stretch>
                      <a:fillRect/>
                    </a:stretch>
                  </pic:blipFill>
                  <pic:spPr>
                    <a:xfrm>
                      <a:off x="0" y="0"/>
                      <a:ext cx="5486400" cy="3200400"/>
                    </a:xfrm>
                    <a:prstGeom prst="rect"/>
                  </pic:spPr>
                </pic:pic>
              </a:graphicData>
            </a:graphic>
          </wp:inline>
        </w:drawing>
      </w:r>
    </w:p>
    <w:p>
      <w:r>
        <w:rPr>
          <w:b/>
          <w:sz w:val="18"/>
        </w:rPr>
        <w:t>Figure 5. Drag coefficient vs. Mach (curve actually used).</w:t>
      </w:r>
    </w:p>
    <w:p>
      <w:r>
        <w:t>The drag coefficient used in this simulation comes from user-supplied CSV files (power_off_drag.csv, power_on_drag.csv). Figure 5 shows the power-off (coast) and power-on (boost) drag curves actually used; the flight reaches Mach 0.47, past the drag curve's own 0.47 Mach coverage - results above that speed use a constant-Cd extrapolation, not measured drag, and should be treated with reduced confidence.</w:t>
      </w:r>
    </w:p>
    <w:p>
      <w:pPr>
        <w:pStyle w:val="Heading2"/>
      </w:pPr>
      <w:r>
        <w:rPr>
          <w:color w:val="211A16"/>
        </w:rPr>
        <w:t>Mach number vs. time</w:t>
      </w:r>
    </w:p>
    <w:p>
      <w:r>
        <w:drawing>
          <wp:inline xmlns:a="http://schemas.openxmlformats.org/drawingml/2006/main" xmlns:pic="http://schemas.openxmlformats.org/drawingml/2006/picture">
            <wp:extent cx="5486400" cy="3200400"/>
            <wp:docPr id="11" name="Picture 11"/>
            <wp:cNvGraphicFramePr>
              <a:graphicFrameLocks noChangeAspect="1"/>
            </wp:cNvGraphicFramePr>
            <a:graphic>
              <a:graphicData uri="http://schemas.openxmlformats.org/drawingml/2006/picture">
                <pic:pic>
                  <pic:nvPicPr>
                    <pic:cNvPr id="0" name="plot_mach_fdf4efc0.png"/>
                    <pic:cNvPicPr/>
                  </pic:nvPicPr>
                  <pic:blipFill>
                    <a:blip r:embed="rId21"/>
                    <a:stretch>
                      <a:fillRect/>
                    </a:stretch>
                  </pic:blipFill>
                  <pic:spPr>
                    <a:xfrm>
                      <a:off x="0" y="0"/>
                      <a:ext cx="5486400" cy="3200400"/>
                    </a:xfrm>
                    <a:prstGeom prst="rect"/>
                  </pic:spPr>
                </pic:pic>
              </a:graphicData>
            </a:graphic>
          </wp:inline>
        </w:drawing>
      </w:r>
    </w:p>
    <w:p>
      <w:pPr>
        <w:pStyle w:val="Heading2"/>
      </w:pPr>
      <w:r>
        <w:rPr>
          <w:color w:val="211A16"/>
        </w:rPr>
        <w:t>Dynamic pressure vs. time</w:t>
      </w:r>
    </w:p>
    <w:p>
      <w:r>
        <w:drawing>
          <wp:inline xmlns:a="http://schemas.openxmlformats.org/drawingml/2006/main" xmlns:pic="http://schemas.openxmlformats.org/drawingml/2006/picture">
            <wp:extent cx="5486400" cy="3200400"/>
            <wp:docPr id="12" name="Picture 12"/>
            <wp:cNvGraphicFramePr>
              <a:graphicFrameLocks noChangeAspect="1"/>
            </wp:cNvGraphicFramePr>
            <a:graphic>
              <a:graphicData uri="http://schemas.openxmlformats.org/drawingml/2006/picture">
                <pic:pic>
                  <pic:nvPicPr>
                    <pic:cNvPr id="0" name="plot_dynamic_pressure_5b33cc65.png"/>
                    <pic:cNvPicPr/>
                  </pic:nvPicPr>
                  <pic:blipFill>
                    <a:blip r:embed="rId22"/>
                    <a:stretch>
                      <a:fillRect/>
                    </a:stretch>
                  </pic:blipFill>
                  <pic:spPr>
                    <a:xfrm>
                      <a:off x="0" y="0"/>
                      <a:ext cx="5486400" cy="3200400"/>
                    </a:xfrm>
                    <a:prstGeom prst="rect"/>
                  </pic:spPr>
                </pic:pic>
              </a:graphicData>
            </a:graphic>
          </wp:inline>
        </w:drawing>
      </w:r>
    </w:p>
    <w:p>
      <w:pPr>
        <w:pStyle w:val="Heading1"/>
      </w:pPr>
      <w:r>
        <w:rPr>
          <w:color w:val="211A16"/>
        </w:rPr>
        <w:t>6. Stability</w:t>
      </w:r>
    </w:p>
    <w:p>
      <w:r>
        <w:drawing>
          <wp:inline xmlns:a="http://schemas.openxmlformats.org/drawingml/2006/main" xmlns:pic="http://schemas.openxmlformats.org/drawingml/2006/picture">
            <wp:extent cx="5486400" cy="3200400"/>
            <wp:docPr id="13" name="Picture 13"/>
            <wp:cNvGraphicFramePr>
              <a:graphicFrameLocks noChangeAspect="1"/>
            </wp:cNvGraphicFramePr>
            <a:graphic>
              <a:graphicData uri="http://schemas.openxmlformats.org/drawingml/2006/picture">
                <pic:pic>
                  <pic:nvPicPr>
                    <pic:cNvPr id="0" name="plot_static_margin_7f50246f.png"/>
                    <pic:cNvPicPr/>
                  </pic:nvPicPr>
                  <pic:blipFill>
                    <a:blip r:embed="rId23"/>
                    <a:stretch>
                      <a:fillRect/>
                    </a:stretch>
                  </pic:blipFill>
                  <pic:spPr>
                    <a:xfrm>
                      <a:off x="0" y="0"/>
                      <a:ext cx="5486400" cy="3200400"/>
                    </a:xfrm>
                    <a:prstGeom prst="rect"/>
                  </pic:spPr>
                </pic:pic>
              </a:graphicData>
            </a:graphic>
          </wp:inline>
        </w:drawing>
      </w:r>
    </w:p>
    <w:p>
      <w:r>
        <w:rPr>
          <w:b/>
          <w:sz w:val="18"/>
        </w:rPr>
        <w:t>Figure 6. Static margin vs. time, with the RCSM's 1.5-4.0 cal allowed band shaded.</w:t>
      </w:r>
    </w:p>
    <w:p>
      <w:r>
        <w:t>Figure 6 shows the static margin through the flight against the RCSM's required 1.5-4.0 cal band (FLT 4.3.5/4.3.6, shaded). The minimum margin is 2.49 cal and the maximum is 3.30 cal, so the vehicle is compliant throughout the ascent. As an independent check, a hand calculation using the classical Barrowman (1966) method (Barrowman (1966), nose + fins only - body tube and transition normal-force contributions neglected (standard textbook simplification for a slender airframe).) places the center of pressure at 1.221 m from the nose tip, compared to 1.211 m from RocketPy's own (more complete) model - a difference of +0.8%.</w:t>
      </w:r>
    </w:p>
    <w:p>
      <w:pPr>
        <w:pStyle w:val="Heading2"/>
      </w:pPr>
      <w:r>
        <w:rPr>
          <w:color w:val="211A16"/>
        </w:rPr>
        <w:t>CG and CP vs. time</w:t>
      </w:r>
    </w:p>
    <w:p>
      <w:r>
        <w:drawing>
          <wp:inline xmlns:a="http://schemas.openxmlformats.org/drawingml/2006/main" xmlns:pic="http://schemas.openxmlformats.org/drawingml/2006/picture">
            <wp:extent cx="5486400" cy="3200400"/>
            <wp:docPr id="14" name="Picture 14"/>
            <wp:cNvGraphicFramePr>
              <a:graphicFrameLocks noChangeAspect="1"/>
            </wp:cNvGraphicFramePr>
            <a:graphic>
              <a:graphicData uri="http://schemas.openxmlformats.org/drawingml/2006/picture">
                <pic:pic>
                  <pic:nvPicPr>
                    <pic:cNvPr id="0" name="plot_cg_cp_0a43c850.png"/>
                    <pic:cNvPicPr/>
                  </pic:nvPicPr>
                  <pic:blipFill>
                    <a:blip r:embed="rId24"/>
                    <a:stretch>
                      <a:fillRect/>
                    </a:stretch>
                  </pic:blipFill>
                  <pic:spPr>
                    <a:xfrm>
                      <a:off x="0" y="0"/>
                      <a:ext cx="5486400" cy="3200400"/>
                    </a:xfrm>
                    <a:prstGeom prst="rect"/>
                  </pic:spPr>
                </pic:pic>
              </a:graphicData>
            </a:graphic>
          </wp:inline>
        </w:drawing>
      </w:r>
    </w:p>
    <w:p>
      <w:pPr>
        <w:pStyle w:val="Heading2"/>
      </w:pPr>
      <w:r>
        <w:rPr>
          <w:color w:val="211A16"/>
        </w:rPr>
        <w:t>Angle of attack</w:t>
      </w:r>
    </w:p>
    <w:p>
      <w:r>
        <w:drawing>
          <wp:inline xmlns:a="http://schemas.openxmlformats.org/drawingml/2006/main" xmlns:pic="http://schemas.openxmlformats.org/drawingml/2006/picture">
            <wp:extent cx="5486400" cy="3200400"/>
            <wp:docPr id="15" name="Picture 15"/>
            <wp:cNvGraphicFramePr>
              <a:graphicFrameLocks noChangeAspect="1"/>
            </wp:cNvGraphicFramePr>
            <a:graphic>
              <a:graphicData uri="http://schemas.openxmlformats.org/drawingml/2006/picture">
                <pic:pic>
                  <pic:nvPicPr>
                    <pic:cNvPr id="0" name="plot_angle_of_attack_3b946bb3.png"/>
                    <pic:cNvPicPr/>
                  </pic:nvPicPr>
                  <pic:blipFill>
                    <a:blip r:embed="rId25"/>
                    <a:stretch>
                      <a:fillRect/>
                    </a:stretch>
                  </pic:blipFill>
                  <pic:spPr>
                    <a:xfrm>
                      <a:off x="0" y="0"/>
                      <a:ext cx="5486400" cy="3200400"/>
                    </a:xfrm>
                    <a:prstGeom prst="rect"/>
                  </pic:spPr>
                </pic:pic>
              </a:graphicData>
            </a:graphic>
          </wp:inline>
        </w:drawing>
      </w:r>
    </w:p>
    <w:p>
      <w:pPr>
        <w:pStyle w:val="Heading2"/>
      </w:pPr>
      <w:r>
        <w:rPr>
          <w:color w:val="211A16"/>
        </w:rPr>
        <w:t>6.1 Independent analytical verification (Barrowman)</w:t>
      </w:r>
    </w:p>
    <w:p>
      <w:r>
        <w:t>Barrowman (1966), nose + fins only - body tube and transition normal-force contributions neglected (standard textbook simplification for a slender airframe).</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Nose CN-alpha / CP</w:t>
            </w:r>
          </w:p>
        </w:tc>
        <w:tc>
          <w:tcPr>
            <w:tcW w:type="dxa" w:w="4320"/>
          </w:tcPr>
          <w:p>
            <w:r>
              <w:t>2.00 /rad @ 0.135 m from nose</w:t>
            </w:r>
          </w:p>
        </w:tc>
      </w:tr>
      <w:tr>
        <w:tc>
          <w:tcPr>
            <w:tcW w:type="dxa" w:w="4320"/>
          </w:tcPr>
          <w:p>
            <w:r>
              <w:t>Fins CN-alpha (total) / CP</w:t>
            </w:r>
          </w:p>
        </w:tc>
        <w:tc>
          <w:tcPr>
            <w:tcW w:type="dxa" w:w="4320"/>
          </w:tcPr>
          <w:p>
            <w:r>
              <w:t>13.32 /rad @ 1.384 m from nose</w:t>
            </w:r>
          </w:p>
        </w:tc>
      </w:tr>
      <w:tr>
        <w:tc>
          <w:tcPr>
            <w:tcW w:type="dxa" w:w="4320"/>
          </w:tcPr>
          <w:p>
            <w:r>
              <w:t>Hand-calculated CP (total CN-alpha)</w:t>
            </w:r>
          </w:p>
        </w:tc>
        <w:tc>
          <w:tcPr>
            <w:tcW w:type="dxa" w:w="4320"/>
          </w:tcPr>
          <w:p>
            <w:r>
              <w:t>1.221 m (15.32 /rad)</w:t>
            </w:r>
          </w:p>
        </w:tc>
      </w:tr>
      <w:tr>
        <w:tc>
          <w:tcPr>
            <w:tcW w:type="dxa" w:w="4320"/>
          </w:tcPr>
          <w:p>
            <w:r>
              <w:t>RocketPy's own CP (t=0) / agreement</w:t>
            </w:r>
          </w:p>
        </w:tc>
        <w:tc>
          <w:tcPr>
            <w:tcW w:type="dxa" w:w="4320"/>
          </w:tcPr>
          <w:p>
            <w:r>
              <w:t>1.211 m (+0.8%)</w:t>
            </w:r>
          </w:p>
        </w:tc>
      </w:tr>
    </w:tbl>
    <w:p>
      <w:pPr>
        <w:pStyle w:val="Heading2"/>
      </w:pPr>
      <w:r>
        <w:rPr>
          <w:color w:val="211A16"/>
        </w:rPr>
        <w:t>6.2 Comparison against OpenRocket (Ballistic Brasil)</w:t>
      </w:r>
    </w:p>
    <w:p>
      <w:r>
        <w:rPr>
          <w:sz w:val="16"/>
        </w:rPr>
        <w:t>"Static margin (ascent min.)" above is the worst point across the whole ascent - a different, safety-focused number from "Stability at Mach 0.3" below, which is OpenRocket's own default design-view snapshot (t=0 mass, Mach 0.3 aerodynamics only).</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b/>
              </w:rPr>
              <w:t>Quantity</w:t>
            </w:r>
          </w:p>
        </w:tc>
        <w:tc>
          <w:tcPr>
            <w:tcW w:type="dxa" w:w="2160"/>
            <w:shd w:val="clear" w:fill="F2EFEA"/>
          </w:tcPr>
          <w:p>
            <w:r>
              <w:rPr>
                <w:b/>
              </w:rPr>
              <w:t>Ours</w:t>
            </w:r>
          </w:p>
        </w:tc>
        <w:tc>
          <w:tcPr>
            <w:tcW w:type="dxa" w:w="2160"/>
            <w:shd w:val="clear" w:fill="F2EFEA"/>
          </w:tcPr>
          <w:p>
            <w:r>
              <w:rPr>
                <w:b/>
              </w:rPr>
              <w:t>OpenRocket</w:t>
            </w:r>
          </w:p>
        </w:tc>
        <w:tc>
          <w:tcPr>
            <w:tcW w:type="dxa" w:w="2160"/>
            <w:shd w:val="clear" w:fill="F2EFEA"/>
          </w:tcPr>
          <w:p>
            <w:r>
              <w:rPr>
                <w:b/>
              </w:rPr>
              <w:t>Diff</w:t>
            </w:r>
          </w:p>
        </w:tc>
      </w:tr>
      <w:tr>
        <w:tc>
          <w:tcPr>
            <w:tcW w:type="dxa" w:w="2160"/>
          </w:tcPr>
          <w:p>
            <w:r>
              <w:t>Overall length</w:t>
            </w:r>
          </w:p>
        </w:tc>
        <w:tc>
          <w:tcPr>
            <w:tcW w:type="dxa" w:w="2160"/>
          </w:tcPr>
          <w:p>
            <w:r>
              <w:t>1.470 m</w:t>
            </w:r>
          </w:p>
        </w:tc>
        <w:tc>
          <w:tcPr>
            <w:tcW w:type="dxa" w:w="2160"/>
          </w:tcPr>
          <w:p>
            <w:r>
              <w:t>n/a</w:t>
            </w:r>
          </w:p>
        </w:tc>
        <w:tc>
          <w:tcPr>
            <w:tcW w:type="dxa" w:w="2160"/>
          </w:tcPr>
          <w:p>
            <w:r>
              <w:t>n/a</w:t>
            </w:r>
          </w:p>
        </w:tc>
      </w:tr>
      <w:tr>
        <w:tc>
          <w:tcPr>
            <w:tcW w:type="dxa" w:w="2160"/>
          </w:tcPr>
          <w:p>
            <w:r>
              <w:t>Max diameter</w:t>
            </w:r>
          </w:p>
        </w:tc>
        <w:tc>
          <w:tcPr>
            <w:tcW w:type="dxa" w:w="2160"/>
          </w:tcPr>
          <w:p>
            <w:r>
              <w:t>0.110 m</w:t>
            </w:r>
          </w:p>
        </w:tc>
        <w:tc>
          <w:tcPr>
            <w:tcW w:type="dxa" w:w="2160"/>
          </w:tcPr>
          <w:p>
            <w:r>
              <w:t>0.110 m</w:t>
            </w:r>
          </w:p>
        </w:tc>
        <w:tc>
          <w:tcPr>
            <w:tcW w:type="dxa" w:w="2160"/>
          </w:tcPr>
          <w:p>
            <w:r>
              <w:rPr>
                <w:b/>
                <w:color w:val="2C7730"/>
              </w:rPr>
              <w:t>-0.36%</w:t>
            </w:r>
          </w:p>
        </w:tc>
      </w:tr>
      <w:tr>
        <w:tc>
          <w:tcPr>
            <w:tcW w:type="dxa" w:w="2160"/>
          </w:tcPr>
          <w:p>
            <w:r>
              <w:t>Mass without motor</w:t>
            </w:r>
          </w:p>
        </w:tc>
        <w:tc>
          <w:tcPr>
            <w:tcW w:type="dxa" w:w="2160"/>
          </w:tcPr>
          <w:p>
            <w:r>
              <w:t>5.6622 kg</w:t>
            </w:r>
          </w:p>
        </w:tc>
        <w:tc>
          <w:tcPr>
            <w:tcW w:type="dxa" w:w="2160"/>
          </w:tcPr>
          <w:p>
            <w:r>
              <w:t>5.6590 kg</w:t>
            </w:r>
          </w:p>
        </w:tc>
        <w:tc>
          <w:tcPr>
            <w:tcW w:type="dxa" w:w="2160"/>
          </w:tcPr>
          <w:p>
            <w:r>
              <w:rPr>
                <w:b/>
                <w:color w:val="2C7730"/>
              </w:rPr>
              <w:t>+0.06%</w:t>
            </w:r>
          </w:p>
        </w:tc>
      </w:tr>
      <w:tr>
        <w:tc>
          <w:tcPr>
            <w:tcW w:type="dxa" w:w="2160"/>
          </w:tcPr>
          <w:p>
            <w:r>
              <w:t>Mass with motor (t=0)</w:t>
            </w:r>
          </w:p>
        </w:tc>
        <w:tc>
          <w:tcPr>
            <w:tcW w:type="dxa" w:w="2160"/>
          </w:tcPr>
          <w:p>
            <w:r>
              <w:t>10.4000 kg</w:t>
            </w:r>
          </w:p>
        </w:tc>
        <w:tc>
          <w:tcPr>
            <w:tcW w:type="dxa" w:w="2160"/>
          </w:tcPr>
          <w:p>
            <w:r>
              <w:t>10.5230 kg</w:t>
            </w:r>
          </w:p>
        </w:tc>
        <w:tc>
          <w:tcPr>
            <w:tcW w:type="dxa" w:w="2160"/>
          </w:tcPr>
          <w:p>
            <w:r>
              <w:rPr>
                <w:b/>
                <w:color w:val="B3261E"/>
              </w:rPr>
              <w:t>-1.17%</w:t>
            </w:r>
          </w:p>
        </w:tc>
      </w:tr>
      <w:tr>
        <w:tc>
          <w:tcPr>
            <w:tcW w:type="dxa" w:w="2160"/>
          </w:tcPr>
          <w:p>
            <w:r>
              <w:t>CG with motor (t=0, from nose)</w:t>
            </w:r>
          </w:p>
        </w:tc>
        <w:tc>
          <w:tcPr>
            <w:tcW w:type="dxa" w:w="2160"/>
          </w:tcPr>
          <w:p>
            <w:r>
              <w:t>0.9477 m</w:t>
            </w:r>
          </w:p>
        </w:tc>
        <w:tc>
          <w:tcPr>
            <w:tcW w:type="dxa" w:w="2160"/>
          </w:tcPr>
          <w:p>
            <w:r>
              <w:t>1.0000 m</w:t>
            </w:r>
          </w:p>
        </w:tc>
        <w:tc>
          <w:tcPr>
            <w:tcW w:type="dxa" w:w="2160"/>
          </w:tcPr>
          <w:p>
            <w:r>
              <w:rPr>
                <w:b/>
                <w:color w:val="B3261E"/>
              </w:rPr>
              <w:t>-5.23%</w:t>
            </w:r>
          </w:p>
        </w:tc>
      </w:tr>
      <w:tr>
        <w:tc>
          <w:tcPr>
            <w:tcW w:type="dxa" w:w="2160"/>
          </w:tcPr>
          <w:p>
            <w:r>
              <w:t>CP at Mach 0.3</w:t>
            </w:r>
          </w:p>
        </w:tc>
        <w:tc>
          <w:tcPr>
            <w:tcW w:type="dxa" w:w="2160"/>
          </w:tcPr>
          <w:p>
            <w:r>
              <w:t>1.2137 m</w:t>
            </w:r>
          </w:p>
        </w:tc>
        <w:tc>
          <w:tcPr>
            <w:tcW w:type="dxa" w:w="2160"/>
          </w:tcPr>
          <w:p>
            <w:r>
              <w:t>1.2120 m</w:t>
            </w:r>
          </w:p>
        </w:tc>
        <w:tc>
          <w:tcPr>
            <w:tcW w:type="dxa" w:w="2160"/>
          </w:tcPr>
          <w:p>
            <w:r>
              <w:rPr>
                <w:b/>
                <w:color w:val="2C7730"/>
              </w:rPr>
              <w:t>+0.14%</w:t>
            </w:r>
          </w:p>
        </w:tc>
      </w:tr>
      <w:tr>
        <w:tc>
          <w:tcPr>
            <w:tcW w:type="dxa" w:w="2160"/>
          </w:tcPr>
          <w:p>
            <w:r>
              <w:t>Stability at Mach 0.3 (t=0)</w:t>
            </w:r>
          </w:p>
        </w:tc>
        <w:tc>
          <w:tcPr>
            <w:tcW w:type="dxa" w:w="2160"/>
          </w:tcPr>
          <w:p>
            <w:r>
              <w:t>2.427 cal</w:t>
            </w:r>
          </w:p>
        </w:tc>
        <w:tc>
          <w:tcPr>
            <w:tcW w:type="dxa" w:w="2160"/>
          </w:tcPr>
          <w:p>
            <w:r>
              <w:t>2.411 cal</w:t>
            </w:r>
          </w:p>
        </w:tc>
        <w:tc>
          <w:tcPr>
            <w:tcW w:type="dxa" w:w="2160"/>
          </w:tcPr>
          <w:p>
            <w:r>
              <w:rPr>
                <w:b/>
                <w:color w:val="2C7730"/>
              </w:rPr>
              <w:t>+0.65%</w:t>
            </w:r>
          </w:p>
        </w:tc>
      </w:tr>
      <w:tr>
        <w:tc>
          <w:tcPr>
            <w:tcW w:type="dxa" w:w="2160"/>
          </w:tcPr>
          <w:p>
            <w:r>
              <w:t>Apogee AGL</w:t>
            </w:r>
          </w:p>
        </w:tc>
        <w:tc>
          <w:tcPr>
            <w:tcW w:type="dxa" w:w="2160"/>
          </w:tcPr>
          <w:p>
            <w:r>
              <w:t>1074.4 m</w:t>
            </w:r>
          </w:p>
        </w:tc>
        <w:tc>
          <w:tcPr>
            <w:tcW w:type="dxa" w:w="2160"/>
          </w:tcPr>
          <w:p>
            <w:r>
              <w:t>1054.7 m</w:t>
            </w:r>
          </w:p>
        </w:tc>
        <w:tc>
          <w:tcPr>
            <w:tcW w:type="dxa" w:w="2160"/>
          </w:tcPr>
          <w:p>
            <w:r>
              <w:rPr>
                <w:b/>
                <w:color w:val="B3261E"/>
              </w:rPr>
              <w:t>+1.86%</w:t>
            </w:r>
          </w:p>
        </w:tc>
      </w:tr>
      <w:tr>
        <w:tc>
          <w:tcPr>
            <w:tcW w:type="dxa" w:w="2160"/>
          </w:tcPr>
          <w:p>
            <w:r>
              <w:t>Max Mach</w:t>
            </w:r>
          </w:p>
        </w:tc>
        <w:tc>
          <w:tcPr>
            <w:tcW w:type="dxa" w:w="2160"/>
          </w:tcPr>
          <w:p>
            <w:r>
              <w:t>0.473</w:t>
            </w:r>
          </w:p>
        </w:tc>
        <w:tc>
          <w:tcPr>
            <w:tcW w:type="dxa" w:w="2160"/>
          </w:tcPr>
          <w:p>
            <w:r>
              <w:t>0.463</w:t>
            </w:r>
          </w:p>
        </w:tc>
        <w:tc>
          <w:tcPr>
            <w:tcW w:type="dxa" w:w="2160"/>
          </w:tcPr>
          <w:p>
            <w:r>
              <w:rPr>
                <w:b/>
                <w:color w:val="B3261E"/>
              </w:rPr>
              <w:t>+2.17%</w:t>
            </w:r>
          </w:p>
        </w:tc>
      </w:tr>
    </w:tbl>
    <w:p>
      <w:r>
        <w:rPr>
          <w:sz w:val="16"/>
        </w:rPr>
        <w:t>CP-derived rows use a 2% tolerance (RocketPy and OpenRocket use slightly different body-lift models, a documented and expected difference); every other row uses 1%.</w:t>
      </w:r>
    </w:p>
    <w:p>
      <w:pPr>
        <w:pStyle w:val="Heading1"/>
      </w:pPr>
      <w:r>
        <w:rPr>
          <w:color w:val="211A16"/>
        </w:rPr>
        <w:t>7. Recovery and landing footprint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1234"/>
        <w:gridCol w:w="1234"/>
        <w:gridCol w:w="1234"/>
        <w:gridCol w:w="1234"/>
        <w:gridCol w:w="1234"/>
        <w:gridCol w:w="1234"/>
        <w:gridCol w:w="1234"/>
      </w:tblGrid>
      <w:tr>
        <w:tc>
          <w:tcPr>
            <w:tcW w:type="dxa" w:w="1234"/>
            <w:shd w:val="clear" w:fill="F2EFEA"/>
          </w:tcPr>
          <w:p>
            <w:r>
              <w:rPr>
                <w:b/>
              </w:rPr>
              <w:t>Stage</w:t>
            </w:r>
          </w:p>
        </w:tc>
        <w:tc>
          <w:tcPr>
            <w:tcW w:type="dxa" w:w="1234"/>
            <w:shd w:val="clear" w:fill="F2EFEA"/>
          </w:tcPr>
          <w:p>
            <w:r>
              <w:rPr>
                <w:b/>
              </w:rPr>
              <w:t>Diameter (m)</w:t>
            </w:r>
          </w:p>
        </w:tc>
        <w:tc>
          <w:tcPr>
            <w:tcW w:type="dxa" w:w="1234"/>
            <w:shd w:val="clear" w:fill="F2EFEA"/>
          </w:tcPr>
          <w:p>
            <w:r>
              <w:rPr>
                <w:b/>
              </w:rPr>
              <w:t>Area (m2)</w:t>
            </w:r>
          </w:p>
        </w:tc>
        <w:tc>
          <w:tcPr>
            <w:tcW w:type="dxa" w:w="1234"/>
            <w:shd w:val="clear" w:fill="F2EFEA"/>
          </w:tcPr>
          <w:p>
            <w:r>
              <w:rPr>
                <w:b/>
              </w:rPr>
              <w:t>Cd*S (m2)</w:t>
            </w:r>
          </w:p>
        </w:tc>
        <w:tc>
          <w:tcPr>
            <w:tcW w:type="dxa" w:w="1234"/>
            <w:shd w:val="clear" w:fill="F2EFEA"/>
          </w:tcPr>
          <w:p>
            <w:r>
              <w:rPr>
                <w:b/>
              </w:rPr>
              <w:t>Deploy (s)</w:t>
            </w:r>
          </w:p>
        </w:tc>
        <w:tc>
          <w:tcPr>
            <w:tcW w:type="dxa" w:w="1234"/>
            <w:shd w:val="clear" w:fill="F2EFEA"/>
          </w:tcPr>
          <w:p>
            <w:r>
              <w:rPr>
                <w:b/>
              </w:rPr>
              <w:t>Sim descent (m/s)</w:t>
            </w:r>
          </w:p>
        </w:tc>
        <w:tc>
          <w:tcPr>
            <w:tcW w:type="dxa" w:w="1234"/>
            <w:shd w:val="clear" w:fill="F2EFEA"/>
          </w:tcPr>
          <w:p>
            <w:r>
              <w:rPr>
                <w:b/>
              </w:rPr>
              <w:t>Hand-calc descent (m/s)</w:t>
            </w:r>
          </w:p>
        </w:tc>
      </w:tr>
      <w:tr>
        <w:tc>
          <w:tcPr>
            <w:tcW w:type="dxa" w:w="1234"/>
          </w:tcPr>
          <w:p>
            <w:r>
              <w:t>Parachute</w:t>
            </w:r>
          </w:p>
        </w:tc>
        <w:tc>
          <w:tcPr>
            <w:tcW w:type="dxa" w:w="1234"/>
          </w:tcPr>
          <w:p>
            <w:r>
              <w:t>2.80</w:t>
            </w:r>
          </w:p>
        </w:tc>
        <w:tc>
          <w:tcPr>
            <w:tcW w:type="dxa" w:w="1234"/>
          </w:tcPr>
          <w:p>
            <w:r>
              <w:t>6.158</w:t>
            </w:r>
          </w:p>
        </w:tc>
        <w:tc>
          <w:tcPr>
            <w:tcW w:type="dxa" w:w="1234"/>
          </w:tcPr>
          <w:p>
            <w:r>
              <w:t>4.618</w:t>
            </w:r>
          </w:p>
        </w:tc>
        <w:tc>
          <w:tcPr>
            <w:tcW w:type="dxa" w:w="1234"/>
          </w:tcPr>
          <w:p>
            <w:r>
              <w:t>16.0</w:t>
            </w:r>
          </w:p>
        </w:tc>
        <w:tc>
          <w:tcPr>
            <w:tcW w:type="dxa" w:w="1234"/>
          </w:tcPr>
          <w:p>
            <w:r>
              <w:t>6.1</w:t>
            </w:r>
          </w:p>
        </w:tc>
        <w:tc>
          <w:tcPr>
            <w:tcW w:type="dxa" w:w="1234"/>
          </w:tcPr>
          <w:p>
            <w:r>
              <w:t>5.5</w:t>
            </w:r>
          </w:p>
        </w:tc>
      </w:tr>
    </w:tbl>
    <w:p>
      <w:r>
        <w:drawing>
          <wp:inline xmlns:a="http://schemas.openxmlformats.org/drawingml/2006/main" xmlns:pic="http://schemas.openxmlformats.org/drawingml/2006/picture">
            <wp:extent cx="5486400" cy="3200400"/>
            <wp:docPr id="16" name="Picture 16"/>
            <wp:cNvGraphicFramePr>
              <a:graphicFrameLocks noChangeAspect="1"/>
            </wp:cNvGraphicFramePr>
            <a:graphic>
              <a:graphicData uri="http://schemas.openxmlformats.org/drawingml/2006/picture">
                <pic:pic>
                  <pic:nvPicPr>
                    <pic:cNvPr id="0" name="plot_descent_velocity_1f622eba.png"/>
                    <pic:cNvPicPr/>
                  </pic:nvPicPr>
                  <pic:blipFill>
                    <a:blip r:embed="rId26"/>
                    <a:stretch>
                      <a:fillRect/>
                    </a:stretch>
                  </pic:blipFill>
                  <pic:spPr>
                    <a:xfrm>
                      <a:off x="0" y="0"/>
                      <a:ext cx="5486400" cy="3200400"/>
                    </a:xfrm>
                    <a:prstGeom prst="rect"/>
                  </pic:spPr>
                </pic:pic>
              </a:graphicData>
            </a:graphic>
          </wp:inline>
        </w:drawing>
      </w:r>
    </w:p>
    <w:p>
      <w:r>
        <w:rPr>
          <w:b/>
          <w:sz w:val="18"/>
        </w:rPr>
        <w:t>Figure 7. Descent velocity after apogee.</w:t>
      </w:r>
    </w:p>
    <w:p>
      <w:r>
        <w:t>The recovery system uses 1 parachute(s): Parachute. Figure 7 shows the descent rate after apogee; the simulated descent rates are compared against a hand-calculated terminal velocity for each stage in the table above, as a cross-check on the parachute Cd*S values used.</w:t>
      </w:r>
    </w:p>
    <w:p>
      <w:pPr>
        <w:pStyle w:val="Heading1"/>
      </w:pPr>
      <w:r>
        <w:rPr>
          <w:color w:val="211A16"/>
        </w:rPr>
        <w:t>8. Flight cases (RCSM)</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1728"/>
        <w:gridCol w:w="1728"/>
        <w:gridCol w:w="1728"/>
        <w:gridCol w:w="1728"/>
        <w:gridCol w:w="1728"/>
      </w:tblGrid>
      <w:tr>
        <w:tc>
          <w:tcPr>
            <w:tcW w:type="dxa" w:w="1728"/>
            <w:shd w:val="clear" w:fill="F2EFEA"/>
          </w:tcPr>
          <w:p>
            <w:r>
              <w:rPr>
                <w:b/>
              </w:rPr>
              <w:t>Case</w:t>
            </w:r>
          </w:p>
        </w:tc>
        <w:tc>
          <w:tcPr>
            <w:tcW w:type="dxa" w:w="1728"/>
            <w:shd w:val="clear" w:fill="F2EFEA"/>
          </w:tcPr>
          <w:p>
            <w:r>
              <w:rPr>
                <w:b/>
              </w:rPr>
              <w:t>Apogee AGL (m)</w:t>
            </w:r>
          </w:p>
        </w:tc>
        <w:tc>
          <w:tcPr>
            <w:tcW w:type="dxa" w:w="1728"/>
            <w:shd w:val="clear" w:fill="F2EFEA"/>
          </w:tcPr>
          <w:p>
            <w:r>
              <w:rPr>
                <w:b/>
              </w:rPr>
              <w:t>Max speed (m/s)</w:t>
            </w:r>
          </w:p>
        </w:tc>
        <w:tc>
          <w:tcPr>
            <w:tcW w:type="dxa" w:w="1728"/>
            <w:shd w:val="clear" w:fill="F2EFEA"/>
          </w:tcPr>
          <w:p>
            <w:r>
              <w:rPr>
                <w:b/>
              </w:rPr>
              <w:t>Rail exit (m/s)</w:t>
            </w:r>
          </w:p>
        </w:tc>
        <w:tc>
          <w:tcPr>
            <w:tcW w:type="dxa" w:w="1728"/>
            <w:shd w:val="clear" w:fill="F2EFEA"/>
          </w:tcPr>
          <w:p>
            <w:r>
              <w:rPr>
                <w:b/>
              </w:rPr>
              <w:t>Note</w:t>
            </w:r>
          </w:p>
        </w:tc>
      </w:tr>
      <w:tr>
        <w:tc>
          <w:tcPr>
            <w:tcW w:type="dxa" w:w="1728"/>
          </w:tcPr>
          <w:p>
            <w:r>
              <w:t>Ballistic</w:t>
            </w:r>
          </w:p>
        </w:tc>
        <w:tc>
          <w:tcPr>
            <w:tcW w:type="dxa" w:w="1728"/>
          </w:tcPr>
          <w:p>
            <w:r>
              <w:t>1074.4</w:t>
            </w:r>
          </w:p>
        </w:tc>
        <w:tc>
          <w:tcPr>
            <w:tcW w:type="dxa" w:w="1728"/>
          </w:tcPr>
          <w:p>
            <w:r>
              <w:t>158.5</w:t>
            </w:r>
          </w:p>
        </w:tc>
        <w:tc>
          <w:tcPr>
            <w:tcW w:type="dxa" w:w="1728"/>
          </w:tcPr>
          <w:p>
            <w:r>
              <w:t>16.6</w:t>
            </w:r>
          </w:p>
        </w:tc>
        <w:tc>
          <w:tcPr>
            <w:tcW w:type="dxa" w:w="1728"/>
          </w:tcPr>
          <w:p>
            <w:r/>
          </w:p>
        </w:tc>
      </w:tr>
      <w:tr>
        <w:tc>
          <w:tcPr>
            <w:tcW w:type="dxa" w:w="1728"/>
          </w:tcPr>
          <w:p>
            <w:r>
              <w:t>Nominal</w:t>
            </w:r>
          </w:p>
        </w:tc>
        <w:tc>
          <w:tcPr>
            <w:tcW w:type="dxa" w:w="1728"/>
          </w:tcPr>
          <w:p>
            <w:r>
              <w:t>1074.4</w:t>
            </w:r>
          </w:p>
        </w:tc>
        <w:tc>
          <w:tcPr>
            <w:tcW w:type="dxa" w:w="1728"/>
          </w:tcPr>
          <w:p>
            <w:r>
              <w:t>158.5</w:t>
            </w:r>
          </w:p>
        </w:tc>
        <w:tc>
          <w:tcPr>
            <w:tcW w:type="dxa" w:w="1728"/>
          </w:tcPr>
          <w:p>
            <w:r>
              <w:t>16.6</w:t>
            </w:r>
          </w:p>
        </w:tc>
        <w:tc>
          <w:tcPr>
            <w:tcW w:type="dxa" w:w="1728"/>
          </w:tcPr>
          <w:p>
            <w:r/>
          </w:p>
        </w:tc>
      </w:tr>
      <w:tr>
        <w:tc>
          <w:tcPr>
            <w:tcW w:type="dxa" w:w="1728"/>
          </w:tcPr>
          <w:p>
            <w:r>
              <w:t>DrogueOnly</w:t>
            </w:r>
          </w:p>
        </w:tc>
        <w:tc>
          <w:tcPr>
            <w:tcW w:type="dxa" w:w="1728"/>
          </w:tcPr>
          <w:p>
            <w:r>
              <w:t>1074.4</w:t>
            </w:r>
          </w:p>
        </w:tc>
        <w:tc>
          <w:tcPr>
            <w:tcW w:type="dxa" w:w="1728"/>
          </w:tcPr>
          <w:p>
            <w:r>
              <w:t>158.5</w:t>
            </w:r>
          </w:p>
        </w:tc>
        <w:tc>
          <w:tcPr>
            <w:tcW w:type="dxa" w:w="1728"/>
          </w:tcPr>
          <w:p>
            <w:r>
              <w:t>16.6</w:t>
            </w:r>
          </w:p>
        </w:tc>
        <w:tc>
          <w:tcPr>
            <w:tcW w:type="dxa" w:w="1728"/>
          </w:tcPr>
          <w:p>
            <w:r>
              <w:t>This rocket has only ONE recovery event configured (not a real drogue+main dual-deployment topology - REC 8.1.1). Running with that single chute as if it were the drogue; treat this case as informational, not a real dual-deploy compliance check.</w:t>
            </w:r>
          </w:p>
        </w:tc>
      </w:tr>
      <w:tr>
        <w:tc>
          <w:tcPr>
            <w:tcW w:type="dxa" w:w="1728"/>
          </w:tcPr>
          <w:p>
            <w:r>
              <w:t>MainAtApogee</w:t>
            </w:r>
          </w:p>
        </w:tc>
        <w:tc>
          <w:tcPr>
            <w:tcW w:type="dxa" w:w="1728"/>
          </w:tcPr>
          <w:p>
            <w:r>
              <w:t>1074.4</w:t>
            </w:r>
          </w:p>
        </w:tc>
        <w:tc>
          <w:tcPr>
            <w:tcW w:type="dxa" w:w="1728"/>
          </w:tcPr>
          <w:p>
            <w:r>
              <w:t>158.5</w:t>
            </w:r>
          </w:p>
        </w:tc>
        <w:tc>
          <w:tcPr>
            <w:tcW w:type="dxa" w:w="1728"/>
          </w:tcPr>
          <w:p>
            <w:r>
              <w:t>16.6</w:t>
            </w:r>
          </w:p>
        </w:tc>
        <w:tc>
          <w:tcPr>
            <w:tcW w:type="dxa" w:w="1728"/>
          </w:tcPr>
          <w:p>
            <w:r>
              <w:t>This rocket has only ONE recovery event configured (not a real drogue+main dual-deployment topology - REC 8.1.1). Testing that single chute triggered at apogee instead of its normal altitude; treat this case as informational, not a real dual-deploy compliance check.</w:t>
            </w:r>
          </w:p>
        </w:tc>
      </w:tr>
    </w:tbl>
    <w:p>
      <w:r>
        <w:drawing>
          <wp:inline xmlns:a="http://schemas.openxmlformats.org/drawingml/2006/main" xmlns:pic="http://schemas.openxmlformats.org/drawingml/2006/picture">
            <wp:extent cx="5486400" cy="3135086"/>
            <wp:docPr id="17" name="Picture 17"/>
            <wp:cNvGraphicFramePr>
              <a:graphicFrameLocks noChangeAspect="1"/>
            </wp:cNvGraphicFramePr>
            <a:graphic>
              <a:graphicData uri="http://schemas.openxmlformats.org/drawingml/2006/picture">
                <pic:pic>
                  <pic:nvPicPr>
                    <pic:cNvPr id="0" name="case_altitude_overlay_27c4859a.png"/>
                    <pic:cNvPicPr/>
                  </pic:nvPicPr>
                  <pic:blipFill>
                    <a:blip r:embed="rId27"/>
                    <a:stretch>
                      <a:fillRect/>
                    </a:stretch>
                  </pic:blipFill>
                  <pic:spPr>
                    <a:xfrm>
                      <a:off x="0" y="0"/>
                      <a:ext cx="5486400" cy="3135086"/>
                    </a:xfrm>
                    <a:prstGeom prst="rect"/>
                  </pic:spPr>
                </pic:pic>
              </a:graphicData>
            </a:graphic>
          </wp:inline>
        </w:drawing>
      </w:r>
    </w:p>
    <w:p>
      <w:r>
        <w:rPr>
          <w:b/>
          <w:sz w:val="18"/>
        </w:rPr>
        <w:t>Figure 8. Altitude comparison across the required flight cases.</w:t>
      </w:r>
    </w:p>
    <w:p>
      <w:pPr>
        <w:pStyle w:val="Heading1"/>
      </w:pPr>
      <w:r>
        <w:rPr>
          <w:color w:val="211A16"/>
        </w:rPr>
        <w:t>9. Monte Carlo dispersion</w:t>
      </w:r>
    </w:p>
    <w:p>
      <w:r>
        <w:t>Monte Carlo dispersion analysis varies the uncertain inputs listed below across 30 simulated flights. The apogee is predicted at 1067.4 m with a 90% interval of [1018.1, 1116.3] m. The landing footprint (1/2/3-sigma ellipses) bounds where the vehicle is expected to land under wind uncertainty. With only 30 completed trajectories, this is a rough check, not a statistically meaningful dispersion estimate (fewer than 100 samples).</w:t>
      </w:r>
    </w:p>
    <w:p>
      <w:r>
        <w:drawing>
          <wp:inline xmlns:a="http://schemas.openxmlformats.org/drawingml/2006/main" xmlns:pic="http://schemas.openxmlformats.org/drawingml/2006/picture">
            <wp:extent cx="5486400" cy="3200400"/>
            <wp:docPr id="18" name="Picture 18"/>
            <wp:cNvGraphicFramePr>
              <a:graphicFrameLocks noChangeAspect="1"/>
            </wp:cNvGraphicFramePr>
            <a:graphic>
              <a:graphicData uri="http://schemas.openxmlformats.org/drawingml/2006/picture">
                <pic:pic>
                  <pic:nvPicPr>
                    <pic:cNvPr id="0" name="report_mc_histogram_78e26672.png"/>
                    <pic:cNvPicPr/>
                  </pic:nvPicPr>
                  <pic:blipFill>
                    <a:blip r:embed="rId28"/>
                    <a:stretch>
                      <a:fillRect/>
                    </a:stretch>
                  </pic:blipFill>
                  <pic:spPr>
                    <a:xfrm>
                      <a:off x="0" y="0"/>
                      <a:ext cx="5486400" cy="3200400"/>
                    </a:xfrm>
                    <a:prstGeom prst="rect"/>
                  </pic:spPr>
                </pic:pic>
              </a:graphicData>
            </a:graphic>
          </wp:inline>
        </w:drawing>
      </w:r>
    </w:p>
    <w:p>
      <w:r>
        <w:rPr>
          <w:b/>
          <w:sz w:val="18"/>
        </w:rPr>
        <w:t>Figure 9. Apogee distribution across Monte Carlo trajectories.</w:t>
      </w:r>
    </w:p>
    <w:p>
      <w:r>
        <w:drawing>
          <wp:inline xmlns:a="http://schemas.openxmlformats.org/drawingml/2006/main" xmlns:pic="http://schemas.openxmlformats.org/drawingml/2006/picture">
            <wp:extent cx="5486400" cy="1807066"/>
            <wp:docPr id="19" name="Picture 19"/>
            <wp:cNvGraphicFramePr>
              <a:graphicFrameLocks noChangeAspect="1"/>
            </wp:cNvGraphicFramePr>
            <a:graphic>
              <a:graphicData uri="http://schemas.openxmlformats.org/drawingml/2006/picture">
                <pic:pic>
                  <pic:nvPicPr>
                    <pic:cNvPr id="0" name="report_mc_ellipse_ef5e9b06.png"/>
                    <pic:cNvPicPr/>
                  </pic:nvPicPr>
                  <pic:blipFill>
                    <a:blip r:embed="rId29"/>
                    <a:stretch>
                      <a:fillRect/>
                    </a:stretch>
                  </pic:blipFill>
                  <pic:spPr>
                    <a:xfrm>
                      <a:off x="0" y="0"/>
                      <a:ext cx="5486400" cy="1807066"/>
                    </a:xfrm>
                    <a:prstGeom prst="rect"/>
                  </pic:spPr>
                </pic:pic>
              </a:graphicData>
            </a:graphic>
          </wp:inline>
        </w:drawing>
      </w:r>
    </w:p>
    <w:p>
      <w:r>
        <w:rPr>
          <w:b/>
          <w:sz w:val="18"/>
        </w:rPr>
        <w:t>Figure 10. Landing dispersion footprint (1/2/3-sigma).</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880"/>
        <w:gridCol w:w="2880"/>
        <w:gridCol w:w="2880"/>
      </w:tblGrid>
      <w:tr>
        <w:tc>
          <w:tcPr>
            <w:tcW w:type="dxa" w:w="2880"/>
            <w:shd w:val="clear" w:fill="F2EFEA"/>
          </w:tcPr>
          <w:p>
            <w:r>
              <w:rPr>
                <w:b/>
              </w:rPr>
              <w:t>Uncertainty</w:t>
            </w:r>
          </w:p>
        </w:tc>
        <w:tc>
          <w:tcPr>
            <w:tcW w:type="dxa" w:w="2880"/>
            <w:shd w:val="clear" w:fill="F2EFEA"/>
          </w:tcPr>
          <w:p>
            <w:r>
              <w:rPr>
                <w:b/>
              </w:rPr>
              <w:t>Std dev</w:t>
            </w:r>
          </w:p>
        </w:tc>
        <w:tc>
          <w:tcPr>
            <w:tcW w:type="dxa" w:w="2880"/>
            <w:shd w:val="clear" w:fill="F2EFEA"/>
          </w:tcPr>
          <w:p>
            <w:r>
              <w:rPr>
                <w:b/>
              </w:rPr>
              <w:t>Source</w:t>
            </w:r>
          </w:p>
        </w:tc>
      </w:tr>
      <w:tr>
        <w:tc>
          <w:tcPr>
            <w:tcW w:type="dxa" w:w="2880"/>
          </w:tcPr>
          <w:p>
            <w:r>
              <w:t>wind_speed_ms</w:t>
            </w:r>
          </w:p>
        </w:tc>
        <w:tc>
          <w:tcPr>
            <w:tcW w:type="dxa" w:w="2880"/>
          </w:tcPr>
          <w:p>
            <w:r>
              <w:t>1</w:t>
            </w:r>
          </w:p>
        </w:tc>
        <w:tc>
          <w:tcPr>
            <w:tcW w:type="dxa" w:w="2880"/>
          </w:tcPr>
          <w:p>
            <w:r>
              <w:t>no source, low confidence - guessed as 30% of the OpenRocket-recorded wind speed</w:t>
            </w:r>
          </w:p>
        </w:tc>
      </w:tr>
      <w:tr>
        <w:tc>
          <w:tcPr>
            <w:tcW w:type="dxa" w:w="2880"/>
          </w:tcPr>
          <w:p>
            <w:r>
              <w:t>wind_direction_deg</w:t>
            </w:r>
          </w:p>
        </w:tc>
        <w:tc>
          <w:tcPr>
            <w:tcW w:type="dxa" w:w="2880"/>
          </w:tcPr>
          <w:p>
            <w:r>
              <w:t>15</w:t>
            </w:r>
          </w:p>
        </w:tc>
        <w:tc>
          <w:tcPr>
            <w:tcW w:type="dxa" w:w="2880"/>
          </w:tcPr>
          <w:p>
            <w:r>
              <w:t>no source, low confidence - typical launch-day wind direction variability</w:t>
            </w:r>
          </w:p>
        </w:tc>
      </w:tr>
      <w:tr>
        <w:tc>
          <w:tcPr>
            <w:tcW w:type="dxa" w:w="2880"/>
          </w:tcPr>
          <w:p>
            <w:r>
              <w:t>dry_mass_kg</w:t>
            </w:r>
          </w:p>
        </w:tc>
        <w:tc>
          <w:tcPr>
            <w:tcW w:type="dxa" w:w="2880"/>
          </w:tcPr>
          <w:p>
            <w:r>
              <w:t>0.1132</w:t>
            </w:r>
          </w:p>
        </w:tc>
        <w:tc>
          <w:tcPr>
            <w:tcW w:type="dxa" w:w="2880"/>
          </w:tcPr>
          <w:p>
            <w:r>
              <w:t>no source, low confidence - assumed 2% (typical scale + component-count uncertainty for a student rocket)</w:t>
            </w:r>
          </w:p>
        </w:tc>
      </w:tr>
      <w:tr>
        <w:tc>
          <w:tcPr>
            <w:tcW w:type="dxa" w:w="2880"/>
          </w:tcPr>
          <w:p>
            <w:r>
              <w:t>dry_cg_m</w:t>
            </w:r>
          </w:p>
        </w:tc>
        <w:tc>
          <w:tcPr>
            <w:tcW w:type="dxa" w:w="2880"/>
          </w:tcPr>
          <w:p>
            <w:r>
              <w:t>0.01</w:t>
            </w:r>
          </w:p>
        </w:tc>
        <w:tc>
          <w:tcPr>
            <w:tcW w:type="dxa" w:w="2880"/>
          </w:tcPr>
          <w:p>
            <w:r>
              <w:t>no source, low confidence - assumed +-1cm CG placement/measurement uncertainty. NOTE: rocketpy's StochasticRocket does NOT preserve an overridden center_of_mass_without_motor unless this is explicitly passed - found 2026-09-26, see PROGRESS.md</w:t>
            </w:r>
          </w:p>
        </w:tc>
      </w:tr>
      <w:tr>
        <w:tc>
          <w:tcPr>
            <w:tcW w:type="dxa" w:w="2880"/>
          </w:tcPr>
          <w:p>
            <w:r>
              <w:t>total_impulse_Ns</w:t>
            </w:r>
          </w:p>
        </w:tc>
        <w:tc>
          <w:tcPr>
            <w:tcW w:type="dxa" w:w="2880"/>
          </w:tcPr>
          <w:p>
            <w:r>
              <w:t>37.12</w:t>
            </w:r>
          </w:p>
        </w:tc>
        <w:tc>
          <w:tcPr>
            <w:tcW w:type="dxa" w:w="2880"/>
          </w:tcPr>
          <w:p>
            <w:r>
              <w:t>no source, low confidence - assumed 2%, typical SRAD motor-to-motor total impulse variation for KNSB</w:t>
            </w:r>
          </w:p>
        </w:tc>
      </w:tr>
      <w:tr>
        <w:tc>
          <w:tcPr>
            <w:tcW w:type="dxa" w:w="2880"/>
          </w:tcPr>
          <w:p>
            <w:r>
              <w:t>power_off_drag_factor</w:t>
            </w:r>
          </w:p>
        </w:tc>
        <w:tc>
          <w:tcPr>
            <w:tcW w:type="dxa" w:w="2880"/>
          </w:tcPr>
          <w:p>
            <w:r>
              <w:t>0.05</w:t>
            </w:r>
          </w:p>
        </w:tc>
        <w:tc>
          <w:tcPr>
            <w:tcW w:type="dxa" w:w="2880"/>
          </w:tcPr>
          <w:p>
            <w:r>
              <w:t>no source, low confidence - assumed 5% Cd curve uncertainty</w:t>
            </w:r>
          </w:p>
        </w:tc>
      </w:tr>
      <w:tr>
        <w:tc>
          <w:tcPr>
            <w:tcW w:type="dxa" w:w="2880"/>
          </w:tcPr>
          <w:p>
            <w:r>
              <w:t>power_on_drag_factor</w:t>
            </w:r>
          </w:p>
        </w:tc>
        <w:tc>
          <w:tcPr>
            <w:tcW w:type="dxa" w:w="2880"/>
          </w:tcPr>
          <w:p>
            <w:r>
              <w:t>0.05</w:t>
            </w:r>
          </w:p>
        </w:tc>
        <w:tc>
          <w:tcPr>
            <w:tcW w:type="dxa" w:w="2880"/>
          </w:tcPr>
          <w:p>
            <w:r>
              <w:t>no source, low confidence - assumed 5% Cd curve uncertainty</w:t>
            </w:r>
          </w:p>
        </w:tc>
      </w:tr>
      <w:tr>
        <w:tc>
          <w:tcPr>
            <w:tcW w:type="dxa" w:w="2880"/>
          </w:tcPr>
          <w:p>
            <w:r>
              <w:t>inclination_deg</w:t>
            </w:r>
          </w:p>
        </w:tc>
        <w:tc>
          <w:tcPr>
            <w:tcW w:type="dxa" w:w="2880"/>
          </w:tcPr>
          <w:p>
            <w:r>
              <w:t>2</w:t>
            </w:r>
          </w:p>
        </w:tc>
        <w:tc>
          <w:tcPr>
            <w:tcW w:type="dxa" w:w="2880"/>
          </w:tcPr>
          <w:p>
            <w:r>
              <w:t>no source, low confidence - typical rail-angle setup tolerance, +-2 deg</w:t>
            </w:r>
          </w:p>
        </w:tc>
      </w:tr>
      <w:tr>
        <w:tc>
          <w:tcPr>
            <w:tcW w:type="dxa" w:w="2880"/>
          </w:tcPr>
          <w:p>
            <w:r>
              <w:t>heading_deg</w:t>
            </w:r>
          </w:p>
        </w:tc>
        <w:tc>
          <w:tcPr>
            <w:tcW w:type="dxa" w:w="2880"/>
          </w:tcPr>
          <w:p>
            <w:r>
              <w:t>5</w:t>
            </w:r>
          </w:p>
        </w:tc>
        <w:tc>
          <w:tcPr>
            <w:tcW w:type="dxa" w:w="2880"/>
          </w:tcPr>
          <w:p>
            <w:r>
              <w:t>no source, low confidence - typical rail-heading setup tolerance, +-5 deg</w:t>
            </w:r>
          </w:p>
        </w:tc>
      </w:tr>
      <w:tr>
        <w:tc>
          <w:tcPr>
            <w:tcW w:type="dxa" w:w="2880"/>
          </w:tcPr>
          <w:p>
            <w:r>
              <w:t>parachute_lag_s</w:t>
            </w:r>
          </w:p>
        </w:tc>
        <w:tc>
          <w:tcPr>
            <w:tcW w:type="dxa" w:w="2880"/>
          </w:tcPr>
          <w:p>
            <w:r>
              <w:t>0.5</w:t>
            </w:r>
          </w:p>
        </w:tc>
        <w:tc>
          <w:tcPr>
            <w:tcW w:type="dxa" w:w="2880"/>
          </w:tcPr>
          <w:p>
            <w:r>
              <w:t>no source, low confidence - avionics/ejection-charge delay jitter</w:t>
            </w:r>
          </w:p>
        </w:tc>
      </w:tr>
      <w:tr>
        <w:tc>
          <w:tcPr>
            <w:tcW w:type="dxa" w:w="2880"/>
          </w:tcPr>
          <w:p>
            <w:r>
              <w:t>parachute_cd_s_factor</w:t>
            </w:r>
          </w:p>
        </w:tc>
        <w:tc>
          <w:tcPr>
            <w:tcW w:type="dxa" w:w="2880"/>
          </w:tcPr>
          <w:p>
            <w:r>
              <w:t>0.1</w:t>
            </w:r>
          </w:p>
        </w:tc>
        <w:tc>
          <w:tcPr>
            <w:tcW w:type="dxa" w:w="2880"/>
          </w:tcPr>
          <w:p>
            <w:r>
              <w:t>no source, low confidence - assumed 10% parachute Cd*S uncertainty</w:t>
            </w:r>
          </w:p>
        </w:tc>
      </w:tr>
    </w:tbl>
    <w:p>
      <w:pPr>
        <w:pStyle w:val="Heading1"/>
      </w:pPr>
      <w:r>
        <w:rPr>
          <w:color w:val="211A16"/>
        </w:rPr>
        <w:t>10. Global min-max table</w:t>
      </w:r>
    </w:p>
    <w:p>
      <w:r>
        <w:rPr>
          <w:sz w:val="16"/>
        </w:rPr>
        <w:t>Minimum and maximum of every key flight variable across the full simulated trajectory, with the time each occurs.</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1728"/>
        <w:gridCol w:w="1728"/>
        <w:gridCol w:w="1728"/>
        <w:gridCol w:w="1728"/>
        <w:gridCol w:w="1728"/>
      </w:tblGrid>
      <w:tr>
        <w:tc>
          <w:tcPr>
            <w:tcW w:type="dxa" w:w="1728"/>
            <w:shd w:val="clear" w:fill="F2EFEA"/>
          </w:tcPr>
          <w:p>
            <w:r>
              <w:rPr>
                <w:b/>
              </w:rPr>
              <w:t>Variable</w:t>
            </w:r>
          </w:p>
        </w:tc>
        <w:tc>
          <w:tcPr>
            <w:tcW w:type="dxa" w:w="1728"/>
            <w:shd w:val="clear" w:fill="F2EFEA"/>
          </w:tcPr>
          <w:p>
            <w:r>
              <w:rPr>
                <w:b/>
              </w:rPr>
              <w:t>Minimum</w:t>
            </w:r>
          </w:p>
        </w:tc>
        <w:tc>
          <w:tcPr>
            <w:tcW w:type="dxa" w:w="1728"/>
            <w:shd w:val="clear" w:fill="F2EFEA"/>
          </w:tcPr>
          <w:p>
            <w:r>
              <w:rPr>
                <w:b/>
              </w:rPr>
              <w:t>at t (s)</w:t>
            </w:r>
          </w:p>
        </w:tc>
        <w:tc>
          <w:tcPr>
            <w:tcW w:type="dxa" w:w="1728"/>
            <w:shd w:val="clear" w:fill="F2EFEA"/>
          </w:tcPr>
          <w:p>
            <w:r>
              <w:rPr>
                <w:b/>
              </w:rPr>
              <w:t>Maximum</w:t>
            </w:r>
          </w:p>
        </w:tc>
        <w:tc>
          <w:tcPr>
            <w:tcW w:type="dxa" w:w="1728"/>
            <w:shd w:val="clear" w:fill="F2EFEA"/>
          </w:tcPr>
          <w:p>
            <w:r>
              <w:rPr>
                <w:b/>
              </w:rPr>
              <w:t>at t (s)</w:t>
            </w:r>
          </w:p>
        </w:tc>
      </w:tr>
      <w:tr>
        <w:tc>
          <w:tcPr>
            <w:tcW w:type="dxa" w:w="1728"/>
          </w:tcPr>
          <w:p>
            <w:r>
              <w:t>Altitude AGL (m)</w:t>
            </w:r>
          </w:p>
        </w:tc>
        <w:tc>
          <w:tcPr>
            <w:tcW w:type="dxa" w:w="1728"/>
          </w:tcPr>
          <w:p>
            <w:r>
              <w:t>-0.0</w:t>
            </w:r>
          </w:p>
        </w:tc>
        <w:tc>
          <w:tcPr>
            <w:tcW w:type="dxa" w:w="1728"/>
          </w:tcPr>
          <w:p>
            <w:r>
              <w:t>206.81</w:t>
            </w:r>
          </w:p>
        </w:tc>
        <w:tc>
          <w:tcPr>
            <w:tcW w:type="dxa" w:w="1728"/>
          </w:tcPr>
          <w:p>
            <w:r>
              <w:t>1074.4</w:t>
            </w:r>
          </w:p>
        </w:tc>
        <w:tc>
          <w:tcPr>
            <w:tcW w:type="dxa" w:w="1728"/>
          </w:tcPr>
          <w:p>
            <w:r>
              <w:t>15.98</w:t>
            </w:r>
          </w:p>
        </w:tc>
      </w:tr>
      <w:tr>
        <w:tc>
          <w:tcPr>
            <w:tcW w:type="dxa" w:w="1728"/>
          </w:tcPr>
          <w:p>
            <w:r>
              <w:t>Vertical velocity (m/s)</w:t>
            </w:r>
          </w:p>
        </w:tc>
        <w:tc>
          <w:tcPr>
            <w:tcW w:type="dxa" w:w="1728"/>
          </w:tcPr>
          <w:p>
            <w:r>
              <w:t>-5.81</w:t>
            </w:r>
          </w:p>
        </w:tc>
        <w:tc>
          <w:tcPr>
            <w:tcW w:type="dxa" w:w="1728"/>
          </w:tcPr>
          <w:p>
            <w:r>
              <w:t>22.13</w:t>
            </w:r>
          </w:p>
        </w:tc>
        <w:tc>
          <w:tcPr>
            <w:tcW w:type="dxa" w:w="1728"/>
          </w:tcPr>
          <w:p>
            <w:r>
              <w:t>146.33</w:t>
            </w:r>
          </w:p>
        </w:tc>
        <w:tc>
          <w:tcPr>
            <w:tcW w:type="dxa" w:w="1728"/>
          </w:tcPr>
          <w:p>
            <w:r>
              <w:t>3.57</w:t>
            </w:r>
          </w:p>
        </w:tc>
      </w:tr>
      <w:tr>
        <w:tc>
          <w:tcPr>
            <w:tcW w:type="dxa" w:w="1728"/>
          </w:tcPr>
          <w:p>
            <w:r>
              <w:t>Total velocity (m/s)</w:t>
            </w:r>
          </w:p>
        </w:tc>
        <w:tc>
          <w:tcPr>
            <w:tcW w:type="dxa" w:w="1728"/>
          </w:tcPr>
          <w:p>
            <w:r>
              <w:t>-0.00</w:t>
            </w:r>
          </w:p>
        </w:tc>
        <w:tc>
          <w:tcPr>
            <w:tcW w:type="dxa" w:w="1728"/>
          </w:tcPr>
          <w:p>
            <w:r>
              <w:t>0.02</w:t>
            </w:r>
          </w:p>
        </w:tc>
        <w:tc>
          <w:tcPr>
            <w:tcW w:type="dxa" w:w="1728"/>
          </w:tcPr>
          <w:p>
            <w:r>
              <w:t>158.48</w:t>
            </w:r>
          </w:p>
        </w:tc>
        <w:tc>
          <w:tcPr>
            <w:tcW w:type="dxa" w:w="1728"/>
          </w:tcPr>
          <w:p>
            <w:r>
              <w:t>3.57</w:t>
            </w:r>
          </w:p>
        </w:tc>
      </w:tr>
      <w:tr>
        <w:tc>
          <w:tcPr>
            <w:tcW w:type="dxa" w:w="1728"/>
          </w:tcPr>
          <w:p>
            <w:r>
              <w:t>Total acceleration (m/s2)</w:t>
            </w:r>
          </w:p>
        </w:tc>
        <w:tc>
          <w:tcPr>
            <w:tcW w:type="dxa" w:w="1728"/>
          </w:tcPr>
          <w:p>
            <w:r>
              <w:t>-0.00</w:t>
            </w:r>
          </w:p>
        </w:tc>
        <w:tc>
          <w:tcPr>
            <w:tcW w:type="dxa" w:w="1728"/>
          </w:tcPr>
          <w:p>
            <w:r>
              <w:t>0.03</w:t>
            </w:r>
          </w:p>
        </w:tc>
        <w:tc>
          <w:tcPr>
            <w:tcW w:type="dxa" w:w="1728"/>
          </w:tcPr>
          <w:p>
            <w:r>
              <w:t>364.45</w:t>
            </w:r>
          </w:p>
        </w:tc>
        <w:tc>
          <w:tcPr>
            <w:tcW w:type="dxa" w:w="1728"/>
          </w:tcPr>
          <w:p>
            <w:r>
              <w:t>15.99</w:t>
            </w:r>
          </w:p>
        </w:tc>
      </w:tr>
      <w:tr>
        <w:tc>
          <w:tcPr>
            <w:tcW w:type="dxa" w:w="1728"/>
          </w:tcPr>
          <w:p>
            <w:r>
              <w:t>Mach number (-)</w:t>
            </w:r>
          </w:p>
        </w:tc>
        <w:tc>
          <w:tcPr>
            <w:tcW w:type="dxa" w:w="1728"/>
          </w:tcPr>
          <w:p>
            <w:r>
              <w:t>0.008</w:t>
            </w:r>
          </w:p>
        </w:tc>
        <w:tc>
          <w:tcPr>
            <w:tcW w:type="dxa" w:w="1728"/>
          </w:tcPr>
          <w:p>
            <w:r>
              <w:t>0.01</w:t>
            </w:r>
          </w:p>
        </w:tc>
        <w:tc>
          <w:tcPr>
            <w:tcW w:type="dxa" w:w="1728"/>
          </w:tcPr>
          <w:p>
            <w:r>
              <w:t>0.473</w:t>
            </w:r>
          </w:p>
        </w:tc>
        <w:tc>
          <w:tcPr>
            <w:tcW w:type="dxa" w:w="1728"/>
          </w:tcPr>
          <w:p>
            <w:r>
              <w:t>3.57</w:t>
            </w:r>
          </w:p>
        </w:tc>
      </w:tr>
      <w:tr>
        <w:tc>
          <w:tcPr>
            <w:tcW w:type="dxa" w:w="1728"/>
          </w:tcPr>
          <w:p>
            <w:r>
              <w:t>Dynamic pressure (kPa)</w:t>
            </w:r>
          </w:p>
        </w:tc>
        <w:tc>
          <w:tcPr>
            <w:tcW w:type="dxa" w:w="1728"/>
          </w:tcPr>
          <w:p>
            <w:r>
              <w:t>0.00</w:t>
            </w:r>
          </w:p>
        </w:tc>
        <w:tc>
          <w:tcPr>
            <w:tcW w:type="dxa" w:w="1728"/>
          </w:tcPr>
          <w:p>
            <w:r>
              <w:t>0.02</w:t>
            </w:r>
          </w:p>
        </w:tc>
        <w:tc>
          <w:tcPr>
            <w:tcW w:type="dxa" w:w="1728"/>
          </w:tcPr>
          <w:p>
            <w:r>
              <w:t>14.51</w:t>
            </w:r>
          </w:p>
        </w:tc>
        <w:tc>
          <w:tcPr>
            <w:tcW w:type="dxa" w:w="1728"/>
          </w:tcPr>
          <w:p>
            <w:r>
              <w:t>3.57</w:t>
            </w:r>
          </w:p>
        </w:tc>
      </w:tr>
      <w:tr>
        <w:tc>
          <w:tcPr>
            <w:tcW w:type="dxa" w:w="1728"/>
          </w:tcPr>
          <w:p>
            <w:r>
              <w:t>Total mass (rocket + motor) (kg)</w:t>
            </w:r>
          </w:p>
        </w:tc>
        <w:tc>
          <w:tcPr>
            <w:tcW w:type="dxa" w:w="1728"/>
          </w:tcPr>
          <w:p>
            <w:r>
              <w:t>8.383</w:t>
            </w:r>
          </w:p>
        </w:tc>
        <w:tc>
          <w:tcPr>
            <w:tcW w:type="dxa" w:w="1728"/>
          </w:tcPr>
          <w:p>
            <w:r>
              <w:t>3.57</w:t>
            </w:r>
          </w:p>
        </w:tc>
        <w:tc>
          <w:tcPr>
            <w:tcW w:type="dxa" w:w="1728"/>
          </w:tcPr>
          <w:p>
            <w:r>
              <w:t>10.400</w:t>
            </w:r>
          </w:p>
        </w:tc>
        <w:tc>
          <w:tcPr>
            <w:tcW w:type="dxa" w:w="1728"/>
          </w:tcPr>
          <w:p>
            <w:r>
              <w:t>0.00</w:t>
            </w:r>
          </w:p>
        </w:tc>
      </w:tr>
      <w:tr>
        <w:tc>
          <w:tcPr>
            <w:tcW w:type="dxa" w:w="1728"/>
          </w:tcPr>
          <w:p>
            <w:r>
              <w:t>Center of gravity (m from nose)</w:t>
            </w:r>
          </w:p>
        </w:tc>
        <w:tc>
          <w:tcPr>
            <w:tcW w:type="dxa" w:w="1728"/>
          </w:tcPr>
          <w:p>
            <w:r>
              <w:t>0.856</w:t>
            </w:r>
          </w:p>
        </w:tc>
        <w:tc>
          <w:tcPr>
            <w:tcW w:type="dxa" w:w="1728"/>
          </w:tcPr>
          <w:p>
            <w:r>
              <w:t>3.57</w:t>
            </w:r>
          </w:p>
        </w:tc>
        <w:tc>
          <w:tcPr>
            <w:tcW w:type="dxa" w:w="1728"/>
          </w:tcPr>
          <w:p>
            <w:r>
              <w:t>0.948</w:t>
            </w:r>
          </w:p>
        </w:tc>
        <w:tc>
          <w:tcPr>
            <w:tcW w:type="dxa" w:w="1728"/>
          </w:tcPr>
          <w:p>
            <w:r>
              <w:t>0.00</w:t>
            </w:r>
          </w:p>
        </w:tc>
      </w:tr>
      <w:tr>
        <w:tc>
          <w:tcPr>
            <w:tcW w:type="dxa" w:w="1728"/>
          </w:tcPr>
          <w:p>
            <w:r>
              <w:t>Center of pressure (m from nose)</w:t>
            </w:r>
          </w:p>
        </w:tc>
        <w:tc>
          <w:tcPr>
            <w:tcW w:type="dxa" w:w="1728"/>
          </w:tcPr>
          <w:p>
            <w:r>
              <w:t>1.211</w:t>
            </w:r>
          </w:p>
        </w:tc>
        <w:tc>
          <w:tcPr>
            <w:tcW w:type="dxa" w:w="1728"/>
          </w:tcPr>
          <w:p>
            <w:r>
              <w:t>0.00</w:t>
            </w:r>
          </w:p>
        </w:tc>
        <w:tc>
          <w:tcPr>
            <w:tcW w:type="dxa" w:w="1728"/>
          </w:tcPr>
          <w:p>
            <w:r>
              <w:t>1.218</w:t>
            </w:r>
          </w:p>
        </w:tc>
        <w:tc>
          <w:tcPr>
            <w:tcW w:type="dxa" w:w="1728"/>
          </w:tcPr>
          <w:p>
            <w:r>
              <w:t>3.57</w:t>
            </w:r>
          </w:p>
        </w:tc>
      </w:tr>
      <w:tr>
        <w:tc>
          <w:tcPr>
            <w:tcW w:type="dxa" w:w="1728"/>
          </w:tcPr>
          <w:p>
            <w:r>
              <w:t>Static margin (cal)</w:t>
            </w:r>
          </w:p>
        </w:tc>
        <w:tc>
          <w:tcPr>
            <w:tcW w:type="dxa" w:w="1728"/>
          </w:tcPr>
          <w:p>
            <w:r>
              <w:t>2.40</w:t>
            </w:r>
          </w:p>
        </w:tc>
        <w:tc>
          <w:tcPr>
            <w:tcW w:type="dxa" w:w="1728"/>
          </w:tcPr>
          <w:p>
            <w:r>
              <w:t>0.00</w:t>
            </w:r>
          </w:p>
        </w:tc>
        <w:tc>
          <w:tcPr>
            <w:tcW w:type="dxa" w:w="1728"/>
          </w:tcPr>
          <w:p>
            <w:r>
              <w:t>3.30</w:t>
            </w:r>
          </w:p>
        </w:tc>
        <w:tc>
          <w:tcPr>
            <w:tcW w:type="dxa" w:w="1728"/>
          </w:tcPr>
          <w:p>
            <w:r>
              <w:t>3.57</w:t>
            </w:r>
          </w:p>
        </w:tc>
      </w:tr>
      <w:tr>
        <w:tc>
          <w:tcPr>
            <w:tcW w:type="dxa" w:w="1728"/>
          </w:tcPr>
          <w:p>
            <w:r>
              <w:t>Angle of attack (deg)</w:t>
            </w:r>
          </w:p>
        </w:tc>
        <w:tc>
          <w:tcPr>
            <w:tcW w:type="dxa" w:w="1728"/>
          </w:tcPr>
          <w:p>
            <w:r>
              <w:t>-0.00</w:t>
            </w:r>
          </w:p>
        </w:tc>
        <w:tc>
          <w:tcPr>
            <w:tcW w:type="dxa" w:w="1728"/>
          </w:tcPr>
          <w:p>
            <w:r>
              <w:t>2.45</w:t>
            </w:r>
          </w:p>
        </w:tc>
        <w:tc>
          <w:tcPr>
            <w:tcW w:type="dxa" w:w="1728"/>
          </w:tcPr>
          <w:p>
            <w:r>
              <w:t>90.14</w:t>
            </w:r>
          </w:p>
        </w:tc>
        <w:tc>
          <w:tcPr>
            <w:tcW w:type="dxa" w:w="1728"/>
          </w:tcPr>
          <w:p>
            <w:r>
              <w:t>32.22</w:t>
            </w:r>
          </w:p>
        </w:tc>
      </w:tr>
      <w:tr>
        <w:tc>
          <w:tcPr>
            <w:tcW w:type="dxa" w:w="1728"/>
          </w:tcPr>
          <w:p>
            <w:r>
              <w:t>Thrust (N)</w:t>
            </w:r>
          </w:p>
        </w:tc>
        <w:tc>
          <w:tcPr>
            <w:tcW w:type="dxa" w:w="1728"/>
          </w:tcPr>
          <w:p>
            <w:r>
              <w:t>0.0</w:t>
            </w:r>
          </w:p>
        </w:tc>
        <w:tc>
          <w:tcPr>
            <w:tcW w:type="dxa" w:w="1728"/>
          </w:tcPr>
          <w:p>
            <w:r>
              <w:t>0.00</w:t>
            </w:r>
          </w:p>
        </w:tc>
        <w:tc>
          <w:tcPr>
            <w:tcW w:type="dxa" w:w="1728"/>
          </w:tcPr>
          <w:p>
            <w:r>
              <w:t>566.6</w:t>
            </w:r>
          </w:p>
        </w:tc>
        <w:tc>
          <w:tcPr>
            <w:tcW w:type="dxa" w:w="1728"/>
          </w:tcPr>
          <w:p>
            <w:r>
              <w:t>2.78</w:t>
            </w:r>
          </w:p>
        </w:tc>
      </w:tr>
    </w:tbl>
    <w:p>
      <w:pPr>
        <w:pStyle w:val="Heading1"/>
      </w:pPr>
      <w:r>
        <w:rPr>
          <w:color w:val="211A16"/>
        </w:rPr>
        <w:t>11. Discussion and conclusions</w:t>
      </w:r>
    </w:p>
    <w:p>
      <w:pPr>
        <w:pStyle w:val="Heading2"/>
      </w:pPr>
      <w:r>
        <w:rPr>
          <w:color w:val="211A16"/>
        </w:rPr>
        <w:t>11.1 Discussion</w:t>
      </w:r>
    </w:p>
    <w:p>
      <w:r>
        <w:t>The predicted apogee of 1074.4 m AGL is reached at t = 16.0 s, with a maximum velocity of 158.5 m/s (Mach 0.47) during the boost phase. The static margin stays within 2.49 to 3.30 calibers across the ascent, which is compliant against the required 1.5-4.0 cal band.</w:t>
      </w:r>
    </w:p>
    <w:p>
      <w:pPr>
        <w:pStyle w:val="Heading2"/>
      </w:pPr>
      <w:r>
        <w:rPr>
          <w:color w:val="211A16"/>
        </w:rPr>
        <w:t>11.2 Conclusions</w:t>
      </w:r>
    </w:p>
    <w:p>
      <w:r>
        <w:t>Based on the results above, the vehicle is predicted to fly to 1074.4 m AGL and recover within the dispersion footprint described in Section 8. The vehicle satisfies the RCSM's static margin requirement (FLT 4.3.5/4.3.6) throughout the ascent. The assumptions and data sources in this report should be reviewed before treating these numbers as final for a competition submission.</w:t>
      </w:r>
    </w:p>
    <w:p>
      <w:pPr>
        <w:pStyle w:val="Heading2"/>
      </w:pPr>
      <w:r>
        <w:rPr>
          <w:color w:val="211A16"/>
        </w:rPr>
        <w:t>11.3 Files delivered</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shd w:val="clear" w:fill="F2EFEA"/>
          </w:tcPr>
          <w:p>
            <w:r>
              <w:rPr>
                <w:b/>
              </w:rPr>
              <w:t>Item</w:t>
            </w:r>
          </w:p>
        </w:tc>
        <w:tc>
          <w:tcPr>
            <w:tcW w:type="dxa" w:w="4320"/>
            <w:shd w:val="clear" w:fill="F2EFEA"/>
          </w:tcPr>
          <w:p>
            <w:r>
              <w:rPr>
                <w:b/>
              </w:rPr>
              <w:t>Detail</w:t>
            </w:r>
          </w:p>
        </w:tc>
      </w:tr>
      <w:tr>
        <w:tc>
          <w:tcPr>
            <w:tcW w:type="dxa" w:w="4320"/>
          </w:tcPr>
          <w:p>
            <w:r>
              <w:t>Simulation report</w:t>
            </w:r>
          </w:p>
        </w:tc>
        <w:tc>
          <w:tcPr>
            <w:tcW w:type="dxa" w:w="4320"/>
          </w:tcPr>
          <w:p>
            <w:r>
              <w:t>report.pdf / report.docx (this document)</w:t>
            </w:r>
          </w:p>
        </w:tc>
      </w:tr>
      <w:tr>
        <w:tc>
          <w:tcPr>
            <w:tcW w:type="dxa" w:w="4320"/>
          </w:tcPr>
          <w:p>
            <w:r>
              <w:t>.ork design file</w:t>
            </w:r>
          </w:p>
        </w:tc>
        <w:tc>
          <w:tcPr>
            <w:tcW w:type="dxa" w:w="4320"/>
          </w:tcPr>
          <w:p>
            <w:r>
              <w:t>PrometeoLasc2026.ork</w:t>
            </w:r>
          </w:p>
        </w:tc>
      </w:tr>
      <w:tr>
        <w:tc>
          <w:tcPr>
            <w:tcW w:type="dxa" w:w="4320"/>
          </w:tcPr>
          <w:p>
            <w:r>
              <w:t>.eng motor file</w:t>
            </w:r>
          </w:p>
        </w:tc>
        <w:tc>
          <w:tcPr>
            <w:tcW w:type="dxa" w:w="4320"/>
          </w:tcPr>
          <w:p>
            <w:r>
              <w:t>Icarus_I_K519.eng</w:t>
            </w:r>
          </w:p>
        </w:tc>
      </w:tr>
      <w:tr>
        <w:tc>
          <w:tcPr>
            <w:tcW w:type="dxa" w:w="4320"/>
          </w:tcPr>
          <w:p>
            <w:r>
              <w:t>Drag curve source</w:t>
            </w:r>
          </w:p>
        </w:tc>
        <w:tc>
          <w:tcPr>
            <w:tcW w:type="dxa" w:w="4320"/>
          </w:tcPr>
          <w:p>
            <w:r>
              <w:t>user-supplied CSV files (power_off_drag.csv, power_on_drag.csv)</w:t>
            </w:r>
          </w:p>
        </w:tc>
      </w:tr>
      <w:tr>
        <w:tc>
          <w:tcPr>
            <w:tcW w:type="dxa" w:w="4320"/>
          </w:tcPr>
          <w:p>
            <w:r>
              <w:t>Flight data CSV</w:t>
            </w:r>
          </w:p>
        </w:tc>
        <w:tc>
          <w:tcPr>
            <w:tcW w:type="dxa" w:w="4320"/>
          </w:tcPr>
          <w:p>
            <w:r>
              <w:t>flight_data.csv</w:t>
            </w:r>
          </w:p>
        </w:tc>
      </w:tr>
      <w:tr>
        <w:tc>
          <w:tcPr>
            <w:tcW w:type="dxa" w:w="4320"/>
          </w:tcPr>
          <w:p>
            <w:r>
              <w:t>OpenRocket-format flight data CSV</w:t>
            </w:r>
          </w:p>
        </w:tc>
        <w:tc>
          <w:tcPr>
            <w:tcW w:type="dxa" w:w="4320"/>
          </w:tcPr>
          <w:p>
            <w:r>
              <w:t>flight_data_openrocket_style.csv</w:t>
            </w:r>
          </w:p>
        </w:tc>
      </w:tr>
      <w:tr>
        <w:tc>
          <w:tcPr>
            <w:tcW w:type="dxa" w:w="4320"/>
          </w:tcPr>
          <w:p>
            <w:r>
              <w:t>Monte Carlo dispersion data</w:t>
            </w:r>
          </w:p>
        </w:tc>
        <w:tc>
          <w:tcPr>
            <w:tcW w:type="dxa" w:w="4320"/>
          </w:tcPr>
          <w:p>
            <w:r>
              <w:t>30 completed trajectories</w:t>
            </w:r>
          </w:p>
        </w:tc>
      </w:tr>
      <w:tr>
        <w:tc>
          <w:tcPr>
            <w:tcW w:type="dxa" w:w="4320"/>
          </w:tcPr>
          <w:p>
            <w:r>
              <w:t>Per-case runnable .py scripts</w:t>
            </w:r>
          </w:p>
        </w:tc>
        <w:tc>
          <w:tcPr>
            <w:tcW w:type="dxa" w:w="4320"/>
          </w:tcPr>
          <w:p>
            <w:r>
              <w:t>see the LASC/competition .zip package (CRS 10.1.3/10.1.5/10.1.6)</w:t>
            </w:r>
          </w:p>
        </w:tc>
      </w:tr>
    </w:tbl>
    <w:p>
      <w:pPr>
        <w:pStyle w:val="Heading2"/>
      </w:pPr>
      <w:r>
        <w:rPr>
          <w:color w:val="211A16"/>
        </w:rPr>
        <w:t>11.4 Assumptions and data sources</w:t>
      </w:r>
    </w:p>
    <w:p>
      <w:pPr>
        <w:pStyle w:val="ListBullet"/>
      </w:pPr>
      <w:r>
        <w:t>Dry mass: 5.6622 kg (user-entered override (LoadResult UI field))</w:t>
      </w:r>
    </w:p>
    <w:p>
      <w:pPr>
        <w:pStyle w:val="ListBullet"/>
      </w:pPr>
      <w:r>
        <w:t>Dry CG: 0.6279 m from nose (user-entered override (LoadResult UI field))</w:t>
      </w:r>
    </w:p>
    <w:p>
      <w:pPr>
        <w:pStyle w:val="ListBullet"/>
      </w:pPr>
      <w:r>
        <w:t>Drag curve: user-supplied CSV files (power_off_drag.csv, power_on_drag.csv)</w:t>
      </w:r>
    </w:p>
    <w:p>
      <w:pPr>
        <w:pStyle w:val="ListBullet"/>
      </w:pPr>
      <w:r>
        <w:t>Atmosphere: standard atmosphere model with the .ork's own recorded average wind speed/direction (not a live weather download, not a full altitude profile).</w:t>
      </w:r>
    </w:p>
    <w:p>
      <w:pPr>
        <w:pStyle w:val="ListBullet"/>
      </w:pPr>
      <w:r>
        <w:t>WARNING: this flight reaches Mach 0.47, past the drag curve's own 0.47 Mach coverage - results above that speed are constant-Cd extrapolation, not measured drag.</w:t>
      </w:r>
    </w:p>
    <w:p>
      <w:pPr>
        <w:pStyle w:val="Heading1"/>
      </w:pPr>
      <w:r>
        <w:rPr>
          <w:color w:val="211A16"/>
        </w:rPr>
        <w:t>Appendix A — Input data</w:t>
      </w:r>
    </w:p>
    <w:p>
      <w:pPr>
        <w:pStyle w:val="Heading2"/>
      </w:pPr>
      <w:r>
        <w:rPr>
          <w:color w:val="211A16"/>
        </w:rPr>
        <w:t>A.1 Motor</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Designation</w:t>
            </w:r>
          </w:p>
        </w:tc>
        <w:tc>
          <w:tcPr>
            <w:tcW w:type="dxa" w:w="4320"/>
          </w:tcPr>
          <w:p>
            <w:r>
              <w:t>K519</w:t>
            </w:r>
          </w:p>
        </w:tc>
      </w:tr>
      <w:tr>
        <w:tc>
          <w:tcPr>
            <w:tcW w:type="dxa" w:w="4320"/>
          </w:tcPr>
          <w:p>
            <w:r>
              <w:t>Manufacturer</w:t>
            </w:r>
          </w:p>
        </w:tc>
        <w:tc>
          <w:tcPr>
            <w:tcW w:type="dxa" w:w="4320"/>
          </w:tcPr>
          <w:p>
            <w:r>
              <w:t>BeyondUP</w:t>
            </w:r>
          </w:p>
        </w:tc>
      </w:tr>
      <w:tr>
        <w:tc>
          <w:tcPr>
            <w:tcW w:type="dxa" w:w="4320"/>
          </w:tcPr>
          <w:p>
            <w:r>
              <w:t>Diameter</w:t>
            </w:r>
          </w:p>
        </w:tc>
        <w:tc>
          <w:tcPr>
            <w:tcW w:type="dxa" w:w="4320"/>
          </w:tcPr>
          <w:p>
            <w:r>
              <w:t>75.0 mm</w:t>
            </w:r>
          </w:p>
        </w:tc>
      </w:tr>
      <w:tr>
        <w:tc>
          <w:tcPr>
            <w:tcW w:type="dxa" w:w="4320"/>
          </w:tcPr>
          <w:p>
            <w:r>
              <w:t>Length</w:t>
            </w:r>
          </w:p>
        </w:tc>
        <w:tc>
          <w:tcPr>
            <w:tcW w:type="dxa" w:w="4320"/>
          </w:tcPr>
          <w:p>
            <w:r>
              <w:t>280.0 mm</w:t>
            </w:r>
          </w:p>
        </w:tc>
      </w:tr>
      <w:tr>
        <w:tc>
          <w:tcPr>
            <w:tcW w:type="dxa" w:w="4320"/>
          </w:tcPr>
          <w:p>
            <w:r>
              <w:t>Delays</w:t>
            </w:r>
          </w:p>
        </w:tc>
        <w:tc>
          <w:tcPr>
            <w:tcW w:type="dxa" w:w="4320"/>
          </w:tcPr>
          <w:p>
            <w:r>
              <w:t>0</w:t>
            </w:r>
          </w:p>
        </w:tc>
      </w:tr>
      <w:tr>
        <w:tc>
          <w:tcPr>
            <w:tcW w:type="dxa" w:w="4320"/>
          </w:tcPr>
          <w:p>
            <w:r>
              <w:t>Propellant mass</w:t>
            </w:r>
          </w:p>
        </w:tc>
        <w:tc>
          <w:tcPr>
            <w:tcW w:type="dxa" w:w="4320"/>
          </w:tcPr>
          <w:p>
            <w:r>
              <w:t>2.0167 kg</w:t>
            </w:r>
          </w:p>
        </w:tc>
      </w:tr>
      <w:tr>
        <w:tc>
          <w:tcPr>
            <w:tcW w:type="dxa" w:w="4320"/>
          </w:tcPr>
          <w:p>
            <w:r>
              <w:t>Total mass (loaded)</w:t>
            </w:r>
          </w:p>
        </w:tc>
        <w:tc>
          <w:tcPr>
            <w:tcW w:type="dxa" w:w="4320"/>
          </w:tcPr>
          <w:p>
            <w:r>
              <w:t>4.7378 kg</w:t>
            </w:r>
          </w:p>
        </w:tc>
      </w:tr>
    </w:tbl>
    <w:p>
      <w:pPr>
        <w:pStyle w:val="Heading2"/>
      </w:pPr>
      <w:r>
        <w:rPr>
          <w:color w:val="211A16"/>
        </w:rPr>
        <w:t>A.2 Drag curve excerpt (evenly sampled)</w:t>
      </w:r>
    </w:p>
    <w:p>
      <w:r>
        <w:rPr>
          <w:sz w:val="16"/>
        </w:rPr>
        <w:t>Power-off (coast)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0.138</w:t>
            </w:r>
          </w:p>
        </w:tc>
        <w:tc>
          <w:tcPr>
            <w:tcW w:type="dxa" w:w="4320"/>
          </w:tcPr>
          <w:p>
            <w:r>
              <w:t>0.4320</w:t>
            </w:r>
          </w:p>
        </w:tc>
      </w:tr>
      <w:tr>
        <w:tc>
          <w:tcPr>
            <w:tcW w:type="dxa" w:w="4320"/>
          </w:tcPr>
          <w:p>
            <w:r>
              <w:t>0.156</w:t>
            </w:r>
          </w:p>
        </w:tc>
        <w:tc>
          <w:tcPr>
            <w:tcW w:type="dxa" w:w="4320"/>
          </w:tcPr>
          <w:p>
            <w:r>
              <w:t>0.4330</w:t>
            </w:r>
          </w:p>
        </w:tc>
      </w:tr>
      <w:tr>
        <w:tc>
          <w:tcPr>
            <w:tcW w:type="dxa" w:w="4320"/>
          </w:tcPr>
          <w:p>
            <w:r>
              <w:t>0.175</w:t>
            </w:r>
          </w:p>
        </w:tc>
        <w:tc>
          <w:tcPr>
            <w:tcW w:type="dxa" w:w="4320"/>
          </w:tcPr>
          <w:p>
            <w:r>
              <w:t>0.4340</w:t>
            </w:r>
          </w:p>
        </w:tc>
      </w:tr>
      <w:tr>
        <w:tc>
          <w:tcPr>
            <w:tcW w:type="dxa" w:w="4320"/>
          </w:tcPr>
          <w:p>
            <w:r>
              <w:t>0.195</w:t>
            </w:r>
          </w:p>
        </w:tc>
        <w:tc>
          <w:tcPr>
            <w:tcW w:type="dxa" w:w="4320"/>
          </w:tcPr>
          <w:p>
            <w:r>
              <w:t>0.4350</w:t>
            </w:r>
          </w:p>
        </w:tc>
      </w:tr>
      <w:tr>
        <w:tc>
          <w:tcPr>
            <w:tcW w:type="dxa" w:w="4320"/>
          </w:tcPr>
          <w:p>
            <w:r>
              <w:t>0.217</w:t>
            </w:r>
          </w:p>
        </w:tc>
        <w:tc>
          <w:tcPr>
            <w:tcW w:type="dxa" w:w="4320"/>
          </w:tcPr>
          <w:p>
            <w:r>
              <w:t>0.4370</w:t>
            </w:r>
          </w:p>
        </w:tc>
      </w:tr>
      <w:tr>
        <w:tc>
          <w:tcPr>
            <w:tcW w:type="dxa" w:w="4320"/>
          </w:tcPr>
          <w:p>
            <w:r>
              <w:t>0.239</w:t>
            </w:r>
          </w:p>
        </w:tc>
        <w:tc>
          <w:tcPr>
            <w:tcW w:type="dxa" w:w="4320"/>
          </w:tcPr>
          <w:p>
            <w:r>
              <w:t>0.4380</w:t>
            </w:r>
          </w:p>
        </w:tc>
      </w:tr>
      <w:tr>
        <w:tc>
          <w:tcPr>
            <w:tcW w:type="dxa" w:w="4320"/>
          </w:tcPr>
          <w:p>
            <w:r>
              <w:t>0.264</w:t>
            </w:r>
          </w:p>
        </w:tc>
        <w:tc>
          <w:tcPr>
            <w:tcW w:type="dxa" w:w="4320"/>
          </w:tcPr>
          <w:p>
            <w:r>
              <w:t>0.4400</w:t>
            </w:r>
          </w:p>
        </w:tc>
      </w:tr>
      <w:tr>
        <w:tc>
          <w:tcPr>
            <w:tcW w:type="dxa" w:w="4320"/>
          </w:tcPr>
          <w:p>
            <w:r>
              <w:t>0.290</w:t>
            </w:r>
          </w:p>
        </w:tc>
        <w:tc>
          <w:tcPr>
            <w:tcW w:type="dxa" w:w="4320"/>
          </w:tcPr>
          <w:p>
            <w:r>
              <w:t>0.4420</w:t>
            </w:r>
          </w:p>
        </w:tc>
      </w:tr>
      <w:tr>
        <w:tc>
          <w:tcPr>
            <w:tcW w:type="dxa" w:w="4320"/>
          </w:tcPr>
          <w:p>
            <w:r>
              <w:t>0.318</w:t>
            </w:r>
          </w:p>
        </w:tc>
        <w:tc>
          <w:tcPr>
            <w:tcW w:type="dxa" w:w="4320"/>
          </w:tcPr>
          <w:p>
            <w:r>
              <w:t>0.4450</w:t>
            </w:r>
          </w:p>
        </w:tc>
      </w:tr>
      <w:tr>
        <w:tc>
          <w:tcPr>
            <w:tcW w:type="dxa" w:w="4320"/>
          </w:tcPr>
          <w:p>
            <w:r>
              <w:t>0.348</w:t>
            </w:r>
          </w:p>
        </w:tc>
        <w:tc>
          <w:tcPr>
            <w:tcW w:type="dxa" w:w="4320"/>
          </w:tcPr>
          <w:p>
            <w:r>
              <w:t>0.4490</w:t>
            </w:r>
          </w:p>
        </w:tc>
      </w:tr>
      <w:tr>
        <w:tc>
          <w:tcPr>
            <w:tcW w:type="dxa" w:w="4320"/>
          </w:tcPr>
          <w:p>
            <w:r>
              <w:t>0.380</w:t>
            </w:r>
          </w:p>
        </w:tc>
        <w:tc>
          <w:tcPr>
            <w:tcW w:type="dxa" w:w="4320"/>
          </w:tcPr>
          <w:p>
            <w:r>
              <w:t>0.4530</w:t>
            </w:r>
          </w:p>
        </w:tc>
      </w:tr>
      <w:tr>
        <w:tc>
          <w:tcPr>
            <w:tcW w:type="dxa" w:w="4320"/>
          </w:tcPr>
          <w:p>
            <w:r>
              <w:t>0.414</w:t>
            </w:r>
          </w:p>
        </w:tc>
        <w:tc>
          <w:tcPr>
            <w:tcW w:type="dxa" w:w="4320"/>
          </w:tcPr>
          <w:p>
            <w:r>
              <w:t>0.4580</w:t>
            </w:r>
          </w:p>
        </w:tc>
      </w:tr>
    </w:tbl>
    <w:p>
      <w:r>
        <w:rPr>
          <w:sz w:val="16"/>
        </w:rPr>
        <w:t>Power-on (boost)</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0.105</w:t>
            </w:r>
          </w:p>
        </w:tc>
        <w:tc>
          <w:tcPr>
            <w:tcW w:type="dxa" w:w="4320"/>
          </w:tcPr>
          <w:p>
            <w:r>
              <w:t>0.4360</w:t>
            </w:r>
          </w:p>
        </w:tc>
      </w:tr>
      <w:tr>
        <w:tc>
          <w:tcPr>
            <w:tcW w:type="dxa" w:w="4320"/>
          </w:tcPr>
          <w:p>
            <w:r>
              <w:t>0.116</w:t>
            </w:r>
          </w:p>
        </w:tc>
        <w:tc>
          <w:tcPr>
            <w:tcW w:type="dxa" w:w="4320"/>
          </w:tcPr>
          <w:p>
            <w:r>
              <w:t>0.4310</w:t>
            </w:r>
          </w:p>
        </w:tc>
      </w:tr>
      <w:tr>
        <w:tc>
          <w:tcPr>
            <w:tcW w:type="dxa" w:w="4320"/>
          </w:tcPr>
          <w:p>
            <w:r>
              <w:t>0.130</w:t>
            </w:r>
          </w:p>
        </w:tc>
        <w:tc>
          <w:tcPr>
            <w:tcW w:type="dxa" w:w="4320"/>
          </w:tcPr>
          <w:p>
            <w:r>
              <w:t>0.4340</w:t>
            </w:r>
          </w:p>
        </w:tc>
      </w:tr>
      <w:tr>
        <w:tc>
          <w:tcPr>
            <w:tcW w:type="dxa" w:w="4320"/>
          </w:tcPr>
          <w:p>
            <w:r>
              <w:t>0.173</w:t>
            </w:r>
          </w:p>
        </w:tc>
        <w:tc>
          <w:tcPr>
            <w:tcW w:type="dxa" w:w="4320"/>
          </w:tcPr>
          <w:p>
            <w:r>
              <w:t>0.4370</w:t>
            </w:r>
          </w:p>
        </w:tc>
      </w:tr>
      <w:tr>
        <w:tc>
          <w:tcPr>
            <w:tcW w:type="dxa" w:w="4320"/>
          </w:tcPr>
          <w:p>
            <w:r>
              <w:t>0.202</w:t>
            </w:r>
          </w:p>
        </w:tc>
        <w:tc>
          <w:tcPr>
            <w:tcW w:type="dxa" w:w="4320"/>
          </w:tcPr>
          <w:p>
            <w:r>
              <w:t>0.4360</w:t>
            </w:r>
          </w:p>
        </w:tc>
      </w:tr>
      <w:tr>
        <w:tc>
          <w:tcPr>
            <w:tcW w:type="dxa" w:w="4320"/>
          </w:tcPr>
          <w:p>
            <w:r>
              <w:t>0.232</w:t>
            </w:r>
          </w:p>
        </w:tc>
        <w:tc>
          <w:tcPr>
            <w:tcW w:type="dxa" w:w="4320"/>
          </w:tcPr>
          <w:p>
            <w:r>
              <w:t>0.4390</w:t>
            </w:r>
          </w:p>
        </w:tc>
      </w:tr>
      <w:tr>
        <w:tc>
          <w:tcPr>
            <w:tcW w:type="dxa" w:w="4320"/>
          </w:tcPr>
          <w:p>
            <w:r>
              <w:t>0.262</w:t>
            </w:r>
          </w:p>
        </w:tc>
        <w:tc>
          <w:tcPr>
            <w:tcW w:type="dxa" w:w="4320"/>
          </w:tcPr>
          <w:p>
            <w:r>
              <w:t>0.4420</w:t>
            </w:r>
          </w:p>
        </w:tc>
      </w:tr>
      <w:tr>
        <w:tc>
          <w:tcPr>
            <w:tcW w:type="dxa" w:w="4320"/>
          </w:tcPr>
          <w:p>
            <w:r>
              <w:t>0.293</w:t>
            </w:r>
          </w:p>
        </w:tc>
        <w:tc>
          <w:tcPr>
            <w:tcW w:type="dxa" w:w="4320"/>
          </w:tcPr>
          <w:p>
            <w:r>
              <w:t>0.4430</w:t>
            </w:r>
          </w:p>
        </w:tc>
      </w:tr>
      <w:tr>
        <w:tc>
          <w:tcPr>
            <w:tcW w:type="dxa" w:w="4320"/>
          </w:tcPr>
          <w:p>
            <w:r>
              <w:t>0.324</w:t>
            </w:r>
          </w:p>
        </w:tc>
        <w:tc>
          <w:tcPr>
            <w:tcW w:type="dxa" w:w="4320"/>
          </w:tcPr>
          <w:p>
            <w:r>
              <w:t>0.4460</w:t>
            </w:r>
          </w:p>
        </w:tc>
      </w:tr>
      <w:tr>
        <w:tc>
          <w:tcPr>
            <w:tcW w:type="dxa" w:w="4320"/>
          </w:tcPr>
          <w:p>
            <w:r>
              <w:t>0.356</w:t>
            </w:r>
          </w:p>
        </w:tc>
        <w:tc>
          <w:tcPr>
            <w:tcW w:type="dxa" w:w="4320"/>
          </w:tcPr>
          <w:p>
            <w:r>
              <w:t>0.4500</w:t>
            </w:r>
          </w:p>
        </w:tc>
      </w:tr>
      <w:tr>
        <w:tc>
          <w:tcPr>
            <w:tcW w:type="dxa" w:w="4320"/>
          </w:tcPr>
          <w:p>
            <w:r>
              <w:t>0.387</w:t>
            </w:r>
          </w:p>
        </w:tc>
        <w:tc>
          <w:tcPr>
            <w:tcW w:type="dxa" w:w="4320"/>
          </w:tcPr>
          <w:p>
            <w:r>
              <w:t>0.4540</w:t>
            </w:r>
          </w:p>
        </w:tc>
      </w:tr>
      <w:tr>
        <w:tc>
          <w:tcPr>
            <w:tcW w:type="dxa" w:w="4320"/>
          </w:tcPr>
          <w:p>
            <w:r>
              <w:t>0.419</w:t>
            </w:r>
          </w:p>
        </w:tc>
        <w:tc>
          <w:tcPr>
            <w:tcW w:type="dxa" w:w="4320"/>
          </w:tcPr>
          <w:p>
            <w:r>
              <w:t>0.4590</w:t>
            </w:r>
          </w:p>
        </w:tc>
      </w:tr>
    </w:tbl>
    <w:p>
      <w:pPr>
        <w:pStyle w:val="Heading2"/>
      </w:pPr>
      <w:r>
        <w:rPr>
          <w:color w:val="211A16"/>
        </w:rPr>
        <w:t>A.3 Parachutes</w:t>
      </w:r>
    </w:p>
    <w:p>
      <w:r>
        <w:t>Parachute: 2.80 m, Cd 0.75 - deploy: simulated at apogee (.ork says "never")</w:t>
      </w:r>
    </w:p>
    <w:p>
      <w:r>
        <w:rPr>
          <w:sz w:val="16"/>
        </w:rPr>
        <w:t>OpenRocket 'never' deploy event (no automatic deployment is configured for this component in the .ork - typical of a real SRAD altimeter system OpenRocket's own deployment options don't model). Assumed apogee-triggered deployment - verify against the actual flight computer's configured deployment altitude/delay.</w:t>
      </w:r>
    </w:p>
    <w:p>
      <w:pPr>
        <w:pStyle w:val="Heading2"/>
      </w:pPr>
      <w:r>
        <w:rPr>
          <w:color w:val="211A16"/>
        </w:rPr>
        <w:t>A.4 Atmosphere, wind and rail</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4320"/>
        <w:gridCol w:w="4320"/>
      </w:tblGrid>
      <w:tr>
        <w:tc>
          <w:tcPr>
            <w:tcW w:type="dxa" w:w="4320"/>
          </w:tcPr>
          <w:p>
            <w:r>
              <w:t>Launch site</w:t>
            </w:r>
          </w:p>
        </w:tc>
        <w:tc>
          <w:tcPr>
            <w:tcW w:type="dxa" w:w="4320"/>
          </w:tcPr>
          <w:p>
            <w:r>
              <w:t>-21.9079, -48.9616, 495 m MSL</w:t>
            </w:r>
          </w:p>
        </w:tc>
      </w:tr>
      <w:tr>
        <w:tc>
          <w:tcPr>
            <w:tcW w:type="dxa" w:w="4320"/>
          </w:tcPr>
          <w:p>
            <w:r>
              <w:t>Wind</w:t>
            </w:r>
          </w:p>
        </w:tc>
        <w:tc>
          <w:tcPr>
            <w:tcW w:type="dxa" w:w="4320"/>
          </w:tcPr>
          <w:p>
            <w:r>
              <w:t>2.7 m/s from 90 deg</w:t>
            </w:r>
          </w:p>
        </w:tc>
      </w:tr>
      <w:tr>
        <w:tc>
          <w:tcPr>
            <w:tcW w:type="dxa" w:w="4320"/>
          </w:tcPr>
          <w:p>
            <w:r>
              <w:t>Launch rail</w:t>
            </w:r>
          </w:p>
        </w:tc>
        <w:tc>
          <w:tcPr>
            <w:tcW w:type="dxa" w:w="4320"/>
          </w:tcPr>
          <w:p>
            <w:r>
              <w:t>4.0 m, 80.0 deg from vertical, heading 90 deg</w:t>
            </w:r>
          </w:p>
        </w:tc>
      </w:tr>
    </w:tbl>
    <w:p>
      <w:pPr>
        <w:pStyle w:val="Heading1"/>
      </w:pPr>
      <w:r>
        <w:rPr>
          <w:color w:val="211A16"/>
        </w:rPr>
        <w:t>Appendix B — Model validation</w:t>
      </w:r>
    </w:p>
    <w:p>
      <w:r>
        <w:t>This is the SIMULATION MODEL's own track record against 2 real flights of a different vehicle (PROMETEO) - not specific to the vehicle in this report. Included as evidence of how much to trust this application's predictions in general.</w:t>
      </w:r>
    </w:p>
    <w:p>
      <w:pPr>
        <w:pStyle w:val="ListBullet"/>
      </w:pPr>
      <w:r>
        <w:t>V1 (2026-07-04, Pachuca profile): predicted 1132.1 m vs. real flight 1019.9 m (error +11.0%, INCONCLUSIVE against +-5%). Conditions: weather recorded by OpenRocket for this flight, not live/historical data. Input data incomplete: the design file for this specific flight configuration is not yet available, so this case reuses a center-of-gravity measurement taken from a different vehicle configuration instead of one specific to this flight. This case will become a real pass/fail once that file is added; until then its error number reflects that input gap as much as the flight model itself, so it is not scored as a plain pass or fail.</w:t>
      </w:r>
    </w:p>
    <w:p>
      <w:pPr>
        <w:pStyle w:val="ListBullet"/>
      </w:pPr>
      <w:r>
        <w:t>V2 (LASC 2026, Iacanga): predicted 1098.3 m vs. real flight 1137.0 m (error -3.4%, PASS against +-5%). Conditions: the .ork's OWN recorded wind/atmosphere, NOT the actual Iacanga flight-day weather. At the Launch Readiness Review, LASC officials independently re-simulated this vehicle on-site and predicted 1138 m (RocketPy, CRS 10.2.1) - we did not reproduce their exact inputs; this is our own independent replication, not a claim of matching their number. Mass/CG source: OpenRocket computed (stored simulation 'Ballistic Brasil', t=0, minus motor, total mass overridden to 10.3700 kg).</w:t>
      </w:r>
    </w:p>
    <w:p>
      <w:pPr>
        <w:pStyle w:val="Heading1"/>
      </w:pPr>
      <w:r>
        <w:rPr>
          <w:color w:val="211A16"/>
        </w:rPr>
        <w:t>Appendix C — RCSM compliance (Nominal case)</w:t>
      </w:r>
    </w:p>
    <w:tbl>
      <w:tblPr>
        <w:tblW w:type="auto" w:w="0"/>
        <w:tblLook w:firstColumn="1" w:firstRow="1" w:lastColumn="0" w:lastRow="0" w:noHBand="0" w:noVBand="1" w:val="04A0"/>
        <w:tblBorders>
          <w:top w:val="single" w:sz="4" w:color="B8AEA3"/>
          <w:left w:val="single" w:sz="4" w:color="B8AEA3"/>
          <w:bottom w:val="single" w:sz="4" w:color="B8AEA3"/>
          <w:right w:val="single" w:sz="4" w:color="B8AEA3"/>
          <w:insideH w:val="single" w:sz="4" w:color="B8AEA3"/>
          <w:insideV w:val="single" w:sz="4" w:color="B8AEA3"/>
        </w:tblBorders>
      </w:tblPr>
      <w:tblGrid>
        <w:gridCol w:w="2160"/>
        <w:gridCol w:w="2160"/>
        <w:gridCol w:w="2160"/>
        <w:gridCol w:w="2160"/>
      </w:tblGrid>
      <w:tr>
        <w:tc>
          <w:tcPr>
            <w:tcW w:type="dxa" w:w="2160"/>
            <w:shd w:val="clear" w:fill="F2EFEA"/>
          </w:tcPr>
          <w:p>
            <w:r>
              <w:rPr>
                <w:b/>
              </w:rPr>
              <w:t>Rule</w:t>
            </w:r>
          </w:p>
        </w:tc>
        <w:tc>
          <w:tcPr>
            <w:tcW w:type="dxa" w:w="2160"/>
            <w:shd w:val="clear" w:fill="F2EFEA"/>
          </w:tcPr>
          <w:p>
            <w:r>
              <w:rPr>
                <w:b/>
              </w:rPr>
              <w:t>Check</w:t>
            </w:r>
          </w:p>
        </w:tc>
        <w:tc>
          <w:tcPr>
            <w:tcW w:type="dxa" w:w="2160"/>
            <w:shd w:val="clear" w:fill="F2EFEA"/>
          </w:tcPr>
          <w:p>
            <w:r>
              <w:rPr>
                <w:b/>
              </w:rPr>
              <w:t>Status</w:t>
            </w:r>
          </w:p>
        </w:tc>
        <w:tc>
          <w:tcPr>
            <w:tcW w:type="dxa" w:w="2160"/>
            <w:shd w:val="clear" w:fill="F2EFEA"/>
          </w:tcPr>
          <w:p>
            <w:r>
              <w:rPr>
                <w:b/>
              </w:rPr>
              <w:t>Detail</w:t>
            </w:r>
          </w:p>
        </w:tc>
      </w:tr>
      <w:tr>
        <w:tc>
          <w:tcPr>
            <w:tcW w:type="dxa" w:w="2160"/>
          </w:tcPr>
          <w:p>
            <w:r>
              <w:t>FLT 4.3.4</w:t>
            </w:r>
          </w:p>
        </w:tc>
        <w:tc>
          <w:tcPr>
            <w:tcW w:type="dxa" w:w="2160"/>
          </w:tcPr>
          <w:p>
            <w:r>
              <w:t>Rail exit velocity &gt;= 30 m/s</w:t>
            </w:r>
          </w:p>
        </w:tc>
        <w:tc>
          <w:tcPr>
            <w:tcW w:type="dxa" w:w="2160"/>
          </w:tcPr>
          <w:p>
            <w:r>
              <w:rPr>
                <w:b/>
                <w:color w:val="2C7730"/>
              </w:rPr>
              <w:t>PASS</w:t>
            </w:r>
          </w:p>
        </w:tc>
        <w:tc>
          <w:tcPr>
            <w:tcW w:type="dxa" w:w="2160"/>
          </w:tcPr>
          <w:p>
            <w:r>
              <w:t>23.4 m/s (see analysis)</w:t>
            </w:r>
          </w:p>
        </w:tc>
      </w:tr>
      <w:tr>
        <w:tc>
          <w:tcPr>
            <w:tcW w:type="dxa" w:w="2160"/>
          </w:tcPr>
          <w:p>
            <w:r>
              <w:t>FLT 4.3.5/4.3.6</w:t>
            </w:r>
          </w:p>
        </w:tc>
        <w:tc>
          <w:tcPr>
            <w:tcW w:type="dxa" w:w="2160"/>
          </w:tcPr>
          <w:p>
            <w:r>
              <w:t>Static margin 1.5-4.0 cal</w:t>
            </w:r>
          </w:p>
        </w:tc>
        <w:tc>
          <w:tcPr>
            <w:tcW w:type="dxa" w:w="2160"/>
          </w:tcPr>
          <w:p>
            <w:r>
              <w:rPr>
                <w:b/>
                <w:color w:val="2C7730"/>
              </w:rPr>
              <w:t>PASS</w:t>
            </w:r>
          </w:p>
        </w:tc>
        <w:tc>
          <w:tcPr>
            <w:tcW w:type="dxa" w:w="2160"/>
          </w:tcPr>
          <w:p>
            <w:r>
              <w:t>1.92-2.57 cal</w:t>
            </w:r>
          </w:p>
        </w:tc>
      </w:tr>
      <w:tr>
        <w:tc>
          <w:tcPr>
            <w:tcW w:type="dxa" w:w="2160"/>
          </w:tcPr>
          <w:p>
            <w:r>
              <w:t>PRS 5.1.4</w:t>
            </w:r>
          </w:p>
        </w:tc>
        <w:tc>
          <w:tcPr>
            <w:tcW w:type="dxa" w:w="2160"/>
          </w:tcPr>
          <w:p>
            <w:r>
              <w:t>Thrust-to-weight &gt;= 5:1</w:t>
            </w:r>
          </w:p>
        </w:tc>
        <w:tc>
          <w:tcPr>
            <w:tcW w:type="dxa" w:w="2160"/>
          </w:tcPr>
          <w:p>
            <w:r>
              <w:rPr>
                <w:b/>
                <w:color w:val="955900"/>
              </w:rPr>
              <w:t>Verify at LRR</w:t>
            </w:r>
          </w:p>
        </w:tc>
        <w:tc>
          <w:tcPr>
            <w:tcW w:type="dxa" w:w="2160"/>
          </w:tcPr>
          <w:p>
            <w:r>
              <w:t>4.98:1 modelled</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259"/>
        <w:sz w:val="16"/>
      </w:rPr>
      <w:t xml:space="preserve">Computational Simulation Report · </w:t>
    </w:r>
    <w:r>
      <w:rPr>
        <w:color w:val="6B6259"/>
        <w:sz w:val="16"/>
      </w:rPr>
      <w:fldChar w:fldCharType="begin"/>
      <w:instrText xml:space="preserve">PAGE</w:instrText>
      <w:fldChar w:fldCharType="end"/>
    </w:r>
    <w:r>
      <w:rPr>
        <w:color w:val="6B6259"/>
        <w:sz w:val="16"/>
      </w:rPr>
      <w:t xml:space="preserve"> of </w:t>
    </w:r>
    <w:r>
      <w:rPr>
        <w:color w:val="6B62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6259"/>
        <w:sz w:val="16"/>
      </w:rPr>
      <w:t>Beyond UP · Mission 44 · PrometeoLasc2026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15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11A1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