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Self-Healing Vector Databases</w:t>
      </w:r>
    </w:p>
    <w:p>
      <w:pPr>
        <w:spacing w:after="200"/>
      </w:pPr>
      <w:r>
        <w:rPr>
          <w:color w:val="555555"/>
          <w:sz w:val="28"/>
          <w:szCs w:val="28"/>
        </w:rPr>
        <w:t xml:space="preserve">Technical Overview</w:t>
      </w:r>
    </w:p>
    <w:p>
      <w:pPr>
        <w:spacing w:after="100"/>
      </w:pPr>
      <w:r>
        <w:rPr>
          <w:b/>
          <w:bCs/>
        </w:rPr>
        <w:t xml:space="preserve">Course: </w:t>
      </w:r>
      <w:r>
        <w:t xml:space="preserve">Database Systems, BCSE307L (Faculty: Dr. Deepika J)</w:t>
      </w:r>
    </w:p>
    <w:p>
      <w:pPr>
        <w:spacing w:after="100"/>
      </w:pPr>
      <w:r>
        <w:rPr>
          <w:b/>
          <w:bCs/>
        </w:rPr>
        <w:t xml:space="preserve">Team: </w:t>
      </w:r>
      <w:r>
        <w:t xml:space="preserve">Kush Gupta, Arnav Tiwari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Phase 1 complete (baseline built and verified); Phases 3–6 (fault injection, diagnosis, repair, benchmarking) not yet built.</w:t>
      </w:r>
    </w:p>
    <w:p>
      <w:pPr>
        <w:pStyle w:val="Heading1"/>
        <w:spacing w:after="120" w:before="280"/>
      </w:pPr>
      <w:r>
        <w:t xml:space="preserve">1. System Architecture</w:t>
      </w:r>
    </w:p>
    <w:p>
      <w:pPr>
        <w:spacing w:after="120"/>
      </w:pPr>
      <w:r>
        <w:t xml:space="preserve">Database engine: PostgreSQL 16 with the pgvector 0.8.0 extension. In the development sandbox this was built from source; on the team's local Windows machine it runs via a conda environment (“pgv”).</w:t>
      </w:r>
    </w:p>
    <w:p>
      <w:pPr>
        <w:spacing w:after="120"/>
      </w:pPr>
      <w:r>
        <w:t xml:space="preserve">Index: HNSW (Hierarchical Navigable Small World) graph index on the embedding column, using cosine distance (vector_cosine_ops, m=16, ef_construction=64).</w:t>
      </w:r>
    </w:p>
    <w:p>
      <w:pPr>
        <w:pStyle w:val="Heading1"/>
        <w:spacing w:after="120" w:before="280"/>
      </w:pPr>
      <w:r>
        <w:t xml:space="preserve">2. Database Schema</w:t>
      </w:r>
    </w:p>
    <w:p>
      <w:pPr>
        <w:spacing w:after="120"/>
      </w:pPr>
      <w:r>
        <w:t xml:space="preserve">Four tables, each with a specific monitoring role: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shd w:fill="E8E8E8" w:val="clear"/>
          </w:tcPr>
          <w:p>
            <w:r>
              <w:rPr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7500"/>
            <w:shd w:fill="E8E8E8" w:val="clear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documents</w:t>
            </w:r>
          </w:p>
        </w:tc>
        <w:tc>
          <w:tcPr>
            <w:tcW w:type="dxa" w:w="7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category, body, embedding VECTOR(64), embedding_model_version, created_at, last_reindexed_at — the primary data, tagged with which embedding model version produced each row so drift is detectable per row.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query_log</w:t>
            </w:r>
          </w:p>
        </w:tc>
        <w:tc>
          <w:tcPr>
            <w:tcW w:type="dxa" w:w="7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 query issued: text, embedding, returned IDs, distances, latency — for future distance-distribution drift analysis.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canary_set</w:t>
            </w:r>
          </w:p>
        </w:tc>
        <w:tc>
          <w:tcPr>
            <w:tcW w:type="dxa" w:w="7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Fixed regression test set: query_text, expected_doc_ids[], category.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health_snapshots</w:t>
            </w:r>
          </w:p>
        </w:tc>
        <w:tc>
          <w:tcPr>
            <w:tcW w:type="dxa" w:w="7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row per monitoring run: recall@k, avg/p95 latency, version skew %, dead tuple %.</w:t>
            </w:r>
          </w:p>
        </w:tc>
      </w:tr>
    </w:tbl>
    <w:p>
      <w:pPr>
        <w:pStyle w:val="Heading1"/>
        <w:spacing w:after="120" w:before="280"/>
      </w:pPr>
      <w:r>
        <w:t xml:space="preserve">3. The Corpus</w:t>
      </w:r>
    </w:p>
    <w:p>
      <w:pPr>
        <w:spacing w:after="120"/>
      </w:pPr>
      <w:r>
        <w:t xml:space="preserve">480 synthetic documents, 80 per category, across 6 categories: finance, food, health, sports, technology, travel. Generated by recombining category-specific subject/action/detail phrase pools, giving genuine lexical structure per category without needing an external dataset (the sandbox has no network route to external dataset/model hubs).</w:t>
      </w:r>
    </w:p>
    <w:p>
      <w:pPr>
        <w:pStyle w:val="Heading1"/>
        <w:spacing w:after="120" w:before="280"/>
      </w:pPr>
      <w:r>
        <w:t xml:space="preserve">4. Data Compression Techniques (3)</w:t>
      </w:r>
    </w:p>
    <w:p>
      <w:pPr>
        <w:spacing w:after="120"/>
      </w:pPr>
      <w:r>
        <w:t xml:space="preserve">All three reduce a high-dimensional representation to something smaller or easier to visualize, but each serves a different role in the pipeline.</w:t>
      </w:r>
    </w:p>
    <w:p>
      <w:pPr>
        <w:pStyle w:val="Heading2"/>
        <w:spacing w:after="100" w:before="200"/>
      </w:pPr>
      <w:r>
        <w:t xml:space="preserve">4.1 TF-IDF + Truncated SVD (Latent Semantic Analysis) — core embedding compression</w:t>
      </w:r>
    </w:p>
    <w:p>
      <w:pPr>
        <w:spacing w:after="120"/>
      </w:pPr>
      <w:r>
        <w:t xml:space="preserve">This is the actual embedding model. Each document is first turned into a sparse ~5000-dimensional TF-IDF vector (term frequency weighted by rarity across the corpus). Truncated SVD then compresses this to a dense 64-dimensional vector by keeping only the top 64 directions of variance. This is genuine lossy compression that preserves semantic/topical signal while discarding noise, and this is the vector actually stored in pgvector and searched against. It stands in for a neural sentence-transformer, which the sandbox cannot download; the interface is identical either way.</w:t>
      </w:r>
    </w:p>
    <w:p>
      <w:pPr>
        <w:pStyle w:val="Heading2"/>
        <w:spacing w:after="100" w:before="200"/>
      </w:pPr>
      <w:r>
        <w:t xml:space="preserve">4.2 PCA (Principal Component Analysis) — visualization only</w:t>
      </w:r>
    </w:p>
    <w:p>
      <w:pPr>
        <w:spacing w:after="120"/>
      </w:pPr>
      <w:r>
        <w:t xml:space="preserve">Further compresses the 64-dim embedding down to 2 dimensions by finding the two directions of maximum linear variance, so it can be plotted. It is a linear projection, so relative distances stay reasonably faithful — useful for sanity-checking cluster separation, but it only captures linear structure.</w:t>
      </w:r>
    </w:p>
    <w:p>
      <w:pPr>
        <w:pStyle w:val="Heading2"/>
        <w:spacing w:after="100" w:before="200"/>
      </w:pPr>
      <w:r>
        <w:t xml:space="preserve">4.3 t-SNE (t-distributed Stochastic Neighbor Embedding) — visualization only</w:t>
      </w:r>
    </w:p>
    <w:p>
      <w:pPr>
        <w:spacing w:after="120"/>
      </w:pPr>
      <w:r>
        <w:t xml:space="preserve">Also compresses 64-dim to 2-dim, but nonlinearly, optimizing to preserve local neighborhood structure at the cost of distorting global distances. This is why t-SNE clusters often look more sharply separated than PCA's — it is optimizing for visual separation, not geometric fidelity. Good for confirming categories look distinct; not reliable for reading exact distances off the plot.</w:t>
      </w:r>
    </w:p>
    <w:p>
      <w:pPr>
        <w:spacing w:after="120"/>
      </w:pPr>
      <w:r>
        <w:rPr>
          <w:i/>
          <w:iCs/>
        </w:rPr>
        <w:t xml:space="preserve">Summary: SVD is production compression (what is actually stored and searched); PCA and t-SNE are diagnostic-only, used to let a human eyeball whether the embedding space has real structure.</w:t>
      </w:r>
    </w:p>
    <w:p>
      <w:pPr>
        <w:pStyle w:val="Heading1"/>
        <w:spacing w:after="120" w:before="280"/>
      </w:pPr>
      <w:r>
        <w:t xml:space="preserve">5. Search Methods (2)</w:t>
      </w:r>
    </w:p>
    <w:p>
      <w:pPr>
        <w:pStyle w:val="Heading2"/>
        <w:spacing w:after="100" w:before="200"/>
      </w:pPr>
      <w:r>
        <w:t xml:space="preserve">5.1 Approximate Nearest Neighbor (ANN) search via pgvector's HNSW index — production path</w:t>
      </w:r>
    </w:p>
    <w:p>
      <w:pPr>
        <w:spacing w:after="120"/>
      </w:pPr>
      <w:r>
        <w:t xml:space="preserve">This is what runs for every real query: ORDER BY embedding &lt;=&gt; query_vector LIMIT k. HNSW builds a multi-layer navigable graph over the vectors; search starts at a sparse top layer and greedily descends toward the query, giving roughly logarithmic search time instead of scanning every row. It is approximate — it can occasionally miss the true nearest neighbor in exchange for speed — and it is also the structure that degrades under heavy insert/delete churn, which later phases will target with the staleness simulation.</w:t>
      </w:r>
    </w:p>
    <w:p>
      <w:pPr>
        <w:pStyle w:val="Heading2"/>
        <w:spacing w:after="100" w:before="200"/>
      </w:pPr>
      <w:r>
        <w:t xml:space="preserve">5.2 Exact k-NN (brute-force) search via scikit-learn — offline validation path</w:t>
      </w:r>
    </w:p>
    <w:p>
      <w:pPr>
        <w:spacing w:after="120"/>
      </w:pPr>
      <w:r>
        <w:t xml:space="preserve">Metrics such as 1-NN purity are computed outside the database using an exhaustive, exact distance comparison against every other point in the 64-dim space (scikit-learn's NearestNeighbors). This is slower but guaranteed correct, and serves as the ground truth used to confirm the embedding space itself has real structure, independent of any approximation error HNSW might introduce.</w:t>
      </w:r>
    </w:p>
    <w:p>
      <w:pPr>
        <w:pStyle w:val="Heading1"/>
        <w:spacing w:after="120" w:before="280"/>
      </w:pPr>
      <w:r>
        <w:t xml:space="preserve">6. Canary Methodology</w:t>
      </w:r>
    </w:p>
    <w:p>
      <w:pPr>
        <w:spacing w:after="120"/>
      </w:pPr>
      <w:r>
        <w:t xml:space="preserve">No external labeled relevance dataset exists, so ground truth is bootstrapped from the system's own healthy state: 12 hand-written probe queries (2 per category) are embedded and run as real ANN searches against the freshly loaded, known-good index. The returned top-10 IDs become the permanent “expected” answer stored in canary_set.</w:t>
      </w:r>
    </w:p>
    <w:p>
      <w:pPr>
        <w:spacing w:after="120"/>
      </w:pPr>
      <w:r>
        <w:t xml:space="preserve">Verified by category-matching: 119 of 120 expected results share their query's category (the one exception, a food query returning one health-related document, is a reasonable embedding-space overlap, not a labeling error).</w:t>
      </w:r>
    </w:p>
    <w:p>
      <w:pPr>
        <w:spacing w:after="120"/>
      </w:pPr>
      <w:r>
        <w:rPr>
          <w:i/>
          <w:iCs/>
        </w:rPr>
        <w:t xml:space="preserve">This methodology detects regressions (“did this get worse relative to a known-good snapshot”), not absolute relevance against external human judgments — an important distinction to be ready to explain.</w:t>
      </w:r>
    </w:p>
    <w:p>
      <w:pPr>
        <w:pStyle w:val="Heading1"/>
        <w:spacing w:after="120" w:before="280"/>
      </w:pPr>
      <w:r>
        <w:t xml:space="preserve">7. Evaluation Metrics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300"/>
        <w:gridCol w:w="2000"/>
      </w:tblGrid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5300"/>
            <w:shd w:fill="E8E8E8" w:val="clear"/>
          </w:tcPr>
          <w:p>
            <w:r>
              <w:rPr>
                <w:b/>
                <w:bCs/>
                <w:sz w:val="20"/>
                <w:szCs w:val="20"/>
              </w:rPr>
              <w:t xml:space="preserve">What it measures</w:t>
            </w:r>
          </w:p>
        </w:tc>
        <w:tc>
          <w:tcPr>
            <w:tcW w:type="dxa" w:w="2000"/>
            <w:shd w:fill="E8E8E8" w:val="clear"/>
          </w:tcPr>
          <w:p>
            <w:r>
              <w:rPr>
                <w:b/>
                <w:bCs/>
                <w:sz w:val="20"/>
                <w:szCs w:val="20"/>
              </w:rPr>
              <w:t xml:space="preserve">Baseline value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Recall@10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|expected ∩ actual| / |expected|, averaged across all 12 canary queries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Avg / p95 latency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Wall-clock time per query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0.59 ms / 0.53 ms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Version skew %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Fraction of rows on an outdated embedding_model_version (the drift signal)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Dead tuple ratio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From pg_stat_user_tables; a proxy for churn-driven index staleness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Silhouette score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How well-separated the category clusters are in embedding space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0.19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1-NN purity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% of points whose single nearest neighbor shares their category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</w:tbl>
    <w:p>
      <w:pPr>
        <w:pStyle w:val="Heading1"/>
        <w:spacing w:after="120" w:before="280"/>
      </w:pPr>
      <w:r>
        <w:t xml:space="preserve">8. Status: Built vs. Planned</w:t>
      </w:r>
    </w:p>
    <w:p>
      <w:pPr>
        <w:pStyle w:val="Heading2"/>
        <w:spacing w:after="100" w:before="200"/>
      </w:pPr>
      <w:r>
        <w:t xml:space="preserve">Built and verified (Phase 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Schema, corpus generation, embedding model (TF-IDF + SVD)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HNSW-indexed data loading into pgvector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Canary set construction and verification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Recall / latency / version-skew / dead-tuple monitoring (eval_recall.py)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Embedding-quality diagnostics: PCA/t-SNE visualization, silhouette score, 1-NN purity</w:t>
      </w:r>
    </w:p>
    <w:p>
      <w:pPr>
        <w:pStyle w:val="Heading2"/>
        <w:spacing w:after="100" w:before="200"/>
      </w:pPr>
      <w:r>
        <w:t xml:space="preserve">Not yet built (Phases 3–6)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Fault injector — simulating embedding drift and index staleness on demand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Diagnose-and-route decision logic — threshold rules to classify drift vs. staleness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Targeted repair actions — re-embed stale rows, or REINDEX the affected HNSW partitions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Verify-and-promote gate — re-run canary set before committing a repair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Full-rebuild comparison benchmark — quantifying targeted repair vs. rebuild-everything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2026-09-22T04:50:43.238Z</dcterms:created>
  <dcterms:modified xsi:type="dcterms:W3CDTF">2026-09-22T04:50:43.247Z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