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2E70D" w14:textId="77777777" w:rsidR="002E1946" w:rsidRDefault="00000000">
      <w:pPr>
        <w:spacing w:after="60"/>
      </w:pPr>
      <w:r>
        <w:rPr>
          <w:b/>
          <w:bCs/>
          <w:color w:val="1F3864"/>
          <w:sz w:val="34"/>
          <w:szCs w:val="34"/>
        </w:rPr>
        <w:t>Deloitte Australia Data Analytics Job Simulation</w:t>
      </w:r>
    </w:p>
    <w:p w14:paraId="1E4A9F26" w14:textId="2FC82429" w:rsidR="002757BA" w:rsidRDefault="00000000" w:rsidP="002757BA">
      <w:pPr>
        <w:pBdr>
          <w:bottom w:val="single" w:sz="6" w:space="8" w:color="BBBBBB"/>
        </w:pBdr>
        <w:spacing w:after="360"/>
      </w:pPr>
      <w:r>
        <w:t>Mohammad Mubeen Rafiq · Forage virtual experience, individual · Completed August 2026</w:t>
      </w:r>
    </w:p>
    <w:p w14:paraId="6450956B" w14:textId="3A79164B" w:rsidR="002757BA" w:rsidRDefault="002757BA" w:rsidP="002757BA">
      <w:pPr>
        <w:pBdr>
          <w:bottom w:val="single" w:sz="6" w:space="8" w:color="BBBBBB"/>
        </w:pBdr>
        <w:spacing w:after="360"/>
      </w:pPr>
      <w:r>
        <w:t xml:space="preserve">Key skills – Data Prep, Tableau Dashboarding, client-focused communication.  </w:t>
      </w:r>
    </w:p>
    <w:p w14:paraId="50671CFE" w14:textId="063EF9C7" w:rsidR="002E1946" w:rsidRDefault="00000000">
      <w:pPr>
        <w:spacing w:after="160" w:line="276" w:lineRule="auto"/>
        <w:jc w:val="both"/>
      </w:pPr>
      <w:r>
        <w:t>Daikibo Industrials is a global manufacturer of industrial machinery, operating four factories in Tokyo, Osaka, Berlin and Shenzhen. In this Forage simulation</w:t>
      </w:r>
      <w:r w:rsidR="003727AA">
        <w:t>,</w:t>
      </w:r>
      <w:r>
        <w:t xml:space="preserve"> I acted as an analyst supporting Deloitte's Technology and Forensics teams across two separate engagements for that client: a data visualisation project answering an operational question about machine breakdowns, and a forensic investigation into gender pay equality prompted by internal complaints. Both were completed independently and at my own pace, and the deliverables below are the ones I produced.</w:t>
      </w:r>
    </w:p>
    <w:p w14:paraId="1ED00FAC" w14:textId="77777777" w:rsidR="002E1946" w:rsidRDefault="00000000">
      <w:pPr>
        <w:pStyle w:val="Heading2"/>
        <w:spacing w:before="280" w:after="120"/>
      </w:pPr>
      <w:r>
        <w:rPr>
          <w:b/>
          <w:bCs/>
          <w:color w:val="1F3864"/>
        </w:rPr>
        <w:t>Framing the two engagements</w:t>
      </w:r>
    </w:p>
    <w:p w14:paraId="2844D64F" w14:textId="07C8E62B" w:rsidR="002E1946" w:rsidRDefault="00000000">
      <w:pPr>
        <w:spacing w:after="160" w:line="276" w:lineRule="auto"/>
        <w:jc w:val="both"/>
      </w:pPr>
      <w:r>
        <w:t xml:space="preserve">The two tasks were deliberately </w:t>
      </w:r>
      <w:r>
        <w:t>different, so using</w:t>
      </w:r>
      <w:r>
        <w:t xml:space="preserve"> the same </w:t>
      </w:r>
      <w:r>
        <w:t>approach for both</w:t>
      </w:r>
      <w:r>
        <w:t xml:space="preserve"> would have produced </w:t>
      </w:r>
      <w:r>
        <w:t>poor results.</w:t>
      </w:r>
      <w:r>
        <w:t xml:space="preserve"> The telemetry task was exploratory: the client knew something was failing</w:t>
      </w:r>
      <w:r w:rsidR="0028257D">
        <w:t>,</w:t>
      </w:r>
      <w:r>
        <w:t xml:space="preserve"> but not where, so the deliverable </w:t>
      </w:r>
      <w:r w:rsidR="0028257D">
        <w:t xml:space="preserve">had </w:t>
      </w:r>
      <w:r>
        <w:t xml:space="preserve">to </w:t>
      </w:r>
      <w:r>
        <w:t>help</w:t>
      </w:r>
      <w:r>
        <w:t xml:space="preserve"> a non-technical reader </w:t>
      </w:r>
      <w:r w:rsidR="0028257D">
        <w:t>find</w:t>
      </w:r>
      <w:r>
        <w:t xml:space="preserve"> the answer </w:t>
      </w:r>
      <w:r>
        <w:t>independently</w:t>
      </w:r>
      <w:r w:rsidR="0028257D">
        <w:t>.</w:t>
      </w:r>
      <w:r>
        <w:t xml:space="preserve"> The forensic task was </w:t>
      </w:r>
      <w:r>
        <w:t>different. Deloitte’s</w:t>
      </w:r>
      <w:r>
        <w:t xml:space="preserve"> Forensic Technology team</w:t>
      </w:r>
      <w:r>
        <w:t xml:space="preserve"> had already completed the analysis</w:t>
      </w:r>
      <w:r>
        <w:t xml:space="preserve">, and my </w:t>
      </w:r>
      <w:r>
        <w:t>role</w:t>
      </w:r>
      <w:r>
        <w:t xml:space="preserve"> was to turn </w:t>
      </w:r>
      <w:r>
        <w:t xml:space="preserve">raw scores into a </w:t>
      </w:r>
      <w:r>
        <w:t xml:space="preserve">consistent board-ready </w:t>
      </w:r>
      <w:r>
        <w:t>classification</w:t>
      </w:r>
      <w:r>
        <w:t>. The main</w:t>
      </w:r>
      <w:r>
        <w:t xml:space="preserve"> risk was not missing an </w:t>
      </w:r>
      <w:r>
        <w:t>insight</w:t>
      </w:r>
      <w:r w:rsidR="009C6E57">
        <w:t>, but applying the rule inconsistently across a dataset,</w:t>
      </w:r>
      <w:r>
        <w:t xml:space="preserve"> </w:t>
      </w:r>
      <w:r>
        <w:t>with potential</w:t>
      </w:r>
      <w:r>
        <w:t xml:space="preserve"> legal and reputational </w:t>
      </w:r>
      <w:r>
        <w:t>consequences</w:t>
      </w:r>
      <w:r>
        <w:t>.</w:t>
      </w:r>
    </w:p>
    <w:p w14:paraId="2C84C00C" w14:textId="71C83E23" w:rsidR="002E1946" w:rsidRDefault="00000000">
      <w:pPr>
        <w:spacing w:after="160" w:line="276" w:lineRule="auto"/>
        <w:jc w:val="both"/>
      </w:pPr>
      <w:r>
        <w:t>That distinction set the approach for each. For the first</w:t>
      </w:r>
      <w:r w:rsidR="009C6E57">
        <w:t>,</w:t>
      </w:r>
      <w:r>
        <w:t xml:space="preserve"> I invested in the data model and the interaction design; for the second</w:t>
      </w:r>
      <w:r w:rsidR="009C6E57">
        <w:t>,</w:t>
      </w:r>
      <w:r>
        <w:t xml:space="preserve"> I invested in getting one formula exactly right and applying it identically to every row.</w:t>
      </w:r>
    </w:p>
    <w:p w14:paraId="7BC860BA" w14:textId="77777777" w:rsidR="002E1946" w:rsidRDefault="00000000">
      <w:pPr>
        <w:pStyle w:val="Heading2"/>
        <w:spacing w:before="280" w:after="120"/>
      </w:pPr>
      <w:r>
        <w:rPr>
          <w:b/>
          <w:bCs/>
          <w:color w:val="1F3864"/>
        </w:rPr>
        <w:t>The data and how I modelled it</w:t>
      </w:r>
    </w:p>
    <w:p w14:paraId="2ADA23A4" w14:textId="77777777" w:rsidR="002E1946" w:rsidRDefault="00000000">
      <w:pPr>
        <w:spacing w:after="160" w:line="276" w:lineRule="auto"/>
        <w:jc w:val="both"/>
      </w:pPr>
      <w:r>
        <w:t xml:space="preserve">Daikibo </w:t>
      </w:r>
      <w:r w:rsidR="002B483B">
        <w:t>provided</w:t>
      </w:r>
      <w:r>
        <w:t xml:space="preserve"> one month of telemetry </w:t>
      </w:r>
      <w:r w:rsidR="002B483B">
        <w:t>in</w:t>
      </w:r>
      <w:r>
        <w:t xml:space="preserve"> a single JSON file</w:t>
      </w:r>
      <w:r w:rsidR="002B483B">
        <w:t>, covering</w:t>
      </w:r>
      <w:r>
        <w:t xml:space="preserve"> nine </w:t>
      </w:r>
      <w:r>
        <w:t xml:space="preserve">machine </w:t>
      </w:r>
      <w:r w:rsidR="002B483B">
        <w:t xml:space="preserve">types </w:t>
      </w:r>
      <w:r>
        <w:t xml:space="preserve">across </w:t>
      </w:r>
      <w:r>
        <w:t>four factories</w:t>
      </w:r>
      <w:r w:rsidR="002B483B">
        <w:t xml:space="preserve"> in Tokyo, Osaka, Berlin and Shenzhen, with</w:t>
      </w:r>
      <w:r>
        <w:t xml:space="preserve"> each </w:t>
      </w:r>
      <w:r w:rsidR="002B483B">
        <w:t xml:space="preserve">machine </w:t>
      </w:r>
      <w:r>
        <w:t xml:space="preserve">reporting its status every ten minutes. </w:t>
      </w:r>
      <w:r w:rsidR="002B483B">
        <w:t xml:space="preserve">Because nested </w:t>
      </w:r>
      <w:r>
        <w:t xml:space="preserve">JSON </w:t>
      </w:r>
      <w:r w:rsidR="002B483B">
        <w:t>is</w:t>
      </w:r>
      <w:r>
        <w:t xml:space="preserve"> not </w:t>
      </w:r>
      <w:r>
        <w:t xml:space="preserve">analysis-ready, </w:t>
      </w:r>
      <w:r>
        <w:t xml:space="preserve">the initial import was the </w:t>
      </w:r>
      <w:r w:rsidR="002B483B">
        <w:t>most difficult</w:t>
      </w:r>
      <w:r>
        <w:t xml:space="preserve"> part of the </w:t>
      </w:r>
      <w:r>
        <w:t>simulation</w:t>
      </w:r>
      <w:r w:rsidR="002B483B">
        <w:t>:</w:t>
      </w:r>
      <w:r>
        <w:t xml:space="preserve"> I had to </w:t>
      </w:r>
      <w:r w:rsidR="002B483B">
        <w:t xml:space="preserve">check each </w:t>
      </w:r>
      <w:r>
        <w:t xml:space="preserve">schema level in Tableau to </w:t>
      </w:r>
      <w:r w:rsidR="002B483B">
        <w:t>ensure</w:t>
      </w:r>
      <w:r>
        <w:t xml:space="preserve"> the nested fields flattened into the </w:t>
      </w:r>
      <w:r>
        <w:t xml:space="preserve">expected </w:t>
      </w:r>
      <w:r w:rsidR="002B483B">
        <w:t xml:space="preserve">columns </w:t>
      </w:r>
      <w:r>
        <w:t xml:space="preserve">rather than </w:t>
      </w:r>
      <w:r>
        <w:t>collapsing</w:t>
      </w:r>
      <w:r w:rsidR="002B483B">
        <w:t xml:space="preserve"> silently. Once</w:t>
      </w:r>
      <w:r>
        <w:t xml:space="preserve"> the model </w:t>
      </w:r>
      <w:r w:rsidR="002B483B">
        <w:t xml:space="preserve">was </w:t>
      </w:r>
      <w:r>
        <w:t xml:space="preserve">correct, the analysis </w:t>
      </w:r>
      <w:r w:rsidR="002B483B">
        <w:t>depended on</w:t>
      </w:r>
      <w:r>
        <w:t xml:space="preserve"> one derived measure: an “Unhealthy” calculated field </w:t>
      </w:r>
      <w:r w:rsidR="002B483B">
        <w:t>that converted</w:t>
      </w:r>
      <w:r>
        <w:t xml:space="preserve"> each unhealthy status message into ten minutes of estimated downtime, </w:t>
      </w:r>
      <w:r w:rsidR="002B483B">
        <w:t>because each</w:t>
      </w:r>
      <w:r>
        <w:t xml:space="preserve"> reading </w:t>
      </w:r>
      <w:r w:rsidR="002B483B">
        <w:t>represented</w:t>
      </w:r>
      <w:r>
        <w:t xml:space="preserve"> a ten-minute window of lost production.</w:t>
      </w:r>
    </w:p>
    <w:p w14:paraId="2130D212" w14:textId="77777777" w:rsidR="002E1946" w:rsidRDefault="00000000">
      <w:pPr>
        <w:spacing w:after="160" w:line="276" w:lineRule="auto"/>
        <w:jc w:val="both"/>
      </w:pPr>
      <w:r>
        <w:t>From that measure</w:t>
      </w:r>
      <w:r>
        <w:t>,</w:t>
      </w:r>
      <w:r>
        <w:t xml:space="preserve"> I built two bar charts</w:t>
      </w:r>
      <w:r>
        <w:t xml:space="preserve">: </w:t>
      </w:r>
      <w:r>
        <w:t>“</w:t>
      </w:r>
      <w:r>
        <w:t>Downtime</w:t>
      </w:r>
      <w:r>
        <w:t xml:space="preserve"> per Factory” and “</w:t>
      </w:r>
      <w:r>
        <w:t>Downtime</w:t>
      </w:r>
      <w:r>
        <w:t xml:space="preserve"> per Device Type</w:t>
      </w:r>
      <w:r w:rsidR="004C464F">
        <w:t>”. I combined</w:t>
      </w:r>
      <w:r>
        <w:t xml:space="preserve"> them </w:t>
      </w:r>
      <w:r w:rsidR="004C464F">
        <w:t>in</w:t>
      </w:r>
      <w:r>
        <w:t xml:space="preserve"> one dashboard</w:t>
      </w:r>
      <w:r w:rsidR="004C464F">
        <w:t xml:space="preserve"> and set</w:t>
      </w:r>
      <w:r>
        <w:t xml:space="preserve"> the factory chart as a filter</w:t>
      </w:r>
      <w:r w:rsidR="004C464F">
        <w:t>,</w:t>
      </w:r>
      <w:r>
        <w:t xml:space="preserve"> so </w:t>
      </w:r>
      <w:r>
        <w:t xml:space="preserve">selecting a site immediately </w:t>
      </w:r>
      <w:r w:rsidR="004C464F">
        <w:t>narrows</w:t>
      </w:r>
      <w:r>
        <w:t xml:space="preserve"> the machine chart to that </w:t>
      </w:r>
      <w:r w:rsidR="004C464F">
        <w:t>site’s</w:t>
      </w:r>
      <w:r>
        <w:t xml:space="preserve"> equipment. </w:t>
      </w:r>
      <w:r w:rsidR="004C464F">
        <w:t>This</w:t>
      </w:r>
      <w:r>
        <w:t xml:space="preserve"> turns the deliverable from a </w:t>
      </w:r>
      <w:r w:rsidR="004C464F">
        <w:t xml:space="preserve">static </w:t>
      </w:r>
      <w:r>
        <w:t xml:space="preserve">report into a tool: the client </w:t>
      </w:r>
      <w:r w:rsidR="004C464F">
        <w:t>can reach</w:t>
      </w:r>
      <w:r>
        <w:t xml:space="preserve"> the answer in two clicks </w:t>
      </w:r>
      <w:r w:rsidR="004C464F">
        <w:t>without requesting</w:t>
      </w:r>
      <w:r>
        <w:t xml:space="preserve"> follow-up analysis.</w:t>
      </w:r>
    </w:p>
    <w:p w14:paraId="003813AB" w14:textId="77777777" w:rsidR="002E1946" w:rsidRDefault="00000000">
      <w:pPr>
        <w:spacing w:after="160" w:line="276" w:lineRule="auto"/>
        <w:jc w:val="both"/>
      </w:pPr>
      <w:r>
        <w:t>The second engagement arrived as a workbook of 37 role-and-location combinations, each carrying a gender pay equality score: an integer from −100 to +100 where zero is perfect equality. I added an “Equality class” column classifying each score by its distance from zero, using a nested IF built on ABS so that a score is judged on magnitude regardless of direction — within ±10 Fair, between ±10 and ±20 Unfair, and beyond ±20 Highly Discriminative.</w:t>
      </w:r>
    </w:p>
    <w:p w14:paraId="0257434B" w14:textId="77777777" w:rsidR="002E1946" w:rsidRDefault="00000000">
      <w:pPr>
        <w:pStyle w:val="Heading2"/>
        <w:spacing w:before="280" w:after="120"/>
      </w:pPr>
      <w:r>
        <w:rPr>
          <w:b/>
          <w:bCs/>
          <w:color w:val="1F3864"/>
        </w:rPr>
        <w:t>What the data showed</w:t>
      </w:r>
    </w:p>
    <w:p w14:paraId="68BD4240" w14:textId="77777777" w:rsidR="002E1946" w:rsidRDefault="00000000">
      <w:pPr>
        <w:pStyle w:val="ListParagraph"/>
        <w:numPr>
          <w:ilvl w:val="0"/>
          <w:numId w:val="1"/>
        </w:numPr>
        <w:spacing w:after="100" w:line="276" w:lineRule="auto"/>
      </w:pPr>
      <w:r>
        <w:rPr>
          <w:b/>
          <w:bCs/>
        </w:rPr>
        <w:t xml:space="preserve">Downtime is concentrated, not spread. </w:t>
      </w:r>
      <w:r>
        <w:t xml:space="preserve">Daikibo Factory Seiko in Osaka accounts for the largest share of estimated downtime across the month, and within the fleet a single machine type — the laser welder — dominates the device breakdown. The finding is actionable precisely because it is narrow: this is a </w:t>
      </w:r>
      <w:r>
        <w:lastRenderedPageBreak/>
        <w:t>maintenance decision about one class of equipment at one site, not a company-wide reliability programme.</w:t>
      </w:r>
    </w:p>
    <w:p w14:paraId="3FA38DB2" w14:textId="77777777" w:rsidR="002E1946" w:rsidRDefault="00000000">
      <w:pPr>
        <w:pStyle w:val="ListParagraph"/>
        <w:numPr>
          <w:ilvl w:val="0"/>
          <w:numId w:val="1"/>
        </w:numPr>
        <w:spacing w:after="100" w:line="276" w:lineRule="auto"/>
      </w:pPr>
      <w:r>
        <w:rPr>
          <w:b/>
          <w:bCs/>
        </w:rPr>
        <w:t xml:space="preserve">Half the pay-equality picture falls outside Fair. </w:t>
      </w:r>
      <w:r>
        <w:t>Of the 37 role-and-location combinations, 19 classify as Fair, 11 as Unfair and 7 as Highly Discriminative — so 18 of 37, almost exactly half, sit outside the acceptable band.</w:t>
      </w:r>
    </w:p>
    <w:p w14:paraId="007FB445" w14:textId="77777777" w:rsidR="002E1946" w:rsidRDefault="00000000">
      <w:pPr>
        <w:pStyle w:val="ListParagraph"/>
        <w:numPr>
          <w:ilvl w:val="0"/>
          <w:numId w:val="1"/>
        </w:numPr>
        <w:spacing w:after="100" w:line="276" w:lineRule="auto"/>
      </w:pPr>
      <w:r>
        <w:rPr>
          <w:b/>
          <w:bCs/>
        </w:rPr>
        <w:t xml:space="preserve">The imbalance runs in one direction. </w:t>
      </w:r>
      <w:r>
        <w:t>30 of the 37 scores are negative, one is exactly zero and only six are positive, and those six are small. This is not noise scattered either side of equality; it is a consistent tilt, which is what makes it a finding rather than a data quality artefact.</w:t>
      </w:r>
    </w:p>
    <w:p w14:paraId="3E335CEF" w14:textId="77777777" w:rsidR="002E1946" w:rsidRDefault="00000000">
      <w:pPr>
        <w:pStyle w:val="ListParagraph"/>
        <w:numPr>
          <w:ilvl w:val="0"/>
          <w:numId w:val="1"/>
        </w:numPr>
        <w:spacing w:after="100" w:line="276" w:lineRule="auto"/>
      </w:pPr>
      <w:r>
        <w:rPr>
          <w:b/>
          <w:bCs/>
        </w:rPr>
        <w:t xml:space="preserve">It is almost entirely a management-grade problem. </w:t>
      </w:r>
      <w:r>
        <w:t>Splitting the roles at the management line is stark: 16 of the 17 management rows (C-Level through Junior Manager) classify as Unfair or Highly Discriminative, averaging −18.9, against just 2 of the 20 engineering, operational and machine-operator rows, averaging −4.3. Junior Engineer is the only role that averages positive. Whatever is driving the gap operates on promotion and management pay, not on the shop floor.</w:t>
      </w:r>
    </w:p>
    <w:p w14:paraId="53811A8F" w14:textId="77777777" w:rsidR="002E1946" w:rsidRDefault="00000000">
      <w:pPr>
        <w:pStyle w:val="ListParagraph"/>
        <w:numPr>
          <w:ilvl w:val="0"/>
          <w:numId w:val="1"/>
        </w:numPr>
        <w:spacing w:after="100" w:line="276" w:lineRule="auto"/>
      </w:pPr>
      <w:r>
        <w:rPr>
          <w:b/>
          <w:bCs/>
        </w:rPr>
        <w:t xml:space="preserve">One site is materially cleaner than the others. </w:t>
      </w:r>
      <w:r>
        <w:t>Berlin averages −5.5 with no Highly Discriminative rows at all, while Meiyo in Tokyo averages −14.4 with three. Berlin is the obvious place to look for what is being done differently.</w:t>
      </w:r>
    </w:p>
    <w:p w14:paraId="1AE4CE2C" w14:textId="77777777" w:rsidR="002E1946" w:rsidRDefault="00000000">
      <w:pPr>
        <w:pStyle w:val="Heading2"/>
        <w:spacing w:before="280" w:after="120"/>
      </w:pPr>
      <w:r>
        <w:rPr>
          <w:b/>
          <w:bCs/>
          <w:color w:val="1F3864"/>
        </w:rPr>
        <w:t>Measurement traps worth recording</w:t>
      </w:r>
    </w:p>
    <w:p w14:paraId="56C628E0" w14:textId="230FA381" w:rsidR="002E1946" w:rsidRDefault="00000000">
      <w:pPr>
        <w:spacing w:after="160" w:line="276" w:lineRule="auto"/>
        <w:jc w:val="both"/>
      </w:pPr>
      <w:r>
        <w:t>The brief's worked examples did not agree with its stated thresholds. Following the examples and following the specification produce different classifications for scores sitting exactly on the ±10 and ±20 boundaries, and there is no way to satisfy both. I resolved it by following the specification, on the reasoning that a stated rule is the thing a board would be shown and held to, while a worked example is an illustration that can be wrong. It is a small decision, but on a dataset feeding a discrimination investigation</w:t>
      </w:r>
      <w:r w:rsidR="004C464F">
        <w:t>,</w:t>
      </w:r>
      <w:r>
        <w:t xml:space="preserve"> the boundary cases are exactly the ones that would be challenged, so the choice needed to be deliberate and recorded rather than accidental.</w:t>
      </w:r>
    </w:p>
    <w:p w14:paraId="0B1B10BD" w14:textId="77777777" w:rsidR="002E1946" w:rsidRDefault="00000000">
      <w:pPr>
        <w:spacing w:after="160" w:line="276" w:lineRule="auto"/>
        <w:jc w:val="both"/>
      </w:pPr>
      <w:r>
        <w:t>A second issue is one of coverage rather than calculation. The brief describes scores for “most job roles at every location”, and the gap is not random: Berlin and Shenzhen carry no C-Level, VP or Director rows, and Seiko carries no C-Level row. Only Meiyo has the complete set of eleven roles. Since the senior grades are precisely where the scores are worst, the dataset may understate the problem — or those roles may simply not exist outside headquarters, which would be an entirely innocent explanation. Both readings are plausible from the data alone, and the honest move is to flag the ambiguity to the client rather than pick the more dramatic one.</w:t>
      </w:r>
    </w:p>
    <w:p w14:paraId="34F516FB" w14:textId="339021C0" w:rsidR="002E1946" w:rsidRDefault="00000000" w:rsidP="004C464F">
      <w:pPr>
        <w:pStyle w:val="Heading2"/>
        <w:spacing w:before="280" w:after="120"/>
      </w:pPr>
      <w:r>
        <w:rPr>
          <w:b/>
          <w:bCs/>
          <w:color w:val="1F3864"/>
        </w:rPr>
        <w:t>What I would take to the client</w:t>
      </w:r>
    </w:p>
    <w:p w14:paraId="397F6391" w14:textId="77777777" w:rsidR="002E1946" w:rsidRDefault="00000000">
      <w:pPr>
        <w:pStyle w:val="ListParagraph"/>
        <w:numPr>
          <w:ilvl w:val="0"/>
          <w:numId w:val="1"/>
        </w:numPr>
        <w:spacing w:after="100" w:line="276" w:lineRule="auto"/>
      </w:pPr>
      <w:r>
        <w:t>Target the pay review at management grades, where 16 of 17 rows fall outside Fair, rather than running a costly organisation-wide exercise that would mostly re-examine roles already classifying as Fair.</w:t>
      </w:r>
    </w:p>
    <w:p w14:paraId="671B76FB" w14:textId="278BDF40" w:rsidR="002E1946" w:rsidRDefault="00000000">
      <w:pPr>
        <w:pStyle w:val="ListParagraph"/>
        <w:numPr>
          <w:ilvl w:val="0"/>
          <w:numId w:val="1"/>
        </w:numPr>
        <w:spacing w:after="100" w:line="276" w:lineRule="auto"/>
      </w:pPr>
      <w:r>
        <w:t xml:space="preserve">Use Berlin as an internal benchmark. It is the only site with no Highly Discriminative </w:t>
      </w:r>
      <w:r w:rsidR="004C464F">
        <w:t>rows and</w:t>
      </w:r>
      <w:r>
        <w:t xml:space="preserve"> understanding why is cheaper than designing a remedy from scratch.</w:t>
      </w:r>
    </w:p>
    <w:p w14:paraId="23B07C10" w14:textId="77777777" w:rsidR="002E1946" w:rsidRDefault="00000000">
      <w:pPr>
        <w:pStyle w:val="ListParagraph"/>
        <w:numPr>
          <w:ilvl w:val="0"/>
          <w:numId w:val="1"/>
        </w:numPr>
        <w:spacing w:after="100" w:line="276" w:lineRule="auto"/>
      </w:pPr>
      <w:r>
        <w:t>Resolve the missing senior-role records before anything goes to the board, since the gap sits exactly where the risk is highest.</w:t>
      </w:r>
    </w:p>
    <w:p w14:paraId="44943579" w14:textId="77777777" w:rsidR="002E1946" w:rsidRDefault="00000000">
      <w:pPr>
        <w:pStyle w:val="ListParagraph"/>
        <w:numPr>
          <w:ilvl w:val="0"/>
          <w:numId w:val="1"/>
        </w:numPr>
        <w:spacing w:after="100" w:line="276" w:lineRule="auto"/>
      </w:pPr>
      <w:r>
        <w:t>On the operational side, scope the maintenance response to the laser welder at Seiko first and confirm whether the pattern is a machine fault or a site practice by comparing the same device type across the other three factories — which the dashboard already supports.</w:t>
      </w:r>
    </w:p>
    <w:p w14:paraId="04D43DA0" w14:textId="77777777" w:rsidR="002E1946" w:rsidRDefault="00000000">
      <w:pPr>
        <w:pStyle w:val="Heading2"/>
        <w:spacing w:before="280" w:after="120"/>
      </w:pPr>
      <w:r>
        <w:rPr>
          <w:b/>
          <w:bCs/>
          <w:color w:val="1F3864"/>
        </w:rPr>
        <w:t>Skills and takeaways</w:t>
      </w:r>
    </w:p>
    <w:p w14:paraId="5D4CCE5B" w14:textId="6690F653" w:rsidR="002E1946" w:rsidRDefault="00000000">
      <w:pPr>
        <w:spacing w:after="160" w:line="276" w:lineRule="auto"/>
        <w:jc w:val="both"/>
      </w:pPr>
      <w:r>
        <w:t>The simulation covered the full arc of an analytics engagement rather than a single technique: framing a client's question, modelling raw data into a measure that did not exist in the source</w:t>
      </w:r>
      <w:r w:rsidR="004C464F">
        <w:t xml:space="preserve"> data, and choosing a presentation </w:t>
      </w:r>
      <w:r w:rsidR="004C464F">
        <w:lastRenderedPageBreak/>
        <w:t>that lets a non-technical audience draw their own conclusions</w:t>
      </w:r>
      <w:r>
        <w:t>. Concretely</w:t>
      </w:r>
      <w:r w:rsidR="004C464F">
        <w:t>,</w:t>
      </w:r>
      <w:r>
        <w:t xml:space="preserve"> I worked with JSON connections, schema flattening, calculated fields, dashboard actions and cross-filtering in Tableau, and with ABS and nested IF logic applied consistently across a full dataset in Excel.</w:t>
      </w:r>
    </w:p>
    <w:p w14:paraId="0E3D3DD1" w14:textId="5C70C2C8" w:rsidR="002E1946" w:rsidRDefault="00000000" w:rsidP="004C464F">
      <w:pPr>
        <w:spacing w:after="160" w:line="276" w:lineRule="auto"/>
        <w:jc w:val="both"/>
      </w:pPr>
      <w:r>
        <w:t>The more transferable lesson came from the forensic task. Precision matters more when the output carries legal weight</w:t>
      </w:r>
      <w:r w:rsidR="004C464F">
        <w:t>;</w:t>
      </w:r>
      <w:r>
        <w:t xml:space="preserve"> the brief itself is not automatically trustworthy, and a boundary case resolved carelessly is the one that gets challenged. Reading the specification critically before automating it turned out to be the part of the work that actually needed judgement</w:t>
      </w:r>
      <w:r w:rsidR="004C464F">
        <w:t xml:space="preserve">. </w:t>
      </w:r>
    </w:p>
    <w:p w14:paraId="09C88C4C" w14:textId="79338E38" w:rsidR="002E1946" w:rsidRDefault="002E1946" w:rsidP="004C464F">
      <w:pPr>
        <w:spacing w:before="200"/>
        <w:jc w:val="center"/>
      </w:pPr>
    </w:p>
    <w:sectPr w:rsidR="002E1946">
      <w:headerReference w:type="even" r:id="rId7"/>
      <w:headerReference w:type="default" r:id="rId8"/>
      <w:footerReference w:type="even" r:id="rId9"/>
      <w:footerReference w:type="default" r:id="rId10"/>
      <w:headerReference w:type="first" r:id="rId11"/>
      <w:footerReference w:type="first" r:id="rId12"/>
      <w:pgSz w:w="11906" w:h="16838"/>
      <w:pgMar w:top="1140" w:right="1140" w:bottom="1140" w:left="11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63A75" w14:textId="77777777" w:rsidR="007A1290" w:rsidRDefault="007A1290">
      <w:r>
        <w:separator/>
      </w:r>
    </w:p>
  </w:endnote>
  <w:endnote w:type="continuationSeparator" w:id="0">
    <w:p w14:paraId="1B1AFC17" w14:textId="77777777" w:rsidR="007A1290" w:rsidRDefault="007A1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E2D44" w14:textId="77777777" w:rsidR="0071082F" w:rsidRDefault="007108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C0CA6" w14:textId="77777777" w:rsidR="002E1946" w:rsidRDefault="00000000">
    <w:pPr>
      <w:jc w:val="center"/>
    </w:pPr>
    <w:r>
      <w:rPr>
        <w:color w:val="777777"/>
        <w:sz w:val="18"/>
        <w:szCs w:val="18"/>
      </w:rPr>
      <w:fldChar w:fldCharType="begin"/>
    </w:r>
    <w:r>
      <w:rPr>
        <w:color w:val="777777"/>
        <w:sz w:val="18"/>
        <w:szCs w:val="18"/>
      </w:rPr>
      <w:instrText>PAGE</w:instrText>
    </w:r>
    <w:r>
      <w:rPr>
        <w:color w:val="777777"/>
        <w:sz w:val="18"/>
        <w:szCs w:val="18"/>
      </w:rPr>
      <w:fldChar w:fldCharType="separate"/>
    </w:r>
    <w:r w:rsidR="0071082F">
      <w:rPr>
        <w:noProof/>
        <w:color w:val="777777"/>
        <w:sz w:val="18"/>
        <w:szCs w:val="18"/>
      </w:rPr>
      <w:t>1</w:t>
    </w:r>
    <w:r>
      <w:rPr>
        <w:color w:val="777777"/>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0432E" w14:textId="77777777" w:rsidR="0071082F" w:rsidRDefault="007108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4FAB5" w14:textId="77777777" w:rsidR="007A1290" w:rsidRDefault="007A1290">
      <w:r>
        <w:separator/>
      </w:r>
    </w:p>
  </w:footnote>
  <w:footnote w:type="continuationSeparator" w:id="0">
    <w:p w14:paraId="63A16A91" w14:textId="77777777" w:rsidR="007A1290" w:rsidRDefault="007A12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07B3F" w14:textId="77777777" w:rsidR="0071082F" w:rsidRDefault="007108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CC6B9" w14:textId="77777777" w:rsidR="0071082F" w:rsidRDefault="007108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CF43F" w14:textId="77777777" w:rsidR="0071082F" w:rsidRDefault="007108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E77C2"/>
    <w:multiLevelType w:val="hybridMultilevel"/>
    <w:tmpl w:val="E4FAD6EE"/>
    <w:lvl w:ilvl="0" w:tplc="1CE4A316">
      <w:start w:val="1"/>
      <w:numFmt w:val="bullet"/>
      <w:lvlText w:val="●"/>
      <w:lvlJc w:val="left"/>
      <w:pPr>
        <w:ind w:left="720" w:hanging="360"/>
      </w:pPr>
    </w:lvl>
    <w:lvl w:ilvl="1" w:tplc="1A8E15DE">
      <w:start w:val="1"/>
      <w:numFmt w:val="bullet"/>
      <w:lvlText w:val="○"/>
      <w:lvlJc w:val="left"/>
      <w:pPr>
        <w:ind w:left="1440" w:hanging="360"/>
      </w:pPr>
    </w:lvl>
    <w:lvl w:ilvl="2" w:tplc="48D0A91E">
      <w:start w:val="1"/>
      <w:numFmt w:val="bullet"/>
      <w:lvlText w:val="■"/>
      <w:lvlJc w:val="left"/>
      <w:pPr>
        <w:ind w:left="2160" w:hanging="360"/>
      </w:pPr>
    </w:lvl>
    <w:lvl w:ilvl="3" w:tplc="52B69164">
      <w:start w:val="1"/>
      <w:numFmt w:val="bullet"/>
      <w:lvlText w:val="●"/>
      <w:lvlJc w:val="left"/>
      <w:pPr>
        <w:ind w:left="2880" w:hanging="360"/>
      </w:pPr>
    </w:lvl>
    <w:lvl w:ilvl="4" w:tplc="2FBC9E02">
      <w:start w:val="1"/>
      <w:numFmt w:val="bullet"/>
      <w:lvlText w:val="○"/>
      <w:lvlJc w:val="left"/>
      <w:pPr>
        <w:ind w:left="3600" w:hanging="360"/>
      </w:pPr>
    </w:lvl>
    <w:lvl w:ilvl="5" w:tplc="3ACADDAE">
      <w:start w:val="1"/>
      <w:numFmt w:val="bullet"/>
      <w:lvlText w:val="■"/>
      <w:lvlJc w:val="left"/>
      <w:pPr>
        <w:ind w:left="4320" w:hanging="360"/>
      </w:pPr>
    </w:lvl>
    <w:lvl w:ilvl="6" w:tplc="E0524104">
      <w:start w:val="1"/>
      <w:numFmt w:val="bullet"/>
      <w:lvlText w:val="●"/>
      <w:lvlJc w:val="left"/>
      <w:pPr>
        <w:ind w:left="5040" w:hanging="360"/>
      </w:pPr>
    </w:lvl>
    <w:lvl w:ilvl="7" w:tplc="A54CEB96">
      <w:start w:val="1"/>
      <w:numFmt w:val="bullet"/>
      <w:lvlText w:val="●"/>
      <w:lvlJc w:val="left"/>
      <w:pPr>
        <w:ind w:left="5760" w:hanging="360"/>
      </w:pPr>
    </w:lvl>
    <w:lvl w:ilvl="8" w:tplc="84EE34F2">
      <w:start w:val="1"/>
      <w:numFmt w:val="bullet"/>
      <w:lvlText w:val="●"/>
      <w:lvlJc w:val="left"/>
      <w:pPr>
        <w:ind w:left="6480" w:hanging="360"/>
      </w:pPr>
    </w:lvl>
  </w:abstractNum>
  <w:num w:numId="1" w16cid:durableId="84843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YyMzGxMLM0MjAxsjBQ0lEKTi0uzszPAykwrAUAhpFHWSwAAAA="/>
  </w:docVars>
  <w:rsids>
    <w:rsidRoot w:val="002E1946"/>
    <w:rsid w:val="002757BA"/>
    <w:rsid w:val="0028257D"/>
    <w:rsid w:val="002B483B"/>
    <w:rsid w:val="002E1946"/>
    <w:rsid w:val="003727AA"/>
    <w:rsid w:val="004C464F"/>
    <w:rsid w:val="0071082F"/>
    <w:rsid w:val="007A1290"/>
    <w:rsid w:val="009C6E57"/>
    <w:rsid w:val="00DD416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A04CC"/>
  <w15:docId w15:val="{0D2CF694-271E-4D21-AFF4-CB44C85F0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71082F"/>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71082F"/>
    <w:pPr>
      <w:keepNext/>
      <w:keepLines/>
      <w:spacing w:before="40"/>
      <w:outlineLvl w:val="7"/>
    </w:pPr>
    <w:rPr>
      <w:rFonts w:asciiTheme="majorHAnsi" w:eastAsiaTheme="majorEastAsia" w:hAnsiTheme="majorHAnsi" w:cstheme="majorBidi"/>
      <w:color w:val="272727" w:themeColor="text1" w:themeTint="D8"/>
    </w:rPr>
  </w:style>
  <w:style w:type="paragraph" w:styleId="Heading9">
    <w:name w:val="heading 9"/>
    <w:basedOn w:val="Normal"/>
    <w:next w:val="Normal"/>
    <w:link w:val="Heading9Char"/>
    <w:uiPriority w:val="9"/>
    <w:semiHidden/>
    <w:unhideWhenUsed/>
    <w:qFormat/>
    <w:rsid w:val="0071082F"/>
    <w:pPr>
      <w:keepNext/>
      <w:keepLines/>
      <w:spacing w:before="4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1082F"/>
    <w:pPr>
      <w:tabs>
        <w:tab w:val="center" w:pos="4513"/>
        <w:tab w:val="right" w:pos="9026"/>
      </w:tabs>
    </w:pPr>
  </w:style>
  <w:style w:type="character" w:customStyle="1" w:styleId="HeaderChar">
    <w:name w:val="Header Char"/>
    <w:basedOn w:val="DefaultParagraphFont"/>
    <w:link w:val="Header"/>
    <w:uiPriority w:val="99"/>
    <w:rsid w:val="0071082F"/>
  </w:style>
  <w:style w:type="paragraph" w:styleId="Footer">
    <w:name w:val="footer"/>
    <w:basedOn w:val="Normal"/>
    <w:link w:val="FooterChar"/>
    <w:uiPriority w:val="99"/>
    <w:unhideWhenUsed/>
    <w:rsid w:val="0071082F"/>
    <w:pPr>
      <w:tabs>
        <w:tab w:val="center" w:pos="4513"/>
        <w:tab w:val="right" w:pos="9026"/>
      </w:tabs>
    </w:pPr>
  </w:style>
  <w:style w:type="character" w:customStyle="1" w:styleId="FooterChar">
    <w:name w:val="Footer Char"/>
    <w:basedOn w:val="DefaultParagraphFont"/>
    <w:link w:val="Footer"/>
    <w:uiPriority w:val="99"/>
    <w:rsid w:val="0071082F"/>
  </w:style>
  <w:style w:type="character" w:styleId="BookTitle">
    <w:name w:val="Book Title"/>
    <w:basedOn w:val="DefaultParagraphFont"/>
    <w:uiPriority w:val="33"/>
    <w:qFormat/>
    <w:rsid w:val="0071082F"/>
    <w:rPr>
      <w:b/>
      <w:bCs/>
      <w:i/>
      <w:iCs/>
      <w:spacing w:val="5"/>
    </w:rPr>
  </w:style>
  <w:style w:type="paragraph" w:styleId="Caption">
    <w:name w:val="caption"/>
    <w:basedOn w:val="Normal"/>
    <w:next w:val="Normal"/>
    <w:uiPriority w:val="35"/>
    <w:semiHidden/>
    <w:unhideWhenUsed/>
    <w:qFormat/>
    <w:rsid w:val="0071082F"/>
    <w:pPr>
      <w:spacing w:after="200"/>
    </w:pPr>
    <w:rPr>
      <w:i/>
      <w:iCs/>
      <w:color w:val="0E2841" w:themeColor="text2"/>
      <w:sz w:val="18"/>
      <w:szCs w:val="18"/>
    </w:rPr>
  </w:style>
  <w:style w:type="character" w:styleId="Emphasis">
    <w:name w:val="Emphasis"/>
    <w:basedOn w:val="DefaultParagraphFont"/>
    <w:uiPriority w:val="20"/>
    <w:qFormat/>
    <w:rsid w:val="0071082F"/>
    <w:rPr>
      <w:i/>
      <w:iCs/>
    </w:rPr>
  </w:style>
  <w:style w:type="character" w:customStyle="1" w:styleId="Heading7Char">
    <w:name w:val="Heading 7 Char"/>
    <w:basedOn w:val="DefaultParagraphFont"/>
    <w:link w:val="Heading7"/>
    <w:uiPriority w:val="9"/>
    <w:semiHidden/>
    <w:rsid w:val="0071082F"/>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71082F"/>
    <w:rPr>
      <w:rFonts w:asciiTheme="majorHAnsi" w:eastAsiaTheme="majorEastAsia" w:hAnsiTheme="majorHAnsi" w:cstheme="majorBidi"/>
      <w:color w:val="272727" w:themeColor="text1" w:themeTint="D8"/>
    </w:rPr>
  </w:style>
  <w:style w:type="character" w:customStyle="1" w:styleId="Heading9Char">
    <w:name w:val="Heading 9 Char"/>
    <w:basedOn w:val="DefaultParagraphFont"/>
    <w:link w:val="Heading9"/>
    <w:uiPriority w:val="9"/>
    <w:semiHidden/>
    <w:rsid w:val="0071082F"/>
    <w:rPr>
      <w:rFonts w:asciiTheme="majorHAnsi" w:eastAsiaTheme="majorEastAsia" w:hAnsiTheme="majorHAnsi" w:cstheme="majorBidi"/>
      <w:i/>
      <w:iCs/>
      <w:color w:val="272727" w:themeColor="text1" w:themeTint="D8"/>
    </w:rPr>
  </w:style>
  <w:style w:type="character" w:styleId="IntenseEmphasis">
    <w:name w:val="Intense Emphasis"/>
    <w:basedOn w:val="DefaultParagraphFont"/>
    <w:uiPriority w:val="21"/>
    <w:qFormat/>
    <w:rsid w:val="0071082F"/>
    <w:rPr>
      <w:i/>
      <w:iCs/>
      <w:color w:val="156082" w:themeColor="accent1"/>
    </w:rPr>
  </w:style>
  <w:style w:type="paragraph" w:styleId="IntenseQuote">
    <w:name w:val="Intense Quote"/>
    <w:basedOn w:val="Normal"/>
    <w:next w:val="Normal"/>
    <w:link w:val="IntenseQuoteChar"/>
    <w:uiPriority w:val="30"/>
    <w:qFormat/>
    <w:rsid w:val="0071082F"/>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71082F"/>
    <w:rPr>
      <w:i/>
      <w:iCs/>
      <w:color w:val="156082" w:themeColor="accent1"/>
    </w:rPr>
  </w:style>
  <w:style w:type="character" w:styleId="IntenseReference">
    <w:name w:val="Intense Reference"/>
    <w:basedOn w:val="DefaultParagraphFont"/>
    <w:uiPriority w:val="32"/>
    <w:qFormat/>
    <w:rsid w:val="0071082F"/>
    <w:rPr>
      <w:b/>
      <w:bCs/>
      <w:smallCaps/>
      <w:color w:val="156082" w:themeColor="accent1"/>
      <w:spacing w:val="5"/>
    </w:rPr>
  </w:style>
  <w:style w:type="paragraph" w:styleId="NoSpacing">
    <w:name w:val="No Spacing"/>
    <w:uiPriority w:val="1"/>
    <w:qFormat/>
    <w:rsid w:val="0071082F"/>
  </w:style>
  <w:style w:type="paragraph" w:styleId="Quote">
    <w:name w:val="Quote"/>
    <w:basedOn w:val="Normal"/>
    <w:next w:val="Normal"/>
    <w:link w:val="QuoteChar"/>
    <w:uiPriority w:val="29"/>
    <w:qFormat/>
    <w:rsid w:val="0071082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1082F"/>
    <w:rPr>
      <w:i/>
      <w:iCs/>
      <w:color w:val="404040" w:themeColor="text1" w:themeTint="BF"/>
    </w:rPr>
  </w:style>
  <w:style w:type="character" w:styleId="Strong">
    <w:name w:val="Strong"/>
    <w:basedOn w:val="DefaultParagraphFont"/>
    <w:uiPriority w:val="22"/>
    <w:qFormat/>
    <w:rsid w:val="0071082F"/>
    <w:rPr>
      <w:b/>
      <w:bCs/>
    </w:rPr>
  </w:style>
  <w:style w:type="paragraph" w:styleId="Subtitle">
    <w:name w:val="Subtitle"/>
    <w:basedOn w:val="Normal"/>
    <w:next w:val="Normal"/>
    <w:link w:val="SubtitleChar"/>
    <w:uiPriority w:val="11"/>
    <w:qFormat/>
    <w:rsid w:val="0071082F"/>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1082F"/>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71082F"/>
    <w:rPr>
      <w:i/>
      <w:iCs/>
      <w:color w:val="404040" w:themeColor="text1" w:themeTint="BF"/>
    </w:rPr>
  </w:style>
  <w:style w:type="character" w:styleId="SubtleReference">
    <w:name w:val="Subtle Reference"/>
    <w:basedOn w:val="DefaultParagraphFont"/>
    <w:uiPriority w:val="31"/>
    <w:qFormat/>
    <w:rsid w:val="0071082F"/>
    <w:rPr>
      <w:smallCaps/>
      <w:color w:val="5A5A5A" w:themeColor="text1" w:themeTint="A5"/>
    </w:rPr>
  </w:style>
  <w:style w:type="paragraph" w:styleId="TOCHeading">
    <w:name w:val="TOC Heading"/>
    <w:basedOn w:val="Heading1"/>
    <w:next w:val="Normal"/>
    <w:uiPriority w:val="39"/>
    <w:semiHidden/>
    <w:unhideWhenUsed/>
    <w:qFormat/>
    <w:rsid w:val="0071082F"/>
    <w:pPr>
      <w:keepNext/>
      <w:keepLines/>
      <w:spacing w:before="240"/>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1277</Words>
  <Characters>6682</Characters>
  <Application>Microsoft Office Word</Application>
  <DocSecurity>0</DocSecurity>
  <Lines>87</Lines>
  <Paragraphs>32</Paragraphs>
  <ScaleCrop>false</ScaleCrop>
  <Company/>
  <LinksUpToDate>false</LinksUpToDate>
  <CharactersWithSpaces>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Deloitte Australia Data Analytics Job Simulation</dc:title>
  <dc:creator>Mohammad Mubeen Rafiq</dc:creator>
  <dc:description>Forage virtual experience write-up</dc:description>
  <cp:lastModifiedBy>Mubeen Rafiq</cp:lastModifiedBy>
  <cp:revision>5</cp:revision>
  <dcterms:created xsi:type="dcterms:W3CDTF">2026-09-07T14:20:00Z</dcterms:created>
  <dcterms:modified xsi:type="dcterms:W3CDTF">2026-09-07T14:29:00Z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c670ba4c-ef23-4d6b-9750-f9ecde6cde89</vt:lpwstr>
  </property>
</Properties>
</file>