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719" w:rsidRDefault="002D0167" w:rsidP="002D0167">
      <w:pPr>
        <w:pStyle w:val="Ttulo1"/>
        <w:jc w:val="both"/>
        <w:rPr>
          <w:b/>
          <w:bCs/>
          <w:color w:val="auto"/>
          <w:sz w:val="24"/>
          <w:szCs w:val="24"/>
        </w:rPr>
      </w:pPr>
      <w:r w:rsidRPr="002D0167">
        <w:rPr>
          <w:b/>
          <w:bCs/>
          <w:color w:val="auto"/>
          <w:sz w:val="24"/>
          <w:szCs w:val="24"/>
        </w:rPr>
        <w:t>Literature Review: A Typology of Entrepreneurship Support Programs in Ecuador</w:t>
      </w:r>
    </w:p>
    <w:p w:rsidR="002D0167" w:rsidRPr="002D0167" w:rsidRDefault="002D0167" w:rsidP="002D0167">
      <w:pPr>
        <w:pStyle w:val="Ttulo1"/>
        <w:jc w:val="both"/>
        <w:rPr>
          <w:b/>
          <w:bCs/>
          <w:color w:val="auto"/>
          <w:sz w:val="24"/>
          <w:szCs w:val="24"/>
        </w:rPr>
      </w:pPr>
    </w:p>
    <w:p w:rsidR="008C2719" w:rsidRDefault="002D0167" w:rsidP="002D0167">
      <w:pPr>
        <w:pStyle w:val="Ttulo2"/>
        <w:jc w:val="both"/>
        <w:rPr>
          <w:b/>
          <w:bCs/>
          <w:color w:val="auto"/>
          <w:sz w:val="24"/>
          <w:szCs w:val="24"/>
        </w:rPr>
      </w:pPr>
      <w:r w:rsidRPr="002D0167">
        <w:rPr>
          <w:b/>
          <w:bCs/>
          <w:color w:val="auto"/>
          <w:sz w:val="24"/>
          <w:szCs w:val="24"/>
        </w:rPr>
        <w:t>General context</w:t>
      </w:r>
    </w:p>
    <w:p w:rsidR="002D0167" w:rsidRPr="002D0167" w:rsidRDefault="002D0167" w:rsidP="002D0167">
      <w:pPr>
        <w:pStyle w:val="Ttulo2"/>
        <w:jc w:val="both"/>
        <w:rPr>
          <w:b/>
          <w:bCs/>
          <w:color w:val="auto"/>
          <w:sz w:val="24"/>
          <w:szCs w:val="24"/>
        </w:rPr>
      </w:pPr>
    </w:p>
    <w:p w:rsidR="008C2719" w:rsidRDefault="002D0167" w:rsidP="002D0167">
      <w:p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Entrepreneurship has become a central driver of regional economic development, and entrepreneurship support programs — incubators, accelerators, and innovation centers — form the institutional infrastructure that sustains this process. In Ecuador, this eco</w:t>
      </w:r>
      <w:r w:rsidRPr="002D0167">
        <w:rPr>
          <w:sz w:val="24"/>
          <w:szCs w:val="24"/>
        </w:rPr>
        <w:t xml:space="preserve">system has grown rapidly since the creation of the </w:t>
      </w:r>
      <w:proofErr w:type="spellStart"/>
      <w:r w:rsidRPr="002D0167">
        <w:rPr>
          <w:sz w:val="24"/>
          <w:szCs w:val="24"/>
        </w:rPr>
        <w:t>Emprender</w:t>
      </w:r>
      <w:proofErr w:type="spellEnd"/>
      <w:r w:rsidRPr="002D0167">
        <w:rPr>
          <w:sz w:val="24"/>
          <w:szCs w:val="24"/>
        </w:rPr>
        <w:t xml:space="preserve"> incubator (2003) and </w:t>
      </w:r>
      <w:proofErr w:type="spellStart"/>
      <w:r w:rsidRPr="002D0167">
        <w:rPr>
          <w:sz w:val="24"/>
          <w:szCs w:val="24"/>
        </w:rPr>
        <w:t>Incoval</w:t>
      </w:r>
      <w:proofErr w:type="spellEnd"/>
      <w:r w:rsidRPr="002D0167">
        <w:rPr>
          <w:sz w:val="24"/>
          <w:szCs w:val="24"/>
        </w:rPr>
        <w:t xml:space="preserve"> (2004), both promoted by the Andean Development Corporation's Competitiveness Support Program. Today it comprises a network of at least 28 entrepreneurship centers id</w:t>
      </w:r>
      <w:r w:rsidRPr="002D0167">
        <w:rPr>
          <w:sz w:val="24"/>
          <w:szCs w:val="24"/>
        </w:rPr>
        <w:t>entified nationwide, based in universities, local governments, and the private sector.</w:t>
      </w:r>
    </w:p>
    <w:p w:rsidR="002D0167" w:rsidRPr="002D0167" w:rsidRDefault="002D0167" w:rsidP="002D0167">
      <w:pPr>
        <w:jc w:val="both"/>
        <w:rPr>
          <w:sz w:val="24"/>
          <w:szCs w:val="24"/>
        </w:rPr>
      </w:pPr>
    </w:p>
    <w:p w:rsidR="008C2719" w:rsidRPr="002D0167" w:rsidRDefault="002D0167" w:rsidP="002D0167">
      <w:pPr>
        <w:pStyle w:val="Ttulo2"/>
        <w:jc w:val="both"/>
        <w:rPr>
          <w:b/>
          <w:bCs/>
          <w:color w:val="auto"/>
          <w:sz w:val="24"/>
          <w:szCs w:val="24"/>
        </w:rPr>
      </w:pPr>
      <w:r w:rsidRPr="002D0167">
        <w:rPr>
          <w:b/>
          <w:bCs/>
          <w:color w:val="auto"/>
          <w:sz w:val="24"/>
          <w:szCs w:val="24"/>
        </w:rPr>
        <w:t>State of the art</w:t>
      </w:r>
    </w:p>
    <w:p w:rsidR="002D0167" w:rsidRDefault="002D0167" w:rsidP="002D0167">
      <w:pPr>
        <w:jc w:val="both"/>
        <w:rPr>
          <w:sz w:val="24"/>
          <w:szCs w:val="24"/>
        </w:rPr>
      </w:pPr>
    </w:p>
    <w:p w:rsidR="008C2719" w:rsidRPr="002D0167" w:rsidRDefault="002D0167" w:rsidP="002D0167">
      <w:pPr>
        <w:jc w:val="both"/>
        <w:rPr>
          <w:sz w:val="24"/>
          <w:szCs w:val="24"/>
        </w:rPr>
      </w:pPr>
      <w:r w:rsidRPr="002D0167">
        <w:rPr>
          <w:sz w:val="24"/>
          <w:szCs w:val="24"/>
        </w:rPr>
        <w:t xml:space="preserve">The international literature agrees that these programs do not form a homogeneous category. </w:t>
      </w:r>
      <w:proofErr w:type="spellStart"/>
      <w:r w:rsidRPr="002D0167">
        <w:rPr>
          <w:sz w:val="24"/>
          <w:szCs w:val="24"/>
        </w:rPr>
        <w:t>Mian</w:t>
      </w:r>
      <w:proofErr w:type="spellEnd"/>
      <w:r w:rsidRPr="002D0167">
        <w:rPr>
          <w:sz w:val="24"/>
          <w:szCs w:val="24"/>
        </w:rPr>
        <w:t xml:space="preserve">, </w:t>
      </w:r>
      <w:proofErr w:type="spellStart"/>
      <w:r w:rsidRPr="002D0167">
        <w:rPr>
          <w:sz w:val="24"/>
          <w:szCs w:val="24"/>
        </w:rPr>
        <w:t>Lamine</w:t>
      </w:r>
      <w:proofErr w:type="spellEnd"/>
      <w:r w:rsidRPr="002D0167">
        <w:rPr>
          <w:sz w:val="24"/>
          <w:szCs w:val="24"/>
        </w:rPr>
        <w:t xml:space="preserve">, and </w:t>
      </w:r>
      <w:proofErr w:type="spellStart"/>
      <w:r w:rsidRPr="002D0167">
        <w:rPr>
          <w:sz w:val="24"/>
          <w:szCs w:val="24"/>
        </w:rPr>
        <w:t>Fayolle</w:t>
      </w:r>
      <w:proofErr w:type="spellEnd"/>
      <w:r w:rsidRPr="002D0167">
        <w:rPr>
          <w:sz w:val="24"/>
          <w:szCs w:val="24"/>
        </w:rPr>
        <w:t xml:space="preserve"> (2016) provide an overview of tech</w:t>
      </w:r>
      <w:r w:rsidRPr="002D0167">
        <w:rPr>
          <w:sz w:val="24"/>
          <w:szCs w:val="24"/>
        </w:rPr>
        <w:t xml:space="preserve">nology business incubation and point to the heterogeneity of its mechanisms. </w:t>
      </w:r>
      <w:proofErr w:type="spellStart"/>
      <w:r w:rsidRPr="002D0167">
        <w:rPr>
          <w:sz w:val="24"/>
          <w:szCs w:val="24"/>
        </w:rPr>
        <w:t>Hausberg</w:t>
      </w:r>
      <w:proofErr w:type="spellEnd"/>
      <w:r w:rsidRPr="002D0167">
        <w:rPr>
          <w:sz w:val="24"/>
          <w:szCs w:val="24"/>
        </w:rPr>
        <w:t xml:space="preserve"> and </w:t>
      </w:r>
      <w:proofErr w:type="spellStart"/>
      <w:r w:rsidRPr="002D0167">
        <w:rPr>
          <w:sz w:val="24"/>
          <w:szCs w:val="24"/>
        </w:rPr>
        <w:t>Korreck</w:t>
      </w:r>
      <w:proofErr w:type="spellEnd"/>
      <w:r w:rsidRPr="002D0167">
        <w:rPr>
          <w:sz w:val="24"/>
          <w:szCs w:val="24"/>
        </w:rPr>
        <w:t xml:space="preserve"> (2018), in their co-citation-based systematic review, identify three research streams — origins and typologies, the incubation process, and impact and perform</w:t>
      </w:r>
      <w:r w:rsidRPr="002D0167">
        <w:rPr>
          <w:sz w:val="24"/>
          <w:szCs w:val="24"/>
        </w:rPr>
        <w:t xml:space="preserve">ance — and show that accelerators have emerged as a distinct phenomenon within the field. </w:t>
      </w:r>
      <w:proofErr w:type="spellStart"/>
      <w:r w:rsidRPr="002D0167">
        <w:rPr>
          <w:sz w:val="24"/>
          <w:szCs w:val="24"/>
        </w:rPr>
        <w:t>Pauwels</w:t>
      </w:r>
      <w:proofErr w:type="spellEnd"/>
      <w:r w:rsidRPr="002D0167">
        <w:rPr>
          <w:sz w:val="24"/>
          <w:szCs w:val="24"/>
        </w:rPr>
        <w:t xml:space="preserve">, </w:t>
      </w:r>
      <w:proofErr w:type="spellStart"/>
      <w:r w:rsidRPr="002D0167">
        <w:rPr>
          <w:sz w:val="24"/>
          <w:szCs w:val="24"/>
        </w:rPr>
        <w:t>Clarysse</w:t>
      </w:r>
      <w:proofErr w:type="spellEnd"/>
      <w:r w:rsidRPr="002D0167">
        <w:rPr>
          <w:sz w:val="24"/>
          <w:szCs w:val="24"/>
        </w:rPr>
        <w:t>, Wright, and Van Hove (2016) refine this distinction by identifying three accelerator types based on their underlying design logic: ecosystem builde</w:t>
      </w:r>
      <w:r w:rsidRPr="002D0167">
        <w:rPr>
          <w:sz w:val="24"/>
          <w:szCs w:val="24"/>
        </w:rPr>
        <w:t xml:space="preserve">rs, deal-flow makers, and welfare stimulators. </w:t>
      </w:r>
      <w:proofErr w:type="spellStart"/>
      <w:r w:rsidRPr="002D0167">
        <w:rPr>
          <w:sz w:val="24"/>
          <w:szCs w:val="24"/>
        </w:rPr>
        <w:t>Bergek</w:t>
      </w:r>
      <w:proofErr w:type="spellEnd"/>
      <w:r w:rsidRPr="002D0167">
        <w:rPr>
          <w:sz w:val="24"/>
          <w:szCs w:val="24"/>
        </w:rPr>
        <w:t xml:space="preserve"> and </w:t>
      </w:r>
      <w:proofErr w:type="spellStart"/>
      <w:r w:rsidRPr="002D0167">
        <w:rPr>
          <w:sz w:val="24"/>
          <w:szCs w:val="24"/>
        </w:rPr>
        <w:t>Norrman</w:t>
      </w:r>
      <w:proofErr w:type="spellEnd"/>
      <w:r w:rsidRPr="002D0167">
        <w:rPr>
          <w:sz w:val="24"/>
          <w:szCs w:val="24"/>
        </w:rPr>
        <w:t xml:space="preserve"> (2008), in turn, propose a three-component framework — selection, business support, and mediation — for assessing incubation model performance, while Cohen and Hochberg (2014) formalize the </w:t>
      </w:r>
      <w:r w:rsidRPr="002D0167">
        <w:rPr>
          <w:sz w:val="24"/>
          <w:szCs w:val="24"/>
        </w:rPr>
        <w:t>definition of an accelerator as a fixed-term, cohort-based program combining mentorship with a public closing event. In the Ecuadorian context, available studies have been largely descriptive and qualitative, cataloguing the number of existing institutions</w:t>
      </w:r>
      <w:r w:rsidRPr="002D0167">
        <w:rPr>
          <w:sz w:val="24"/>
          <w:szCs w:val="24"/>
        </w:rPr>
        <w:t xml:space="preserve"> and their general activities without developing a systematic classification of program types.</w:t>
      </w:r>
    </w:p>
    <w:p w:rsidR="002D0167" w:rsidRDefault="002D0167" w:rsidP="002D0167">
      <w:pPr>
        <w:pStyle w:val="Ttulo2"/>
        <w:jc w:val="both"/>
        <w:rPr>
          <w:color w:val="auto"/>
          <w:sz w:val="24"/>
          <w:szCs w:val="24"/>
        </w:rPr>
      </w:pPr>
    </w:p>
    <w:p w:rsidR="008C2719" w:rsidRPr="002D0167" w:rsidRDefault="002D0167" w:rsidP="002D0167">
      <w:pPr>
        <w:pStyle w:val="Ttulo2"/>
        <w:jc w:val="both"/>
        <w:rPr>
          <w:b/>
          <w:bCs/>
          <w:color w:val="auto"/>
          <w:sz w:val="24"/>
          <w:szCs w:val="24"/>
        </w:rPr>
      </w:pPr>
      <w:r w:rsidRPr="002D0167">
        <w:rPr>
          <w:b/>
          <w:bCs/>
          <w:color w:val="auto"/>
          <w:sz w:val="24"/>
          <w:szCs w:val="24"/>
        </w:rPr>
        <w:t>Identified research gap</w:t>
      </w:r>
    </w:p>
    <w:p w:rsidR="002D0167" w:rsidRDefault="002D0167" w:rsidP="002D0167">
      <w:pPr>
        <w:jc w:val="both"/>
        <w:rPr>
          <w:sz w:val="24"/>
          <w:szCs w:val="24"/>
        </w:rPr>
      </w:pPr>
    </w:p>
    <w:p w:rsidR="008C2719" w:rsidRDefault="002D0167" w:rsidP="002D0167">
      <w:p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Despite the conceptual richness of the typologies developed in Europe and North America, no study has yet applied a formal statistical cl</w:t>
      </w:r>
      <w:r w:rsidRPr="002D0167">
        <w:rPr>
          <w:sz w:val="24"/>
          <w:szCs w:val="24"/>
        </w:rPr>
        <w:t>assification method — such as cluster analysis — to build an empirical typology of entrepreneurship support programs in Ecuador. Existing national studies describe institutions individually or in aggregate, but none combine heterogeneous organizational var</w:t>
      </w:r>
      <w:r w:rsidRPr="002D0167">
        <w:rPr>
          <w:sz w:val="24"/>
          <w:szCs w:val="24"/>
        </w:rPr>
        <w:t>iables (funding source, services offered, sector focus, governance model) within a quantitative framework that would allow the institutions identified to be grouped into comparable categories. This leaves an open question that matters directly for policy d</w:t>
      </w:r>
      <w:r w:rsidRPr="002D0167">
        <w:rPr>
          <w:sz w:val="24"/>
          <w:szCs w:val="24"/>
        </w:rPr>
        <w:t>esign: are there genuinely distinct "types" of programs in Ecuador, or does the ecosystem operate under a single model adapted with local nuances?</w:t>
      </w:r>
    </w:p>
    <w:p w:rsidR="002D0167" w:rsidRPr="002D0167" w:rsidRDefault="002D0167" w:rsidP="002D0167">
      <w:pPr>
        <w:jc w:val="both"/>
        <w:rPr>
          <w:sz w:val="24"/>
          <w:szCs w:val="24"/>
        </w:rPr>
      </w:pPr>
    </w:p>
    <w:p w:rsidR="008C2719" w:rsidRPr="002D0167" w:rsidRDefault="002D0167" w:rsidP="002D0167">
      <w:pPr>
        <w:pStyle w:val="Ttulo2"/>
        <w:jc w:val="both"/>
        <w:rPr>
          <w:b/>
          <w:bCs/>
          <w:color w:val="auto"/>
          <w:sz w:val="24"/>
          <w:szCs w:val="24"/>
        </w:rPr>
      </w:pPr>
      <w:r w:rsidRPr="002D0167">
        <w:rPr>
          <w:b/>
          <w:bCs/>
          <w:color w:val="auto"/>
          <w:sz w:val="24"/>
          <w:szCs w:val="24"/>
        </w:rPr>
        <w:t xml:space="preserve">How this research fills the </w:t>
      </w:r>
      <w:proofErr w:type="gramStart"/>
      <w:r w:rsidRPr="002D0167">
        <w:rPr>
          <w:b/>
          <w:bCs/>
          <w:color w:val="auto"/>
          <w:sz w:val="24"/>
          <w:szCs w:val="24"/>
        </w:rPr>
        <w:t>gap</w:t>
      </w:r>
      <w:proofErr w:type="gramEnd"/>
    </w:p>
    <w:p w:rsidR="002D0167" w:rsidRPr="002D0167" w:rsidRDefault="002D0167" w:rsidP="002D0167">
      <w:pPr>
        <w:pStyle w:val="Ttulo2"/>
        <w:jc w:val="both"/>
        <w:rPr>
          <w:color w:val="auto"/>
          <w:sz w:val="24"/>
          <w:szCs w:val="24"/>
        </w:rPr>
      </w:pPr>
    </w:p>
    <w:p w:rsidR="008C2719" w:rsidRDefault="002D0167" w:rsidP="002D0167">
      <w:p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The proposed study addresses this gap through a census of 50 incubators, acce</w:t>
      </w:r>
      <w:r w:rsidRPr="002D0167">
        <w:rPr>
          <w:sz w:val="24"/>
          <w:szCs w:val="24"/>
        </w:rPr>
        <w:t xml:space="preserve">lerators, and innovation centers in Ecuador, to which a cluster analysis will be applied (Gower distance, or Multiple Correspondence Analysis followed by Hierarchical Clustering on Principal Components) </w:t>
      </w:r>
      <w:r w:rsidRPr="002D0167">
        <w:rPr>
          <w:sz w:val="24"/>
          <w:szCs w:val="24"/>
        </w:rPr>
        <w:lastRenderedPageBreak/>
        <w:t xml:space="preserve">to identify empirical groupings of programs based on </w:t>
      </w:r>
      <w:r w:rsidRPr="002D0167">
        <w:rPr>
          <w:sz w:val="24"/>
          <w:szCs w:val="24"/>
        </w:rPr>
        <w:t>variables drawn from the reference literature (</w:t>
      </w:r>
      <w:proofErr w:type="spellStart"/>
      <w:r w:rsidRPr="002D0167">
        <w:rPr>
          <w:sz w:val="24"/>
          <w:szCs w:val="24"/>
        </w:rPr>
        <w:t>Pauwels</w:t>
      </w:r>
      <w:proofErr w:type="spellEnd"/>
      <w:r w:rsidRPr="002D0167">
        <w:rPr>
          <w:sz w:val="24"/>
          <w:szCs w:val="24"/>
        </w:rPr>
        <w:t xml:space="preserve"> et al., 2016; </w:t>
      </w:r>
      <w:proofErr w:type="spellStart"/>
      <w:r w:rsidRPr="002D0167">
        <w:rPr>
          <w:sz w:val="24"/>
          <w:szCs w:val="24"/>
        </w:rPr>
        <w:t>Mian</w:t>
      </w:r>
      <w:proofErr w:type="spellEnd"/>
      <w:r w:rsidRPr="002D0167">
        <w:rPr>
          <w:sz w:val="24"/>
          <w:szCs w:val="24"/>
        </w:rPr>
        <w:t xml:space="preserve"> et al., 2016; </w:t>
      </w:r>
      <w:proofErr w:type="spellStart"/>
      <w:r w:rsidRPr="002D0167">
        <w:rPr>
          <w:sz w:val="24"/>
          <w:szCs w:val="24"/>
        </w:rPr>
        <w:t>Hausberg</w:t>
      </w:r>
      <w:proofErr w:type="spellEnd"/>
      <w:r w:rsidRPr="002D0167">
        <w:rPr>
          <w:sz w:val="24"/>
          <w:szCs w:val="24"/>
        </w:rPr>
        <w:t xml:space="preserve"> &amp; </w:t>
      </w:r>
      <w:proofErr w:type="spellStart"/>
      <w:r w:rsidRPr="002D0167">
        <w:rPr>
          <w:sz w:val="24"/>
          <w:szCs w:val="24"/>
        </w:rPr>
        <w:t>Korreck</w:t>
      </w:r>
      <w:proofErr w:type="spellEnd"/>
      <w:r w:rsidRPr="002D0167">
        <w:rPr>
          <w:sz w:val="24"/>
          <w:szCs w:val="24"/>
        </w:rPr>
        <w:t xml:space="preserve">, 2018; Cohen &amp; Hochberg, 2014; </w:t>
      </w:r>
      <w:proofErr w:type="spellStart"/>
      <w:r w:rsidRPr="002D0167">
        <w:rPr>
          <w:sz w:val="24"/>
          <w:szCs w:val="24"/>
        </w:rPr>
        <w:t>Bergek</w:t>
      </w:r>
      <w:proofErr w:type="spellEnd"/>
      <w:r w:rsidRPr="002D0167">
        <w:rPr>
          <w:sz w:val="24"/>
          <w:szCs w:val="24"/>
        </w:rPr>
        <w:t xml:space="preserve"> &amp; </w:t>
      </w:r>
      <w:proofErr w:type="spellStart"/>
      <w:r w:rsidRPr="002D0167">
        <w:rPr>
          <w:sz w:val="24"/>
          <w:szCs w:val="24"/>
        </w:rPr>
        <w:t>Norrman</w:t>
      </w:r>
      <w:proofErr w:type="spellEnd"/>
      <w:r w:rsidRPr="002D0167">
        <w:rPr>
          <w:sz w:val="24"/>
          <w:szCs w:val="24"/>
        </w:rPr>
        <w:t>, 2008). In doing so, the research translates international conceptual frameworks into local quantitat</w:t>
      </w:r>
      <w:r w:rsidRPr="002D0167">
        <w:rPr>
          <w:sz w:val="24"/>
          <w:szCs w:val="24"/>
        </w:rPr>
        <w:t>ive evidence and offers a replicable typology that can inform both entrepreneurship policy design and institutions' own decisions about their strategic positioning.</w:t>
      </w:r>
    </w:p>
    <w:p w:rsidR="002D0167" w:rsidRPr="002D0167" w:rsidRDefault="002D0167" w:rsidP="002D0167">
      <w:pPr>
        <w:jc w:val="both"/>
        <w:rPr>
          <w:sz w:val="24"/>
          <w:szCs w:val="24"/>
        </w:rPr>
      </w:pPr>
    </w:p>
    <w:p w:rsidR="008C2719" w:rsidRPr="002D0167" w:rsidRDefault="002D0167" w:rsidP="002D0167">
      <w:pPr>
        <w:pStyle w:val="Ttulo2"/>
        <w:jc w:val="both"/>
        <w:rPr>
          <w:b/>
          <w:bCs/>
          <w:color w:val="auto"/>
          <w:sz w:val="24"/>
          <w:szCs w:val="24"/>
        </w:rPr>
      </w:pPr>
      <w:r w:rsidRPr="002D0167">
        <w:rPr>
          <w:b/>
          <w:bCs/>
          <w:color w:val="auto"/>
          <w:sz w:val="24"/>
          <w:szCs w:val="24"/>
        </w:rPr>
        <w:t>Translation process</w:t>
      </w:r>
    </w:p>
    <w:p w:rsidR="002D0167" w:rsidRDefault="002D0167" w:rsidP="002D0167">
      <w:pPr>
        <w:jc w:val="both"/>
        <w:rPr>
          <w:b/>
          <w:bCs/>
          <w:sz w:val="24"/>
          <w:szCs w:val="24"/>
        </w:rPr>
      </w:pPr>
    </w:p>
    <w:p w:rsidR="008C2719" w:rsidRPr="002D0167" w:rsidRDefault="002D0167" w:rsidP="002D0167">
      <w:pPr>
        <w:jc w:val="both"/>
        <w:rPr>
          <w:sz w:val="24"/>
          <w:szCs w:val="24"/>
        </w:rPr>
      </w:pPr>
      <w:r w:rsidRPr="002D0167">
        <w:rPr>
          <w:b/>
          <w:bCs/>
          <w:sz w:val="24"/>
          <w:szCs w:val="24"/>
        </w:rPr>
        <w:t>Tools used for the translation:</w:t>
      </w:r>
    </w:p>
    <w:p w:rsidR="002D0167" w:rsidRDefault="002D0167" w:rsidP="002D0167">
      <w:pPr>
        <w:jc w:val="both"/>
        <w:rPr>
          <w:sz w:val="24"/>
          <w:szCs w:val="24"/>
        </w:rPr>
      </w:pPr>
    </w:p>
    <w:p w:rsidR="008C2719" w:rsidRPr="002D0167" w:rsidRDefault="002D0167" w:rsidP="002D016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Claude (Anthropic) — initial translat</w:t>
      </w:r>
      <w:r w:rsidRPr="002D0167">
        <w:rPr>
          <w:sz w:val="24"/>
          <w:szCs w:val="24"/>
        </w:rPr>
        <w:t>ion of the Spanish literature review into academic English.</w:t>
      </w:r>
    </w:p>
    <w:p w:rsidR="008C2719" w:rsidRPr="002D0167" w:rsidRDefault="002D0167" w:rsidP="002D016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 w:rsidRPr="002D0167">
        <w:rPr>
          <w:sz w:val="24"/>
          <w:szCs w:val="24"/>
        </w:rPr>
        <w:t>DeepL</w:t>
      </w:r>
      <w:proofErr w:type="spellEnd"/>
      <w:r w:rsidRPr="002D0167">
        <w:rPr>
          <w:sz w:val="24"/>
          <w:szCs w:val="24"/>
        </w:rPr>
        <w:t xml:space="preserve"> and </w:t>
      </w:r>
      <w:proofErr w:type="spellStart"/>
      <w:r w:rsidRPr="002D0167">
        <w:rPr>
          <w:sz w:val="24"/>
          <w:szCs w:val="24"/>
        </w:rPr>
        <w:t>Linguee</w:t>
      </w:r>
      <w:proofErr w:type="spellEnd"/>
      <w:r w:rsidRPr="002D0167">
        <w:rPr>
          <w:sz w:val="24"/>
          <w:szCs w:val="24"/>
        </w:rPr>
        <w:t xml:space="preserve"> — verification of technical terminology and comparison of collocations used in the incubation/acceleration literature.</w:t>
      </w:r>
    </w:p>
    <w:p w:rsidR="008C2719" w:rsidRPr="002D0167" w:rsidRDefault="002D0167" w:rsidP="002D016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 w:rsidRPr="002D0167">
        <w:rPr>
          <w:sz w:val="24"/>
          <w:szCs w:val="24"/>
        </w:rPr>
        <w:t>Grammarly</w:t>
      </w:r>
      <w:proofErr w:type="spellEnd"/>
      <w:r w:rsidRPr="002D0167">
        <w:rPr>
          <w:sz w:val="24"/>
          <w:szCs w:val="24"/>
        </w:rPr>
        <w:t xml:space="preserve"> — style polishing (register, sentence variety</w:t>
      </w:r>
      <w:r w:rsidRPr="002D0167">
        <w:rPr>
          <w:sz w:val="24"/>
          <w:szCs w:val="24"/>
        </w:rPr>
        <w:t>, active voice) of the final English text.</w:t>
      </w:r>
    </w:p>
    <w:p w:rsidR="008C2719" w:rsidRDefault="002D0167" w:rsidP="002D016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Back-translation (English → Spanish, using Claude) — to confirm that meaning was preserved relative to the original.</w:t>
      </w:r>
    </w:p>
    <w:p w:rsidR="002D0167" w:rsidRPr="002D0167" w:rsidRDefault="002D0167" w:rsidP="002D0167">
      <w:pPr>
        <w:pStyle w:val="Prrafodelista"/>
        <w:ind w:left="720"/>
        <w:jc w:val="both"/>
        <w:rPr>
          <w:sz w:val="24"/>
          <w:szCs w:val="24"/>
        </w:rPr>
      </w:pPr>
    </w:p>
    <w:p w:rsidR="008C2719" w:rsidRDefault="002D0167" w:rsidP="002D0167">
      <w:pPr>
        <w:jc w:val="both"/>
        <w:rPr>
          <w:b/>
          <w:bCs/>
          <w:sz w:val="24"/>
          <w:szCs w:val="24"/>
        </w:rPr>
      </w:pPr>
      <w:r w:rsidRPr="002D0167">
        <w:rPr>
          <w:b/>
          <w:bCs/>
          <w:sz w:val="24"/>
          <w:szCs w:val="24"/>
        </w:rPr>
        <w:t>T</w:t>
      </w:r>
      <w:r w:rsidRPr="002D0167">
        <w:rPr>
          <w:b/>
          <w:bCs/>
          <w:sz w:val="24"/>
          <w:szCs w:val="24"/>
        </w:rPr>
        <w:t>echnical terms I specifically verified:</w:t>
      </w:r>
    </w:p>
    <w:p w:rsidR="002D0167" w:rsidRPr="002D0167" w:rsidRDefault="002D0167" w:rsidP="002D0167">
      <w:pPr>
        <w:jc w:val="both"/>
        <w:rPr>
          <w:sz w:val="24"/>
          <w:szCs w:val="24"/>
        </w:rPr>
      </w:pPr>
    </w:p>
    <w:p w:rsidR="008C2719" w:rsidRPr="002D0167" w:rsidRDefault="002D0167" w:rsidP="002D0167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"</w:t>
      </w:r>
      <w:proofErr w:type="spellStart"/>
      <w:r w:rsidRPr="002D0167">
        <w:rPr>
          <w:sz w:val="24"/>
          <w:szCs w:val="24"/>
        </w:rPr>
        <w:t>distancia</w:t>
      </w:r>
      <w:proofErr w:type="spellEnd"/>
      <w:r w:rsidRPr="002D0167">
        <w:rPr>
          <w:sz w:val="24"/>
          <w:szCs w:val="24"/>
        </w:rPr>
        <w:t xml:space="preserve"> de Gower" → "Gower distance" (confirmed</w:t>
      </w:r>
      <w:r w:rsidRPr="002D0167">
        <w:rPr>
          <w:sz w:val="24"/>
          <w:szCs w:val="24"/>
        </w:rPr>
        <w:t xml:space="preserve"> as the standard English term, not "Gower's distance").</w:t>
      </w:r>
    </w:p>
    <w:p w:rsidR="008C2719" w:rsidRPr="002D0167" w:rsidRDefault="002D0167" w:rsidP="002D0167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"</w:t>
      </w:r>
      <w:proofErr w:type="spellStart"/>
      <w:r w:rsidRPr="002D0167">
        <w:rPr>
          <w:sz w:val="24"/>
          <w:szCs w:val="24"/>
        </w:rPr>
        <w:t>Clasificación</w:t>
      </w:r>
      <w:proofErr w:type="spellEnd"/>
      <w:r w:rsidRPr="002D0167">
        <w:rPr>
          <w:sz w:val="24"/>
          <w:szCs w:val="24"/>
        </w:rPr>
        <w:t xml:space="preserve"> </w:t>
      </w:r>
      <w:proofErr w:type="spellStart"/>
      <w:r w:rsidRPr="002D0167">
        <w:rPr>
          <w:sz w:val="24"/>
          <w:szCs w:val="24"/>
        </w:rPr>
        <w:t>Jerárquica</w:t>
      </w:r>
      <w:proofErr w:type="spellEnd"/>
      <w:r w:rsidRPr="002D0167">
        <w:rPr>
          <w:sz w:val="24"/>
          <w:szCs w:val="24"/>
        </w:rPr>
        <w:t xml:space="preserve"> </w:t>
      </w:r>
      <w:proofErr w:type="spellStart"/>
      <w:r w:rsidRPr="002D0167">
        <w:rPr>
          <w:sz w:val="24"/>
          <w:szCs w:val="24"/>
        </w:rPr>
        <w:t>sobre</w:t>
      </w:r>
      <w:proofErr w:type="spellEnd"/>
      <w:r w:rsidRPr="002D0167">
        <w:rPr>
          <w:sz w:val="24"/>
          <w:szCs w:val="24"/>
        </w:rPr>
        <w:t xml:space="preserve"> </w:t>
      </w:r>
      <w:proofErr w:type="spellStart"/>
      <w:r w:rsidRPr="002D0167">
        <w:rPr>
          <w:sz w:val="24"/>
          <w:szCs w:val="24"/>
        </w:rPr>
        <w:t>Componentes</w:t>
      </w:r>
      <w:proofErr w:type="spellEnd"/>
      <w:r w:rsidRPr="002D0167">
        <w:rPr>
          <w:sz w:val="24"/>
          <w:szCs w:val="24"/>
        </w:rPr>
        <w:t xml:space="preserve"> </w:t>
      </w:r>
      <w:proofErr w:type="spellStart"/>
      <w:r w:rsidRPr="002D0167">
        <w:rPr>
          <w:sz w:val="24"/>
          <w:szCs w:val="24"/>
        </w:rPr>
        <w:t>Principales</w:t>
      </w:r>
      <w:proofErr w:type="spellEnd"/>
      <w:r w:rsidRPr="002D0167">
        <w:rPr>
          <w:sz w:val="24"/>
          <w:szCs w:val="24"/>
        </w:rPr>
        <w:t xml:space="preserve">" → "Hierarchical Clustering on Principal Components" (HCPC), matching the standard English name of the method as used in the </w:t>
      </w:r>
      <w:proofErr w:type="spellStart"/>
      <w:r w:rsidRPr="002D0167">
        <w:rPr>
          <w:sz w:val="24"/>
          <w:szCs w:val="24"/>
        </w:rPr>
        <w:t>FactoMineR</w:t>
      </w:r>
      <w:proofErr w:type="spellEnd"/>
      <w:r w:rsidRPr="002D0167">
        <w:rPr>
          <w:sz w:val="24"/>
          <w:szCs w:val="24"/>
        </w:rPr>
        <w:t xml:space="preserve"> liter</w:t>
      </w:r>
      <w:r w:rsidRPr="002D0167">
        <w:rPr>
          <w:sz w:val="24"/>
          <w:szCs w:val="24"/>
        </w:rPr>
        <w:t>ature.</w:t>
      </w:r>
    </w:p>
    <w:p w:rsidR="008C2719" w:rsidRPr="002D0167" w:rsidRDefault="002D0167" w:rsidP="002D0167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"</w:t>
      </w:r>
      <w:proofErr w:type="spellStart"/>
      <w:r w:rsidRPr="002D0167">
        <w:rPr>
          <w:sz w:val="24"/>
          <w:szCs w:val="24"/>
        </w:rPr>
        <w:t>centro</w:t>
      </w:r>
      <w:proofErr w:type="spellEnd"/>
      <w:r w:rsidRPr="002D0167">
        <w:rPr>
          <w:sz w:val="24"/>
          <w:szCs w:val="24"/>
        </w:rPr>
        <w:t xml:space="preserve"> de </w:t>
      </w:r>
      <w:proofErr w:type="spellStart"/>
      <w:r w:rsidRPr="002D0167">
        <w:rPr>
          <w:sz w:val="24"/>
          <w:szCs w:val="24"/>
        </w:rPr>
        <w:t>emprendimiento</w:t>
      </w:r>
      <w:proofErr w:type="spellEnd"/>
      <w:r w:rsidRPr="002D0167">
        <w:rPr>
          <w:sz w:val="24"/>
          <w:szCs w:val="24"/>
        </w:rPr>
        <w:t>" → "entrepreneurship center" (kept literal rather than "entrepreneurship hub", to stay consistent with the terminology used in the cited English-language sources).</w:t>
      </w:r>
    </w:p>
    <w:p w:rsidR="008C2719" w:rsidRPr="002D0167" w:rsidRDefault="002D0167" w:rsidP="002D0167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 xml:space="preserve">"demo day" → kept as "demo day" (an English loanword </w:t>
      </w:r>
      <w:r w:rsidRPr="002D0167">
        <w:rPr>
          <w:sz w:val="24"/>
          <w:szCs w:val="24"/>
        </w:rPr>
        <w:t>already standard in the accelerator literature; not translated back into Spanish or altered).</w:t>
      </w:r>
    </w:p>
    <w:p w:rsidR="008C2719" w:rsidRDefault="002D0167" w:rsidP="002D0167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"</w:t>
      </w:r>
      <w:proofErr w:type="spellStart"/>
      <w:r w:rsidRPr="002D0167">
        <w:rPr>
          <w:sz w:val="24"/>
          <w:szCs w:val="24"/>
        </w:rPr>
        <w:t>brecha</w:t>
      </w:r>
      <w:proofErr w:type="spellEnd"/>
      <w:r w:rsidRPr="002D0167">
        <w:rPr>
          <w:sz w:val="24"/>
          <w:szCs w:val="24"/>
        </w:rPr>
        <w:t xml:space="preserve"> de </w:t>
      </w:r>
      <w:proofErr w:type="spellStart"/>
      <w:r w:rsidRPr="002D0167">
        <w:rPr>
          <w:sz w:val="24"/>
          <w:szCs w:val="24"/>
        </w:rPr>
        <w:t>investigación</w:t>
      </w:r>
      <w:proofErr w:type="spellEnd"/>
      <w:r w:rsidRPr="002D0167">
        <w:rPr>
          <w:sz w:val="24"/>
          <w:szCs w:val="24"/>
        </w:rPr>
        <w:t>" → "research gap" (rejected the literal first-pass rendering "investigation gap").</w:t>
      </w:r>
    </w:p>
    <w:p w:rsidR="002D0167" w:rsidRPr="002D0167" w:rsidRDefault="002D0167" w:rsidP="002D0167">
      <w:pPr>
        <w:pStyle w:val="Prrafodelista"/>
        <w:ind w:left="720"/>
        <w:jc w:val="both"/>
        <w:rPr>
          <w:sz w:val="24"/>
          <w:szCs w:val="24"/>
        </w:rPr>
      </w:pPr>
    </w:p>
    <w:p w:rsidR="008C2719" w:rsidRDefault="002D0167" w:rsidP="002D0167">
      <w:pPr>
        <w:jc w:val="both"/>
        <w:rPr>
          <w:b/>
          <w:bCs/>
          <w:sz w:val="24"/>
          <w:szCs w:val="24"/>
        </w:rPr>
      </w:pPr>
      <w:r w:rsidRPr="002D0167">
        <w:rPr>
          <w:b/>
          <w:bCs/>
          <w:sz w:val="24"/>
          <w:szCs w:val="24"/>
        </w:rPr>
        <w:t>D</w:t>
      </w:r>
      <w:r w:rsidRPr="002D0167">
        <w:rPr>
          <w:b/>
          <w:bCs/>
          <w:sz w:val="24"/>
          <w:szCs w:val="24"/>
        </w:rPr>
        <w:t>ifferences identified between my original document</w:t>
      </w:r>
      <w:r w:rsidRPr="002D0167">
        <w:rPr>
          <w:b/>
          <w:bCs/>
          <w:sz w:val="24"/>
          <w:szCs w:val="24"/>
        </w:rPr>
        <w:t xml:space="preserve"> and the corrected version were the following:</w:t>
      </w:r>
    </w:p>
    <w:p w:rsidR="002D0167" w:rsidRPr="002D0167" w:rsidRDefault="002D0167" w:rsidP="002D0167">
      <w:pPr>
        <w:jc w:val="both"/>
        <w:rPr>
          <w:sz w:val="24"/>
          <w:szCs w:val="24"/>
        </w:rPr>
      </w:pPr>
    </w:p>
    <w:p w:rsidR="008C2719" w:rsidRPr="002D0167" w:rsidRDefault="002D0167" w:rsidP="002D016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The first-pass translation rendered "</w:t>
      </w:r>
      <w:proofErr w:type="spellStart"/>
      <w:r w:rsidRPr="002D0167">
        <w:rPr>
          <w:sz w:val="24"/>
          <w:szCs w:val="24"/>
        </w:rPr>
        <w:t>brecha</w:t>
      </w:r>
      <w:proofErr w:type="spellEnd"/>
      <w:r w:rsidRPr="002D0167">
        <w:rPr>
          <w:sz w:val="24"/>
          <w:szCs w:val="24"/>
        </w:rPr>
        <w:t xml:space="preserve"> de </w:t>
      </w:r>
      <w:proofErr w:type="spellStart"/>
      <w:r w:rsidRPr="002D0167">
        <w:rPr>
          <w:sz w:val="24"/>
          <w:szCs w:val="24"/>
        </w:rPr>
        <w:t>investigación</w:t>
      </w:r>
      <w:proofErr w:type="spellEnd"/>
      <w:r w:rsidRPr="002D0167">
        <w:rPr>
          <w:sz w:val="24"/>
          <w:szCs w:val="24"/>
        </w:rPr>
        <w:t>" literally as "investigation gap"; this was corrected to the standard academic term "research gap".</w:t>
      </w:r>
    </w:p>
    <w:p w:rsidR="008C2719" w:rsidRPr="002D0167" w:rsidRDefault="002D0167" w:rsidP="002D016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 xml:space="preserve">Several sentences in the initial draft were </w:t>
      </w:r>
      <w:r w:rsidRPr="002D0167">
        <w:rPr>
          <w:sz w:val="24"/>
          <w:szCs w:val="24"/>
        </w:rPr>
        <w:t xml:space="preserve">passive-heavy, mirroring the Spanish original's structure ("ha </w:t>
      </w:r>
      <w:proofErr w:type="spellStart"/>
      <w:r w:rsidRPr="002D0167">
        <w:rPr>
          <w:sz w:val="24"/>
          <w:szCs w:val="24"/>
        </w:rPr>
        <w:t>sido</w:t>
      </w:r>
      <w:proofErr w:type="spellEnd"/>
      <w:r w:rsidRPr="002D0167">
        <w:rPr>
          <w:sz w:val="24"/>
          <w:szCs w:val="24"/>
        </w:rPr>
        <w:t xml:space="preserve"> </w:t>
      </w:r>
      <w:proofErr w:type="spellStart"/>
      <w:r w:rsidRPr="002D0167">
        <w:rPr>
          <w:sz w:val="24"/>
          <w:szCs w:val="24"/>
        </w:rPr>
        <w:t>documentado</w:t>
      </w:r>
      <w:proofErr w:type="spellEnd"/>
      <w:r w:rsidRPr="002D0167">
        <w:rPr>
          <w:sz w:val="24"/>
          <w:szCs w:val="24"/>
        </w:rPr>
        <w:t xml:space="preserve"> por..."); </w:t>
      </w:r>
      <w:proofErr w:type="spellStart"/>
      <w:r w:rsidRPr="002D0167">
        <w:rPr>
          <w:sz w:val="24"/>
          <w:szCs w:val="24"/>
        </w:rPr>
        <w:t>Grammarly's</w:t>
      </w:r>
      <w:proofErr w:type="spellEnd"/>
      <w:r w:rsidRPr="002D0167">
        <w:rPr>
          <w:sz w:val="24"/>
          <w:szCs w:val="24"/>
        </w:rPr>
        <w:t xml:space="preserve"> suggestions were used to shift these to active voice ("studies have documented..."), which reads more naturally in English academic prose.</w:t>
      </w:r>
    </w:p>
    <w:p w:rsidR="008C2719" w:rsidRPr="002D0167" w:rsidRDefault="002D0167" w:rsidP="002D016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The initial d</w:t>
      </w:r>
      <w:r w:rsidRPr="002D0167">
        <w:rPr>
          <w:sz w:val="24"/>
          <w:szCs w:val="24"/>
        </w:rPr>
        <w:t xml:space="preserve">raft alternated between "accelerator" and "accelerator program"; for consistency with </w:t>
      </w:r>
      <w:proofErr w:type="spellStart"/>
      <w:r w:rsidRPr="002D0167">
        <w:rPr>
          <w:sz w:val="24"/>
          <w:szCs w:val="24"/>
        </w:rPr>
        <w:t>Pauwels</w:t>
      </w:r>
      <w:proofErr w:type="spellEnd"/>
      <w:r w:rsidRPr="002D0167">
        <w:rPr>
          <w:sz w:val="24"/>
          <w:szCs w:val="24"/>
        </w:rPr>
        <w:t xml:space="preserve"> et al. (2016) terminology, usage was standardized to "accelerator" throughout.</w:t>
      </w:r>
    </w:p>
    <w:p w:rsidR="008C2719" w:rsidRPr="002D0167" w:rsidRDefault="002D0167" w:rsidP="002D016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lastRenderedPageBreak/>
        <w:t>Back-translation of the closing paragraph initially returned a version that added</w:t>
      </w:r>
      <w:r w:rsidRPr="002D0167">
        <w:rPr>
          <w:sz w:val="24"/>
          <w:szCs w:val="24"/>
        </w:rPr>
        <w:t xml:space="preserve"> the word "</w:t>
      </w:r>
      <w:proofErr w:type="spellStart"/>
      <w:r w:rsidRPr="002D0167">
        <w:rPr>
          <w:sz w:val="24"/>
          <w:szCs w:val="24"/>
        </w:rPr>
        <w:t>solamente</w:t>
      </w:r>
      <w:proofErr w:type="spellEnd"/>
      <w:r w:rsidRPr="002D0167">
        <w:rPr>
          <w:sz w:val="24"/>
          <w:szCs w:val="24"/>
        </w:rPr>
        <w:t>" ("only"), which was not in the original Spanish nor intended in English; the English sentence was revised to remove that unintended narrowing of scope.</w:t>
      </w:r>
    </w:p>
    <w:p w:rsidR="008C2719" w:rsidRPr="002D0167" w:rsidRDefault="002D0167" w:rsidP="002D016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w:r w:rsidRPr="002D0167">
        <w:rPr>
          <w:sz w:val="24"/>
          <w:szCs w:val="24"/>
        </w:rPr>
        <w:t>The Spanish phrase "</w:t>
      </w:r>
      <w:proofErr w:type="spellStart"/>
      <w:r w:rsidRPr="002D0167">
        <w:rPr>
          <w:sz w:val="24"/>
          <w:szCs w:val="24"/>
        </w:rPr>
        <w:t>toma</w:t>
      </w:r>
      <w:proofErr w:type="spellEnd"/>
      <w:r w:rsidRPr="002D0167">
        <w:rPr>
          <w:sz w:val="24"/>
          <w:szCs w:val="24"/>
        </w:rPr>
        <w:t xml:space="preserve"> de </w:t>
      </w:r>
      <w:proofErr w:type="spellStart"/>
      <w:r w:rsidRPr="002D0167">
        <w:rPr>
          <w:sz w:val="24"/>
          <w:szCs w:val="24"/>
        </w:rPr>
        <w:t>decisiones</w:t>
      </w:r>
      <w:proofErr w:type="spellEnd"/>
      <w:r w:rsidRPr="002D0167">
        <w:rPr>
          <w:sz w:val="24"/>
          <w:szCs w:val="24"/>
        </w:rPr>
        <w:t xml:space="preserve">... </w:t>
      </w:r>
      <w:proofErr w:type="spellStart"/>
      <w:r w:rsidRPr="002D0167">
        <w:rPr>
          <w:sz w:val="24"/>
          <w:szCs w:val="24"/>
        </w:rPr>
        <w:t>sobre</w:t>
      </w:r>
      <w:proofErr w:type="spellEnd"/>
      <w:r w:rsidRPr="002D0167">
        <w:rPr>
          <w:sz w:val="24"/>
          <w:szCs w:val="24"/>
        </w:rPr>
        <w:t xml:space="preserve"> </w:t>
      </w:r>
      <w:proofErr w:type="spellStart"/>
      <w:r w:rsidRPr="002D0167">
        <w:rPr>
          <w:sz w:val="24"/>
          <w:szCs w:val="24"/>
        </w:rPr>
        <w:t>su</w:t>
      </w:r>
      <w:proofErr w:type="spellEnd"/>
      <w:r w:rsidRPr="002D0167">
        <w:rPr>
          <w:sz w:val="24"/>
          <w:szCs w:val="24"/>
        </w:rPr>
        <w:t xml:space="preserve"> </w:t>
      </w:r>
      <w:proofErr w:type="spellStart"/>
      <w:r w:rsidRPr="002D0167">
        <w:rPr>
          <w:sz w:val="24"/>
          <w:szCs w:val="24"/>
        </w:rPr>
        <w:t>posicionamiento</w:t>
      </w:r>
      <w:proofErr w:type="spellEnd"/>
      <w:r w:rsidRPr="002D0167">
        <w:rPr>
          <w:sz w:val="24"/>
          <w:szCs w:val="24"/>
        </w:rPr>
        <w:t xml:space="preserve"> </w:t>
      </w:r>
      <w:proofErr w:type="spellStart"/>
      <w:r w:rsidRPr="002D0167">
        <w:rPr>
          <w:sz w:val="24"/>
          <w:szCs w:val="24"/>
        </w:rPr>
        <w:t>estratégico</w:t>
      </w:r>
      <w:proofErr w:type="spellEnd"/>
      <w:r w:rsidRPr="002D0167">
        <w:rPr>
          <w:sz w:val="24"/>
          <w:szCs w:val="24"/>
        </w:rPr>
        <w:t xml:space="preserve">" </w:t>
      </w:r>
      <w:r w:rsidRPr="002D0167">
        <w:rPr>
          <w:sz w:val="24"/>
          <w:szCs w:val="24"/>
        </w:rPr>
        <w:t xml:space="preserve">was first translated too literally as "decision-making... about their strategic positioning," which </w:t>
      </w:r>
      <w:bookmarkStart w:id="0" w:name="_GoBack"/>
      <w:bookmarkEnd w:id="0"/>
      <w:proofErr w:type="spellStart"/>
      <w:r w:rsidRPr="002D0167">
        <w:rPr>
          <w:sz w:val="24"/>
          <w:szCs w:val="24"/>
        </w:rPr>
        <w:t>DeepL</w:t>
      </w:r>
      <w:proofErr w:type="spellEnd"/>
      <w:r w:rsidRPr="002D0167">
        <w:rPr>
          <w:sz w:val="24"/>
          <w:szCs w:val="24"/>
        </w:rPr>
        <w:t xml:space="preserve"> flagged as slightly redundant; it was simplified without losing the original meaning.</w:t>
      </w:r>
    </w:p>
    <w:sectPr w:rsidR="008C2719" w:rsidRPr="002D01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0004CD"/>
    <w:multiLevelType w:val="hybridMultilevel"/>
    <w:tmpl w:val="B7A83770"/>
    <w:lvl w:ilvl="0" w:tplc="46E67D86">
      <w:start w:val="1"/>
      <w:numFmt w:val="bullet"/>
      <w:lvlText w:val="●"/>
      <w:lvlJc w:val="left"/>
      <w:pPr>
        <w:ind w:left="720" w:hanging="360"/>
      </w:pPr>
    </w:lvl>
    <w:lvl w:ilvl="1" w:tplc="EA6E413A">
      <w:start w:val="1"/>
      <w:numFmt w:val="bullet"/>
      <w:lvlText w:val="○"/>
      <w:lvlJc w:val="left"/>
      <w:pPr>
        <w:ind w:left="1440" w:hanging="360"/>
      </w:pPr>
    </w:lvl>
    <w:lvl w:ilvl="2" w:tplc="BBCABF10">
      <w:start w:val="1"/>
      <w:numFmt w:val="bullet"/>
      <w:lvlText w:val="■"/>
      <w:lvlJc w:val="left"/>
      <w:pPr>
        <w:ind w:left="2160" w:hanging="360"/>
      </w:pPr>
    </w:lvl>
    <w:lvl w:ilvl="3" w:tplc="799E2D10">
      <w:start w:val="1"/>
      <w:numFmt w:val="bullet"/>
      <w:lvlText w:val="●"/>
      <w:lvlJc w:val="left"/>
      <w:pPr>
        <w:ind w:left="2880" w:hanging="360"/>
      </w:pPr>
    </w:lvl>
    <w:lvl w:ilvl="4" w:tplc="066A7A12">
      <w:start w:val="1"/>
      <w:numFmt w:val="bullet"/>
      <w:lvlText w:val="○"/>
      <w:lvlJc w:val="left"/>
      <w:pPr>
        <w:ind w:left="3600" w:hanging="360"/>
      </w:pPr>
    </w:lvl>
    <w:lvl w:ilvl="5" w:tplc="857C7622">
      <w:start w:val="1"/>
      <w:numFmt w:val="bullet"/>
      <w:lvlText w:val="■"/>
      <w:lvlJc w:val="left"/>
      <w:pPr>
        <w:ind w:left="4320" w:hanging="360"/>
      </w:pPr>
    </w:lvl>
    <w:lvl w:ilvl="6" w:tplc="8428922E">
      <w:start w:val="1"/>
      <w:numFmt w:val="bullet"/>
      <w:lvlText w:val="●"/>
      <w:lvlJc w:val="left"/>
      <w:pPr>
        <w:ind w:left="5040" w:hanging="360"/>
      </w:pPr>
    </w:lvl>
    <w:lvl w:ilvl="7" w:tplc="5214443E">
      <w:start w:val="1"/>
      <w:numFmt w:val="bullet"/>
      <w:lvlText w:val="●"/>
      <w:lvlJc w:val="left"/>
      <w:pPr>
        <w:ind w:left="5760" w:hanging="360"/>
      </w:pPr>
    </w:lvl>
    <w:lvl w:ilvl="8" w:tplc="6FD00D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DB5FE9"/>
    <w:multiLevelType w:val="hybridMultilevel"/>
    <w:tmpl w:val="86225422"/>
    <w:lvl w:ilvl="0" w:tplc="3E7A34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E4E92"/>
    <w:multiLevelType w:val="hybridMultilevel"/>
    <w:tmpl w:val="F1C2630C"/>
    <w:lvl w:ilvl="0" w:tplc="3E7A34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F67B6"/>
    <w:multiLevelType w:val="hybridMultilevel"/>
    <w:tmpl w:val="01C8B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E0ACB"/>
    <w:multiLevelType w:val="hybridMultilevel"/>
    <w:tmpl w:val="A420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4266E"/>
    <w:multiLevelType w:val="hybridMultilevel"/>
    <w:tmpl w:val="E27A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719"/>
    <w:rsid w:val="002D0167"/>
    <w:rsid w:val="008C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7140"/>
  <w15:docId w15:val="{40B77F4F-4F2E-4B31-B126-2EA5AFDBE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bo-C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918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</cp:lastModifiedBy>
  <cp:revision>2</cp:revision>
  <dcterms:created xsi:type="dcterms:W3CDTF">2026-07-06T02:05:00Z</dcterms:created>
  <dcterms:modified xsi:type="dcterms:W3CDTF">2026-07-06T02:27:00Z</dcterms:modified>
</cp:coreProperties>
</file>