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160" w:rsidRDefault="00C8453C">
      <w:pPr>
        <w:pStyle w:val="Ttulo1"/>
        <w:rPr>
          <w:b/>
          <w:bCs/>
          <w:color w:val="000000" w:themeColor="text1"/>
          <w:sz w:val="24"/>
          <w:szCs w:val="24"/>
          <w:lang w:val="es-MX"/>
        </w:rPr>
      </w:pPr>
      <w:r w:rsidRPr="004452BE">
        <w:rPr>
          <w:b/>
          <w:bCs/>
          <w:color w:val="000000" w:themeColor="text1"/>
          <w:sz w:val="24"/>
          <w:szCs w:val="24"/>
          <w:lang w:val="es-MX"/>
        </w:rPr>
        <w:t xml:space="preserve">Mapeo de </w:t>
      </w:r>
      <w:proofErr w:type="spellStart"/>
      <w:r w:rsidRPr="004452BE">
        <w:rPr>
          <w:b/>
          <w:bCs/>
          <w:color w:val="000000" w:themeColor="text1"/>
          <w:sz w:val="24"/>
          <w:szCs w:val="24"/>
          <w:lang w:val="es-MX"/>
        </w:rPr>
        <w:t>journals</w:t>
      </w:r>
      <w:proofErr w:type="spellEnd"/>
      <w:r w:rsidRPr="004452BE">
        <w:rPr>
          <w:b/>
          <w:bCs/>
          <w:color w:val="000000" w:themeColor="text1"/>
          <w:sz w:val="24"/>
          <w:szCs w:val="24"/>
          <w:lang w:val="es-MX"/>
        </w:rPr>
        <w:t xml:space="preserve"> para publicación</w:t>
      </w:r>
    </w:p>
    <w:p w:rsidR="004452BE" w:rsidRPr="004452BE" w:rsidRDefault="004452BE">
      <w:pPr>
        <w:pStyle w:val="Ttulo1"/>
        <w:rPr>
          <w:b/>
          <w:bCs/>
          <w:color w:val="000000" w:themeColor="text1"/>
          <w:sz w:val="24"/>
          <w:szCs w:val="24"/>
          <w:lang w:val="es-MX"/>
        </w:rPr>
      </w:pPr>
    </w:p>
    <w:p w:rsidR="008B3160" w:rsidRPr="004452BE" w:rsidRDefault="00C8453C" w:rsidP="004452BE">
      <w:pPr>
        <w:jc w:val="both"/>
        <w:rPr>
          <w:color w:val="000000" w:themeColor="text1"/>
          <w:sz w:val="24"/>
          <w:szCs w:val="24"/>
          <w:lang w:val="es-MX"/>
        </w:rPr>
      </w:pPr>
      <w:r w:rsidRPr="004452BE">
        <w:rPr>
          <w:b/>
          <w:bCs/>
          <w:color w:val="000000" w:themeColor="text1"/>
          <w:sz w:val="24"/>
          <w:szCs w:val="24"/>
          <w:lang w:val="es-MX"/>
        </w:rPr>
        <w:t xml:space="preserve">Tema del </w:t>
      </w:r>
      <w:proofErr w:type="spellStart"/>
      <w:r w:rsidRPr="004452BE">
        <w:rPr>
          <w:b/>
          <w:bCs/>
          <w:color w:val="000000" w:themeColor="text1"/>
          <w:sz w:val="24"/>
          <w:szCs w:val="24"/>
          <w:lang w:val="es-MX"/>
        </w:rPr>
        <w:t>paper</w:t>
      </w:r>
      <w:proofErr w:type="spellEnd"/>
      <w:r w:rsidRPr="004452BE">
        <w:rPr>
          <w:b/>
          <w:bCs/>
          <w:color w:val="000000" w:themeColor="text1"/>
          <w:sz w:val="24"/>
          <w:szCs w:val="24"/>
          <w:lang w:val="es-MX"/>
        </w:rPr>
        <w:t>:</w:t>
      </w:r>
      <w:r w:rsidRPr="004452BE">
        <w:rPr>
          <w:color w:val="000000" w:themeColor="text1"/>
          <w:sz w:val="24"/>
          <w:szCs w:val="24"/>
          <w:lang w:val="es-MX"/>
        </w:rPr>
        <w:t xml:space="preserve"> Tipología de los programas de apoyo al emprendimiento (incubadoras, aceleradoras y centros de innovación) en Ecuador mediante análisis de clúster.</w:t>
      </w:r>
    </w:p>
    <w:p w:rsidR="008B3160" w:rsidRPr="004452BE" w:rsidRDefault="008B3160" w:rsidP="004452BE">
      <w:pPr>
        <w:jc w:val="both"/>
        <w:rPr>
          <w:color w:val="000000" w:themeColor="text1"/>
          <w:sz w:val="24"/>
          <w:szCs w:val="24"/>
          <w:lang w:val="es-MX"/>
        </w:rPr>
      </w:pPr>
    </w:p>
    <w:p w:rsidR="008B3160" w:rsidRPr="004452BE" w:rsidRDefault="00C8453C">
      <w:pPr>
        <w:pStyle w:val="Ttulo2"/>
        <w:rPr>
          <w:b/>
          <w:bCs/>
          <w:color w:val="000000" w:themeColor="text1"/>
          <w:sz w:val="24"/>
          <w:szCs w:val="24"/>
          <w:lang w:val="es-MX"/>
        </w:rPr>
      </w:pPr>
      <w:r w:rsidRPr="004452BE">
        <w:rPr>
          <w:b/>
          <w:bCs/>
          <w:color w:val="000000" w:themeColor="text1"/>
          <w:sz w:val="24"/>
          <w:szCs w:val="24"/>
          <w:lang w:val="es-MX"/>
        </w:rPr>
        <w:t>Opción 1 (primera opción): Innovar — Revista de Ciencias Administrativas y Sociales</w:t>
      </w:r>
    </w:p>
    <w:p w:rsidR="004452BE" w:rsidRPr="004452BE" w:rsidRDefault="004452BE">
      <w:pPr>
        <w:pStyle w:val="Ttulo2"/>
        <w:rPr>
          <w:color w:val="000000" w:themeColor="text1"/>
          <w:sz w:val="24"/>
          <w:szCs w:val="24"/>
          <w:lang w:val="es-MX"/>
        </w:rPr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:rsidR="008B3160" w:rsidRPr="004452BE" w:rsidRDefault="00C8453C" w:rsidP="00013D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6400" w:type="dxa"/>
            <w:shd w:val="clear" w:color="auto" w:fill="D9E2F3"/>
          </w:tcPr>
          <w:p w:rsidR="008B3160" w:rsidRPr="00C8453C" w:rsidRDefault="00C8453C" w:rsidP="00013D64">
            <w:pPr>
              <w:jc w:val="center"/>
              <w:rPr>
                <w:color w:val="000000" w:themeColor="text1"/>
                <w:sz w:val="24"/>
                <w:szCs w:val="24"/>
                <w:lang w:val="es-EC"/>
              </w:rPr>
            </w:pPr>
            <w:bookmarkStart w:id="0" w:name="_GoBack"/>
            <w:r w:rsidRPr="00C8453C">
              <w:rPr>
                <w:b/>
                <w:bCs/>
                <w:color w:val="000000" w:themeColor="text1"/>
                <w:sz w:val="24"/>
                <w:szCs w:val="24"/>
                <w:lang w:val="es-EC"/>
              </w:rPr>
              <w:t>Detalle</w:t>
            </w:r>
            <w:bookmarkEnd w:id="0"/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color w:val="000000" w:themeColor="text1"/>
                <w:sz w:val="24"/>
                <w:szCs w:val="24"/>
              </w:rPr>
              <w:t>Editorial</w:t>
            </w:r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Universidad Nacional de Colombia, Facultad de Ciencias Económicas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Cuartil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Scimago</w:t>
            </w:r>
            <w:proofErr w:type="spellEnd"/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Q3 en Business, Management and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Accounting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 (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miscellaneous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); indexada en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Scopus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; categoría A1 en el Índice Bibliográfico Nacional de Colombia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Por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qué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encaja</w:t>
            </w:r>
            <w:proofErr w:type="spellEnd"/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Es una revista latinoamericana especializada en gestión y ciencias administrativas, publica en españ</w:t>
            </w: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ol (además de inglés, portugués y francés), y ya ha publicado estudios sobre incubación de empresas e innovación en Latinoamérica, por lo que el comité editorial conoce el tema. Su estructura solicitada para artículos de investigación (introducción, marco </w:t>
            </w: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teórico, metodología, resultados, discusión) coincide con el diseño de este estudio.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color w:val="000000" w:themeColor="text1"/>
                <w:sz w:val="24"/>
                <w:szCs w:val="24"/>
              </w:rPr>
              <w:t>Open Access</w:t>
            </w:r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Sí, revista de acceso abierto completo (licencia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Creative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Commons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), indexada en DOAJ.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color w:val="000000" w:themeColor="text1"/>
                <w:sz w:val="24"/>
                <w:szCs w:val="24"/>
              </w:rPr>
              <w:t>APC</w:t>
            </w:r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0 USD — Innovar no cobra cargos de publicación (APC) a los autores.</w:t>
            </w:r>
          </w:p>
        </w:tc>
      </w:tr>
    </w:tbl>
    <w:p w:rsidR="008B3160" w:rsidRPr="004452BE" w:rsidRDefault="008B3160">
      <w:pPr>
        <w:rPr>
          <w:color w:val="000000" w:themeColor="text1"/>
          <w:sz w:val="24"/>
          <w:szCs w:val="24"/>
          <w:lang w:val="es-MX"/>
        </w:rPr>
      </w:pPr>
    </w:p>
    <w:p w:rsidR="008B3160" w:rsidRPr="004452BE" w:rsidRDefault="00C8453C">
      <w:pPr>
        <w:pStyle w:val="Ttulo2"/>
        <w:rPr>
          <w:b/>
          <w:bCs/>
          <w:color w:val="000000" w:themeColor="text1"/>
          <w:sz w:val="24"/>
          <w:szCs w:val="24"/>
        </w:rPr>
      </w:pPr>
      <w:r w:rsidRPr="00C8453C">
        <w:rPr>
          <w:b/>
          <w:bCs/>
          <w:color w:val="000000" w:themeColor="text1"/>
          <w:sz w:val="24"/>
          <w:szCs w:val="24"/>
          <w:lang w:val="es-EC"/>
        </w:rPr>
        <w:t xml:space="preserve">Opción </w:t>
      </w:r>
      <w:r w:rsidRPr="004452BE">
        <w:rPr>
          <w:b/>
          <w:bCs/>
          <w:color w:val="000000" w:themeColor="text1"/>
          <w:sz w:val="24"/>
          <w:szCs w:val="24"/>
        </w:rPr>
        <w:t>2: Journal of Innovation and Entrepreneurship</w:t>
      </w:r>
    </w:p>
    <w:p w:rsidR="004452BE" w:rsidRPr="004452BE" w:rsidRDefault="004452BE">
      <w:pPr>
        <w:pStyle w:val="Ttulo2"/>
        <w:rPr>
          <w:color w:val="000000" w:themeColor="text1"/>
          <w:sz w:val="24"/>
          <w:szCs w:val="24"/>
        </w:rPr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:rsidR="008B3160" w:rsidRPr="004452BE" w:rsidRDefault="00C8453C" w:rsidP="00013D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6400" w:type="dxa"/>
            <w:shd w:val="clear" w:color="auto" w:fill="D9E2F3"/>
          </w:tcPr>
          <w:p w:rsidR="008B3160" w:rsidRPr="00C8453C" w:rsidRDefault="00C8453C" w:rsidP="00013D64">
            <w:pPr>
              <w:jc w:val="center"/>
              <w:rPr>
                <w:color w:val="000000" w:themeColor="text1"/>
                <w:sz w:val="24"/>
                <w:szCs w:val="24"/>
                <w:lang w:val="es-EC"/>
              </w:rPr>
            </w:pPr>
            <w:r w:rsidRPr="00C8453C">
              <w:rPr>
                <w:b/>
                <w:bCs/>
                <w:color w:val="000000" w:themeColor="text1"/>
                <w:sz w:val="24"/>
                <w:szCs w:val="24"/>
                <w:lang w:val="es-EC"/>
              </w:rPr>
              <w:t>Detalle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color w:val="000000" w:themeColor="text1"/>
                <w:sz w:val="24"/>
                <w:szCs w:val="24"/>
              </w:rPr>
              <w:t>Editorial</w:t>
            </w:r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SpringerOpen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</w:rPr>
              <w:t xml:space="preserve"> (Springer Nature)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Cuartil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Scimago</w:t>
            </w:r>
            <w:proofErr w:type="spellEnd"/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color w:val="000000" w:themeColor="text1"/>
                <w:sz w:val="24"/>
                <w:szCs w:val="24"/>
              </w:rPr>
              <w:t xml:space="preserve">Q2 (SJR ≈ 1.06)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</w:rPr>
              <w:t xml:space="preserve"> Business, Management and Accounting; </w:t>
            </w:r>
            <w:r w:rsidRPr="00C8453C">
              <w:rPr>
                <w:color w:val="000000" w:themeColor="text1"/>
                <w:sz w:val="24"/>
                <w:szCs w:val="24"/>
                <w:lang w:val="es-EC"/>
              </w:rPr>
              <w:t>también indexada en</w:t>
            </w:r>
            <w:r w:rsidRPr="004452BE">
              <w:rPr>
                <w:color w:val="000000" w:themeColor="text1"/>
                <w:sz w:val="24"/>
                <w:szCs w:val="24"/>
              </w:rPr>
              <w:t xml:space="preserve"> Economics, Econometrics and Finance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C8453C" w:rsidRDefault="00C8453C">
            <w:pPr>
              <w:rPr>
                <w:color w:val="000000" w:themeColor="text1"/>
                <w:sz w:val="24"/>
                <w:szCs w:val="24"/>
                <w:lang w:val="es-EC"/>
              </w:rPr>
            </w:pPr>
            <w:r w:rsidRPr="00C8453C">
              <w:rPr>
                <w:color w:val="000000" w:themeColor="text1"/>
                <w:sz w:val="24"/>
                <w:szCs w:val="24"/>
                <w:lang w:val="es-EC"/>
              </w:rPr>
              <w:t>Por qué encaja</w:t>
            </w:r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Es una revista internacional dedicada explícitamente a ecosistemas de innovación y emprendimiento, con precedentes de artículos sobre tipologías y clasificación de programas de apoyo a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startups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, lo que hace muy pertinente un estudio de clúster sobre incub</w:t>
            </w: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adoras/aceleradoras.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color w:val="000000" w:themeColor="text1"/>
                <w:sz w:val="24"/>
                <w:szCs w:val="24"/>
              </w:rPr>
              <w:t>Open Access</w:t>
            </w:r>
          </w:p>
        </w:tc>
        <w:tc>
          <w:tcPr>
            <w:tcW w:w="6400" w:type="dxa"/>
          </w:tcPr>
          <w:p w:rsidR="008B3160" w:rsidRPr="00C8453C" w:rsidRDefault="00C8453C">
            <w:pPr>
              <w:rPr>
                <w:color w:val="000000" w:themeColor="text1"/>
                <w:sz w:val="24"/>
                <w:szCs w:val="24"/>
                <w:lang w:val="es-EC"/>
              </w:rPr>
            </w:pPr>
            <w:r w:rsidRPr="00C8453C">
              <w:rPr>
                <w:color w:val="000000" w:themeColor="text1"/>
                <w:sz w:val="24"/>
                <w:szCs w:val="24"/>
                <w:lang w:val="es-EC"/>
              </w:rPr>
              <w:t>Sí, acceso abierto completo.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color w:val="000000" w:themeColor="text1"/>
                <w:sz w:val="24"/>
                <w:szCs w:val="24"/>
              </w:rPr>
              <w:t>APC</w:t>
            </w:r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Aproximadamente 1,590 USD / 1,340 EUR / 1,090 GBP (cifra publicada por el editor; conviene confirmar la tarifa vigente y posibles exenciones para autores de países en desarrollo antes de enviar).</w:t>
            </w:r>
          </w:p>
        </w:tc>
      </w:tr>
    </w:tbl>
    <w:p w:rsidR="008B3160" w:rsidRPr="004452BE" w:rsidRDefault="008B3160">
      <w:pPr>
        <w:rPr>
          <w:color w:val="000000" w:themeColor="text1"/>
          <w:sz w:val="24"/>
          <w:szCs w:val="24"/>
          <w:lang w:val="es-MX"/>
        </w:rPr>
      </w:pPr>
    </w:p>
    <w:p w:rsidR="008B3160" w:rsidRPr="004452BE" w:rsidRDefault="00C8453C">
      <w:pPr>
        <w:pStyle w:val="Ttulo2"/>
        <w:rPr>
          <w:b/>
          <w:bCs/>
          <w:color w:val="000000" w:themeColor="text1"/>
          <w:sz w:val="24"/>
          <w:szCs w:val="24"/>
        </w:rPr>
      </w:pPr>
      <w:r w:rsidRPr="00C8453C">
        <w:rPr>
          <w:b/>
          <w:bCs/>
          <w:color w:val="000000" w:themeColor="text1"/>
          <w:sz w:val="24"/>
          <w:szCs w:val="24"/>
          <w:lang w:val="es-EC"/>
        </w:rPr>
        <w:t xml:space="preserve">Opción </w:t>
      </w:r>
      <w:r w:rsidRPr="004452BE">
        <w:rPr>
          <w:b/>
          <w:bCs/>
          <w:color w:val="000000" w:themeColor="text1"/>
          <w:sz w:val="24"/>
          <w:szCs w:val="24"/>
        </w:rPr>
        <w:t>3: International Entrepreneurship and Management Jo</w:t>
      </w:r>
      <w:r w:rsidRPr="004452BE">
        <w:rPr>
          <w:b/>
          <w:bCs/>
          <w:color w:val="000000" w:themeColor="text1"/>
          <w:sz w:val="24"/>
          <w:szCs w:val="24"/>
        </w:rPr>
        <w:t>urnal</w:t>
      </w:r>
    </w:p>
    <w:p w:rsidR="004452BE" w:rsidRPr="004452BE" w:rsidRDefault="004452BE">
      <w:pPr>
        <w:pStyle w:val="Ttulo2"/>
        <w:rPr>
          <w:color w:val="000000" w:themeColor="text1"/>
          <w:sz w:val="24"/>
          <w:szCs w:val="24"/>
        </w:rPr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:rsidR="008B3160" w:rsidRPr="004452BE" w:rsidRDefault="00C8453C" w:rsidP="00013D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6400" w:type="dxa"/>
            <w:shd w:val="clear" w:color="auto" w:fill="D9E2F3"/>
          </w:tcPr>
          <w:p w:rsidR="008B3160" w:rsidRPr="00C8453C" w:rsidRDefault="00C8453C" w:rsidP="00013D64">
            <w:pPr>
              <w:jc w:val="center"/>
              <w:rPr>
                <w:color w:val="000000" w:themeColor="text1"/>
                <w:sz w:val="24"/>
                <w:szCs w:val="24"/>
                <w:lang w:val="es-EC"/>
              </w:rPr>
            </w:pPr>
            <w:r w:rsidRPr="00C8453C">
              <w:rPr>
                <w:b/>
                <w:bCs/>
                <w:color w:val="000000" w:themeColor="text1"/>
                <w:sz w:val="24"/>
                <w:szCs w:val="24"/>
                <w:lang w:val="es-EC"/>
              </w:rPr>
              <w:t>Detalle</w:t>
            </w:r>
          </w:p>
        </w:tc>
      </w:tr>
      <w:tr w:rsidR="004452BE" w:rsidRPr="00C8453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C8453C" w:rsidRDefault="00C8453C">
            <w:pPr>
              <w:rPr>
                <w:color w:val="000000" w:themeColor="text1"/>
                <w:sz w:val="24"/>
                <w:szCs w:val="24"/>
                <w:lang w:val="es-EC"/>
              </w:rPr>
            </w:pPr>
            <w:r w:rsidRPr="00C8453C">
              <w:rPr>
                <w:color w:val="000000" w:themeColor="text1"/>
                <w:sz w:val="24"/>
                <w:szCs w:val="24"/>
                <w:lang w:val="es-EC"/>
              </w:rPr>
              <w:t>Editorial</w:t>
            </w:r>
          </w:p>
        </w:tc>
        <w:tc>
          <w:tcPr>
            <w:tcW w:w="6400" w:type="dxa"/>
          </w:tcPr>
          <w:p w:rsidR="008B3160" w:rsidRPr="00C8453C" w:rsidRDefault="00C8453C">
            <w:pPr>
              <w:rPr>
                <w:color w:val="000000" w:themeColor="text1"/>
                <w:sz w:val="24"/>
                <w:szCs w:val="24"/>
                <w:lang w:val="es-EC"/>
              </w:rPr>
            </w:pPr>
            <w:proofErr w:type="spellStart"/>
            <w:r w:rsidRPr="00C8453C">
              <w:rPr>
                <w:color w:val="000000" w:themeColor="text1"/>
                <w:sz w:val="24"/>
                <w:szCs w:val="24"/>
                <w:lang w:val="es-EC"/>
              </w:rPr>
              <w:t>Springer</w:t>
            </w:r>
            <w:proofErr w:type="spellEnd"/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lastRenderedPageBreak/>
              <w:t>Cuartil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Scimago</w:t>
            </w:r>
            <w:proofErr w:type="spellEnd"/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Q1 (SJR ≈ 1.35, h-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index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 89) — la de mayor impacto de las tres opciones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Por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qué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</w:rPr>
              <w:t>encaja</w:t>
            </w:r>
            <w:proofErr w:type="spellEnd"/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Es una de las revistas de mayor prestigio en emprendimiento internacional; aceptaría el estudio como una contribución metodológica (análisis de clúster aplicado) sobre el soporte institucional al emprendimiento en un país emergente, aunque el nivel de exig</w:t>
            </w: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encia editorial y la competencia por espacio son considerablemente mayores que en las otras dos opciones.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color w:val="000000" w:themeColor="text1"/>
                <w:sz w:val="24"/>
                <w:szCs w:val="24"/>
              </w:rPr>
              <w:t>Open Access</w:t>
            </w:r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Híbrida: suscripción por defecto, con opción de acceso abierto pagado.</w:t>
            </w:r>
          </w:p>
        </w:tc>
      </w:tr>
      <w:tr w:rsidR="004452BE" w:rsidRPr="004452B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</w:rPr>
            </w:pPr>
            <w:r w:rsidRPr="004452BE">
              <w:rPr>
                <w:color w:val="000000" w:themeColor="text1"/>
                <w:sz w:val="24"/>
                <w:szCs w:val="24"/>
              </w:rPr>
              <w:t>APC</w:t>
            </w:r>
          </w:p>
        </w:tc>
        <w:tc>
          <w:tcPr>
            <w:tcW w:w="6400" w:type="dxa"/>
          </w:tcPr>
          <w:p w:rsidR="008B3160" w:rsidRPr="004452BE" w:rsidRDefault="00C8453C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Aproximadamente 3,190 USD para la opción de acceso abierto (tarifa estándar de </w:t>
            </w:r>
            <w:proofErr w:type="spellStart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>Springer</w:t>
            </w:r>
            <w:proofErr w:type="spellEnd"/>
            <w:r w:rsidRPr="004452BE">
              <w:rPr>
                <w:color w:val="000000" w:themeColor="text1"/>
                <w:sz w:val="24"/>
                <w:szCs w:val="24"/>
                <w:lang w:val="es-MX"/>
              </w:rPr>
              <w:t xml:space="preserve"> para revistas híbridas; se recomienda verificar el monto exacto en el sitio del editor, ya que cambia periódicamente).</w:t>
            </w:r>
          </w:p>
        </w:tc>
      </w:tr>
    </w:tbl>
    <w:p w:rsidR="008B3160" w:rsidRPr="004452BE" w:rsidRDefault="008B3160">
      <w:pPr>
        <w:rPr>
          <w:color w:val="000000" w:themeColor="text1"/>
          <w:sz w:val="24"/>
          <w:szCs w:val="24"/>
          <w:lang w:val="es-MX"/>
        </w:rPr>
      </w:pPr>
    </w:p>
    <w:p w:rsidR="008B3160" w:rsidRPr="004452BE" w:rsidRDefault="00C8453C">
      <w:pPr>
        <w:pStyle w:val="Ttulo2"/>
        <w:rPr>
          <w:b/>
          <w:bCs/>
          <w:color w:val="000000" w:themeColor="text1"/>
          <w:sz w:val="24"/>
          <w:szCs w:val="24"/>
          <w:lang w:val="es-MX"/>
        </w:rPr>
      </w:pPr>
      <w:r w:rsidRPr="004452BE">
        <w:rPr>
          <w:b/>
          <w:bCs/>
          <w:color w:val="000000" w:themeColor="text1"/>
          <w:sz w:val="24"/>
          <w:szCs w:val="24"/>
          <w:lang w:val="es-MX"/>
        </w:rPr>
        <w:t>Justificación de la primera opción</w:t>
      </w:r>
    </w:p>
    <w:p w:rsidR="004452BE" w:rsidRDefault="004452BE">
      <w:pPr>
        <w:rPr>
          <w:color w:val="000000" w:themeColor="text1"/>
          <w:sz w:val="24"/>
          <w:szCs w:val="24"/>
          <w:lang w:val="es-MX"/>
        </w:rPr>
      </w:pPr>
    </w:p>
    <w:p w:rsidR="004452BE" w:rsidRDefault="00C8453C" w:rsidP="004452BE">
      <w:pPr>
        <w:jc w:val="both"/>
        <w:rPr>
          <w:color w:val="000000" w:themeColor="text1"/>
          <w:sz w:val="24"/>
          <w:szCs w:val="24"/>
          <w:lang w:val="es-MX"/>
        </w:rPr>
      </w:pPr>
      <w:r w:rsidRPr="004452BE">
        <w:rPr>
          <w:color w:val="000000" w:themeColor="text1"/>
          <w:sz w:val="24"/>
          <w:szCs w:val="24"/>
          <w:lang w:val="es-MX"/>
        </w:rPr>
        <w:t>Innovar es l</w:t>
      </w:r>
      <w:r w:rsidRPr="004452BE">
        <w:rPr>
          <w:color w:val="000000" w:themeColor="text1"/>
          <w:sz w:val="24"/>
          <w:szCs w:val="24"/>
          <w:lang w:val="es-MX"/>
        </w:rPr>
        <w:t xml:space="preserve">a opción más adecuada para este </w:t>
      </w:r>
      <w:proofErr w:type="spellStart"/>
      <w:r w:rsidRPr="004452BE">
        <w:rPr>
          <w:color w:val="000000" w:themeColor="text1"/>
          <w:sz w:val="24"/>
          <w:szCs w:val="24"/>
          <w:lang w:val="es-MX"/>
        </w:rPr>
        <w:t>paper</w:t>
      </w:r>
      <w:proofErr w:type="spellEnd"/>
      <w:r w:rsidRPr="004452BE">
        <w:rPr>
          <w:color w:val="000000" w:themeColor="text1"/>
          <w:sz w:val="24"/>
          <w:szCs w:val="24"/>
          <w:lang w:val="es-MX"/>
        </w:rPr>
        <w:t xml:space="preserve"> específico por cuatro razones concretas. </w:t>
      </w:r>
      <w:r w:rsidRPr="004452BE">
        <w:rPr>
          <w:color w:val="000000" w:themeColor="text1"/>
          <w:sz w:val="24"/>
          <w:szCs w:val="24"/>
          <w:lang w:val="es-MX"/>
        </w:rPr>
        <w:t>Primero, es una revista en idioma español con alcance latinoamericano, lo que coincide con el objetivo de publicar en una revista de alto impacto en español y con lectores que c</w:t>
      </w:r>
      <w:r w:rsidRPr="004452BE">
        <w:rPr>
          <w:color w:val="000000" w:themeColor="text1"/>
          <w:sz w:val="24"/>
          <w:szCs w:val="24"/>
          <w:lang w:val="es-MX"/>
        </w:rPr>
        <w:t>onocen el contexto regional del emprendimiento. Segundo, ya ha publicado investigaciones relacionadas con incubación de empresas e innovación tecnológica en la región, lo que reduce el riesgo de que el tema se perciba como fuera de alcance editorial. Terce</w:t>
      </w:r>
      <w:r w:rsidRPr="004452BE">
        <w:rPr>
          <w:color w:val="000000" w:themeColor="text1"/>
          <w:sz w:val="24"/>
          <w:szCs w:val="24"/>
          <w:lang w:val="es-MX"/>
        </w:rPr>
        <w:t xml:space="preserve">ro, al no cobrar cargos de publicación (APC), elimina una barrera de acceso relevante para una investigación académica sin financiamiento institucional dedicado a costos de publicación. Cuarto, su exigencia metodológica (doble ciego, estructura clásica </w:t>
      </w:r>
      <w:proofErr w:type="spellStart"/>
      <w:r w:rsidRPr="004452BE">
        <w:rPr>
          <w:color w:val="000000" w:themeColor="text1"/>
          <w:sz w:val="24"/>
          <w:szCs w:val="24"/>
          <w:lang w:val="es-MX"/>
        </w:rPr>
        <w:t>IMR</w:t>
      </w:r>
      <w:r w:rsidRPr="004452BE">
        <w:rPr>
          <w:color w:val="000000" w:themeColor="text1"/>
          <w:sz w:val="24"/>
          <w:szCs w:val="24"/>
          <w:lang w:val="es-MX"/>
        </w:rPr>
        <w:t>aD</w:t>
      </w:r>
      <w:proofErr w:type="spellEnd"/>
      <w:r w:rsidRPr="004452BE">
        <w:rPr>
          <w:color w:val="000000" w:themeColor="text1"/>
          <w:sz w:val="24"/>
          <w:szCs w:val="24"/>
          <w:lang w:val="es-MX"/>
        </w:rPr>
        <w:t xml:space="preserve">) es exigente pero razonable para un estudio con censo de 50 instituciones y análisis de clúster, a diferencia de la Opción 3, cuyo cuartil Q1 implica una tasa de rechazo y un nivel de competencia mucho mayores. </w:t>
      </w:r>
    </w:p>
    <w:p w:rsidR="004452BE" w:rsidRDefault="004452BE" w:rsidP="004452BE">
      <w:pPr>
        <w:jc w:val="both"/>
        <w:rPr>
          <w:color w:val="000000" w:themeColor="text1"/>
          <w:sz w:val="24"/>
          <w:szCs w:val="24"/>
          <w:lang w:val="es-MX"/>
        </w:rPr>
      </w:pPr>
    </w:p>
    <w:p w:rsidR="008B3160" w:rsidRPr="004452BE" w:rsidRDefault="00C8453C" w:rsidP="004452BE">
      <w:pPr>
        <w:jc w:val="both"/>
        <w:rPr>
          <w:color w:val="000000" w:themeColor="text1"/>
          <w:sz w:val="24"/>
          <w:szCs w:val="24"/>
          <w:lang w:val="es-MX"/>
        </w:rPr>
      </w:pPr>
      <w:r w:rsidRPr="004452BE">
        <w:rPr>
          <w:color w:val="000000" w:themeColor="text1"/>
          <w:sz w:val="24"/>
          <w:szCs w:val="24"/>
          <w:lang w:val="es-MX"/>
        </w:rPr>
        <w:t>Las opciones 2 y 3 quedan como alternativa</w:t>
      </w:r>
      <w:r w:rsidRPr="004452BE">
        <w:rPr>
          <w:color w:val="000000" w:themeColor="text1"/>
          <w:sz w:val="24"/>
          <w:szCs w:val="24"/>
          <w:lang w:val="es-MX"/>
        </w:rPr>
        <w:t xml:space="preserve">s de respaldo: la Opción 2 si se busca mayor visibilidad internacional en inglés dentro del campo específico de emprendimiento e innovación, y la Opción 3 como meta de largo plazo una vez que el estudio cuente con una versión robustecida y, eventualmente, </w:t>
      </w:r>
      <w:r w:rsidRPr="004452BE">
        <w:rPr>
          <w:color w:val="000000" w:themeColor="text1"/>
          <w:sz w:val="24"/>
          <w:szCs w:val="24"/>
          <w:lang w:val="es-MX"/>
        </w:rPr>
        <w:t>financiamiento para cubrir el APC.</w:t>
      </w:r>
    </w:p>
    <w:p w:rsidR="008B3160" w:rsidRPr="004452BE" w:rsidRDefault="008B3160" w:rsidP="004452BE">
      <w:pPr>
        <w:jc w:val="both"/>
        <w:rPr>
          <w:color w:val="000000" w:themeColor="text1"/>
          <w:sz w:val="24"/>
          <w:szCs w:val="24"/>
          <w:lang w:val="es-MX"/>
        </w:rPr>
      </w:pPr>
    </w:p>
    <w:p w:rsidR="008B3160" w:rsidRPr="004452BE" w:rsidRDefault="00C8453C" w:rsidP="004452BE">
      <w:pPr>
        <w:pStyle w:val="Ttulo2"/>
        <w:jc w:val="both"/>
        <w:rPr>
          <w:b/>
          <w:bCs/>
          <w:color w:val="000000" w:themeColor="text1"/>
          <w:sz w:val="24"/>
          <w:szCs w:val="24"/>
          <w:lang w:val="es-MX"/>
        </w:rPr>
      </w:pPr>
      <w:r w:rsidRPr="004452BE">
        <w:rPr>
          <w:b/>
          <w:bCs/>
          <w:color w:val="000000" w:themeColor="text1"/>
          <w:sz w:val="24"/>
          <w:szCs w:val="24"/>
          <w:lang w:val="es-MX"/>
        </w:rPr>
        <w:t>Nota metodológica</w:t>
      </w:r>
    </w:p>
    <w:p w:rsidR="004452BE" w:rsidRPr="004452BE" w:rsidRDefault="004452BE" w:rsidP="004452BE">
      <w:pPr>
        <w:pStyle w:val="Ttulo2"/>
        <w:jc w:val="both"/>
        <w:rPr>
          <w:color w:val="000000" w:themeColor="text1"/>
          <w:sz w:val="24"/>
          <w:szCs w:val="24"/>
          <w:lang w:val="es-MX"/>
        </w:rPr>
      </w:pPr>
    </w:p>
    <w:p w:rsidR="008B3160" w:rsidRPr="004452BE" w:rsidRDefault="00C8453C" w:rsidP="004452BE">
      <w:pPr>
        <w:jc w:val="both"/>
        <w:rPr>
          <w:color w:val="000000" w:themeColor="text1"/>
          <w:sz w:val="24"/>
          <w:szCs w:val="24"/>
          <w:lang w:val="es-MX"/>
        </w:rPr>
      </w:pPr>
      <w:r w:rsidRPr="004452BE">
        <w:rPr>
          <w:color w:val="000000" w:themeColor="text1"/>
          <w:sz w:val="24"/>
          <w:szCs w:val="24"/>
          <w:lang w:val="es-MX"/>
        </w:rPr>
        <w:t xml:space="preserve">Los cuartiles </w:t>
      </w:r>
      <w:proofErr w:type="spellStart"/>
      <w:r w:rsidRPr="004452BE">
        <w:rPr>
          <w:color w:val="000000" w:themeColor="text1"/>
          <w:sz w:val="24"/>
          <w:szCs w:val="24"/>
          <w:lang w:val="es-MX"/>
        </w:rPr>
        <w:t>Scimago</w:t>
      </w:r>
      <w:proofErr w:type="spellEnd"/>
      <w:r w:rsidRPr="004452BE">
        <w:rPr>
          <w:color w:val="000000" w:themeColor="text1"/>
          <w:sz w:val="24"/>
          <w:szCs w:val="24"/>
          <w:lang w:val="es-MX"/>
        </w:rPr>
        <w:t xml:space="preserve"> y las cifras de APC fueron verificados mediante búsqueda web directa en las páginas de </w:t>
      </w:r>
      <w:proofErr w:type="spellStart"/>
      <w:r w:rsidRPr="004452BE">
        <w:rPr>
          <w:color w:val="000000" w:themeColor="text1"/>
          <w:sz w:val="24"/>
          <w:szCs w:val="24"/>
          <w:lang w:val="es-MX"/>
        </w:rPr>
        <w:t>Scimago</w:t>
      </w:r>
      <w:proofErr w:type="spellEnd"/>
      <w:r w:rsidRPr="004452BE">
        <w:rPr>
          <w:color w:val="000000" w:themeColor="text1"/>
          <w:sz w:val="24"/>
          <w:szCs w:val="24"/>
          <w:lang w:val="es-MX"/>
        </w:rPr>
        <w:t xml:space="preserve"> </w:t>
      </w:r>
      <w:proofErr w:type="spellStart"/>
      <w:r w:rsidRPr="004452BE">
        <w:rPr>
          <w:color w:val="000000" w:themeColor="text1"/>
          <w:sz w:val="24"/>
          <w:szCs w:val="24"/>
          <w:lang w:val="es-MX"/>
        </w:rPr>
        <w:t>Journal</w:t>
      </w:r>
      <w:proofErr w:type="spellEnd"/>
      <w:r w:rsidRPr="004452BE">
        <w:rPr>
          <w:color w:val="000000" w:themeColor="text1"/>
          <w:sz w:val="24"/>
          <w:szCs w:val="24"/>
          <w:lang w:val="es-MX"/>
        </w:rPr>
        <w:t xml:space="preserve"> &amp; Country Rank y de los sitios editoriales de cada revista (Universidad Nacio</w:t>
      </w:r>
      <w:r w:rsidRPr="004452BE">
        <w:rPr>
          <w:color w:val="000000" w:themeColor="text1"/>
          <w:sz w:val="24"/>
          <w:szCs w:val="24"/>
          <w:lang w:val="es-MX"/>
        </w:rPr>
        <w:t xml:space="preserve">nal de Colombia, </w:t>
      </w:r>
      <w:proofErr w:type="spellStart"/>
      <w:r w:rsidRPr="004452BE">
        <w:rPr>
          <w:color w:val="000000" w:themeColor="text1"/>
          <w:sz w:val="24"/>
          <w:szCs w:val="24"/>
          <w:lang w:val="es-MX"/>
        </w:rPr>
        <w:t>SpringerOpen</w:t>
      </w:r>
      <w:proofErr w:type="spellEnd"/>
      <w:r w:rsidRPr="004452BE">
        <w:rPr>
          <w:color w:val="000000" w:themeColor="text1"/>
          <w:sz w:val="24"/>
          <w:szCs w:val="24"/>
          <w:lang w:val="es-MX"/>
        </w:rPr>
        <w:t xml:space="preserve"> y </w:t>
      </w:r>
      <w:proofErr w:type="spellStart"/>
      <w:r w:rsidRPr="004452BE">
        <w:rPr>
          <w:color w:val="000000" w:themeColor="text1"/>
          <w:sz w:val="24"/>
          <w:szCs w:val="24"/>
          <w:lang w:val="es-MX"/>
        </w:rPr>
        <w:t>Springer</w:t>
      </w:r>
      <w:proofErr w:type="spellEnd"/>
      <w:r w:rsidRPr="004452BE">
        <w:rPr>
          <w:color w:val="000000" w:themeColor="text1"/>
          <w:sz w:val="24"/>
          <w:szCs w:val="24"/>
          <w:lang w:val="es-MX"/>
        </w:rPr>
        <w:t>) en julio de 2026. Los montos de APC pueden variar; se recomienda confirmarlos en el sitio oficial del editor antes de someter el manuscrito.</w:t>
      </w:r>
    </w:p>
    <w:sectPr w:rsidR="008B3160" w:rsidRPr="004452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D2B71"/>
    <w:multiLevelType w:val="hybridMultilevel"/>
    <w:tmpl w:val="9C40D4DE"/>
    <w:lvl w:ilvl="0" w:tplc="DA7662F6">
      <w:start w:val="1"/>
      <w:numFmt w:val="bullet"/>
      <w:lvlText w:val="●"/>
      <w:lvlJc w:val="left"/>
      <w:pPr>
        <w:ind w:left="720" w:hanging="360"/>
      </w:pPr>
    </w:lvl>
    <w:lvl w:ilvl="1" w:tplc="EC528436">
      <w:start w:val="1"/>
      <w:numFmt w:val="bullet"/>
      <w:lvlText w:val="○"/>
      <w:lvlJc w:val="left"/>
      <w:pPr>
        <w:ind w:left="1440" w:hanging="360"/>
      </w:pPr>
    </w:lvl>
    <w:lvl w:ilvl="2" w:tplc="A98E4B52">
      <w:start w:val="1"/>
      <w:numFmt w:val="bullet"/>
      <w:lvlText w:val="■"/>
      <w:lvlJc w:val="left"/>
      <w:pPr>
        <w:ind w:left="2160" w:hanging="360"/>
      </w:pPr>
    </w:lvl>
    <w:lvl w:ilvl="3" w:tplc="E97CE516">
      <w:start w:val="1"/>
      <w:numFmt w:val="bullet"/>
      <w:lvlText w:val="●"/>
      <w:lvlJc w:val="left"/>
      <w:pPr>
        <w:ind w:left="2880" w:hanging="360"/>
      </w:pPr>
    </w:lvl>
    <w:lvl w:ilvl="4" w:tplc="07EC6278">
      <w:start w:val="1"/>
      <w:numFmt w:val="bullet"/>
      <w:lvlText w:val="○"/>
      <w:lvlJc w:val="left"/>
      <w:pPr>
        <w:ind w:left="3600" w:hanging="360"/>
      </w:pPr>
    </w:lvl>
    <w:lvl w:ilvl="5" w:tplc="2A661104">
      <w:start w:val="1"/>
      <w:numFmt w:val="bullet"/>
      <w:lvlText w:val="■"/>
      <w:lvlJc w:val="left"/>
      <w:pPr>
        <w:ind w:left="4320" w:hanging="360"/>
      </w:pPr>
    </w:lvl>
    <w:lvl w:ilvl="6" w:tplc="1D3E5698">
      <w:start w:val="1"/>
      <w:numFmt w:val="bullet"/>
      <w:lvlText w:val="●"/>
      <w:lvlJc w:val="left"/>
      <w:pPr>
        <w:ind w:left="5040" w:hanging="360"/>
      </w:pPr>
    </w:lvl>
    <w:lvl w:ilvl="7" w:tplc="96C21722">
      <w:start w:val="1"/>
      <w:numFmt w:val="bullet"/>
      <w:lvlText w:val="●"/>
      <w:lvlJc w:val="left"/>
      <w:pPr>
        <w:ind w:left="5760" w:hanging="360"/>
      </w:pPr>
    </w:lvl>
    <w:lvl w:ilvl="8" w:tplc="C65652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160"/>
    <w:rsid w:val="00013D64"/>
    <w:rsid w:val="004452BE"/>
    <w:rsid w:val="008B3160"/>
    <w:rsid w:val="00B37883"/>
    <w:rsid w:val="00C8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D792"/>
  <w15:docId w15:val="{7AB8BD7E-E2F9-4EA5-BAFE-9A09CBC6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bo-C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</cp:lastModifiedBy>
  <cp:revision>5</cp:revision>
  <dcterms:created xsi:type="dcterms:W3CDTF">2026-07-06T02:06:00Z</dcterms:created>
  <dcterms:modified xsi:type="dcterms:W3CDTF">2026-07-06T02:38:00Z</dcterms:modified>
</cp:coreProperties>
</file>