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before="1600"/>
      </w:pPr>
    </w:p>
    <w:p>
      <w:pPr>
        <w:jc w:val="center"/>
      </w:pPr>
      <w:r>
        <w:rPr>
          <w:rFonts w:ascii="Calibri" w:cs="Calibri" w:eastAsia="Calibri" w:hAnsi="Calibri"/>
          <w:b/>
          <w:bCs/>
          <w:color w:val="1B3A5C"/>
          <w:spacing w:val="300"/>
          <w:sz w:val="56"/>
          <w:szCs w:val="56"/>
        </w:rPr>
        <w:t xml:space="preserve">PRESIDIO</w:t>
      </w:r>
    </w:p>
    <w:p>
      <w:pPr>
        <w:pBdr>
          <w:bottom w:val="single" w:color="2E8B57" w:sz="4"/>
        </w:pBdr>
        <w:spacing w:before="80"/>
        <w:jc w:val="center"/>
      </w:pPr>
      <w:r>
        <w:rPr>
          <w:rFonts w:ascii="Calibri" w:cs="Calibri" w:eastAsia="Calibri" w:hAnsi="Calibri"/>
          <w:color w:val="D5D8DC"/>
          <w:spacing w:val="200"/>
          <w:sz w:val="20"/>
          <w:szCs w:val="20"/>
        </w:rPr>
        <w:t xml:space="preserve">MANAGED SERVICES  •  INNOVATION LAB</w:t>
      </w:r>
    </w:p>
    <w:p>
      <w:pPr>
        <w:spacing w:after="800" w:before="800"/>
      </w:pPr>
    </w:p>
    <w:p>
      <w:pPr>
        <w:spacing w:before="200"/>
        <w:jc w:val="center"/>
      </w:pPr>
      <w:r>
        <w:rPr>
          <w:rFonts w:ascii="Calibri" w:cs="Calibri" w:eastAsia="Calibri" w:hAnsi="Calibri"/>
          <w:b/>
          <w:bCs/>
          <w:color w:val="1C1C1C"/>
          <w:sz w:val="44"/>
          <w:szCs w:val="44"/>
        </w:rPr>
        <w:t xml:space="preserve">Autonomous SRE Incident
Triage Agent</w:t>
      </w:r>
    </w:p>
    <w:p>
      <w:pPr>
        <w:spacing w:before="120"/>
        <w:jc w:val="center"/>
      </w:pPr>
      <w:r>
        <w:rPr>
          <w:rFonts w:ascii="Calibri" w:cs="Calibri" w:eastAsia="Calibri" w:hAnsi="Calibri"/>
          <w:color w:val="1B3A5C"/>
          <w:sz w:val="26"/>
          <w:szCs w:val="26"/>
        </w:rPr>
        <w:t xml:space="preserve">Executive Proposal &amp; Financial Analysis</w:t>
      </w:r>
    </w:p>
    <w:p>
      <w:pPr>
        <w:spacing w:after="600" w:before="600"/>
      </w:pPr>
    </w:p>
    <w:p>
      <w:pPr>
        <w:jc w:val="center"/>
      </w:pPr>
      <w:r>
        <w:rPr>
          <w:rFonts w:ascii="Calibri" w:cs="Calibri" w:eastAsia="Calibri" w:hAnsi="Calibri"/>
          <w:i/>
          <w:iCs/>
          <w:color w:val="D5D8DC"/>
          <w:sz w:val="22"/>
          <w:szCs w:val="22"/>
        </w:rPr>
        <w:t xml:space="preserve">Hackathon Prototype  →  Production Roadmap</w:t>
      </w:r>
    </w:p>
    <w:p>
      <w:pPr>
        <w:spacing w:after="1200" w:before="1200"/>
      </w:pPr>
    </w:p>
    <w:p>
      <w:pPr>
        <w:pBdr>
          <w:top w:val="single" w:color="D5D8DC" w:sz="2"/>
        </w:pBdr>
        <w:spacing w:before="200"/>
        <w:jc w:val="center"/>
      </w:pPr>
      <w:r>
        <w:rPr>
          <w:rFonts w:ascii="Calibri" w:cs="Calibri" w:eastAsia="Calibri" w:hAnsi="Calibri"/>
          <w:color w:val="D5D8DC"/>
          <w:sz w:val="20"/>
          <w:szCs w:val="20"/>
        </w:rPr>
        <w:t xml:space="preserve">August 2026  |  Confidential  |  v1.0</w:t>
      </w:r>
    </w:p>
    <w:p>
      <w:pPr>
        <w:spacing w:before="80"/>
        <w:jc w:val="center"/>
      </w:pPr>
      <w:r>
        <w:rPr>
          <w:rFonts w:ascii="Calibri" w:cs="Calibri" w:eastAsia="Calibri" w:hAnsi="Calibri"/>
          <w:color w:val="D5D8DC"/>
          <w:sz w:val="18"/>
          <w:szCs w:val="18"/>
        </w:rPr>
        <w:t xml:space="preserve">Prepared for C-Level &amp; Engineering Leadership</w:t>
      </w:r>
    </w:p>
    <w:p>
      <w:pPr>
        <w:sectPr>
          <w:pgSz w:w="12240" w:h="15840" w:orient="portrait"/>
          <w:pgMar w:top="1440" w:right="1440" w:bottom="1440" w:left="1440" w:header="708" w:footer="708" w:gutter="0"/>
          <w:pgNumType/>
          <w:docGrid w:linePitch="360"/>
        </w:sectPr>
      </w:pPr>
    </w:p>
    <w:p>
      <w:pPr>
        <w:pBdr>
          <w:bottom w:val="single" w:color="1B3A5C" w:sz="6"/>
        </w:pBdr>
        <w:spacing w:after="120" w:before="360"/>
      </w:pPr>
      <w:r>
        <w:rPr>
          <w:rFonts w:ascii="Calibri" w:cs="Calibri" w:eastAsia="Calibri" w:hAnsi="Calibri"/>
          <w:b/>
          <w:bCs/>
          <w:color w:val="1B3A5C"/>
          <w:sz w:val="20"/>
          <w:szCs w:val="20"/>
        </w:rPr>
        <w:t xml:space="preserve">Section 1  </w:t>
      </w:r>
      <w:r>
        <w:rPr>
          <w:rFonts w:ascii="Calibri" w:cs="Calibri" w:eastAsia="Calibri" w:hAnsi="Calibri"/>
          <w:b/>
          <w:bCs/>
          <w:color w:val="1B3A5C"/>
          <w:sz w:val="28"/>
          <w:szCs w:val="28"/>
        </w:rPr>
        <w:t xml:space="preserve">Executive Summary &amp; Presidio ROI</w:t>
      </w:r>
    </w:p>
    <w:p>
      <w:pPr>
        <w:spacing w:after="80" w:before="80"/>
      </w:pPr>
    </w:p>
    <w:p>
      <w:pPr>
        <w:spacing w:after="80" w:before="240"/>
      </w:pPr>
      <w:r>
        <w:rPr>
          <w:rFonts w:ascii="Calibri" w:cs="Calibri" w:eastAsia="Calibri" w:hAnsi="Calibri"/>
          <w:b/>
          <w:bCs/>
          <w:color w:val="1C1C1C"/>
          <w:sz w:val="24"/>
          <w:szCs w:val="24"/>
        </w:rPr>
        <w:t xml:space="preserve">The Problem</w:t>
      </w:r>
    </w:p>
    <w:p>
      <w:pPr>
        <w:spacing w:after="60" w:before="60"/>
      </w:pPr>
      <w:r>
        <w:rPr>
          <w:rFonts w:ascii="Calibri" w:cs="Calibri" w:eastAsia="Calibri" w:hAnsi="Calibri"/>
          <w:color w:val="1C1C1C"/>
          <w:sz w:val="21"/>
          <w:szCs w:val="21"/>
        </w:rPr>
        <w:t xml:space="preserve">Presidio manages multi-cloud infrastructure (AWS, Azure, GCP) for thousands of enterprise clients across a 24/7 Network Operations Center. During P1/P2 incidents, L1/L2 NOC engineers spend 30–45 minutes per incident manually correlating CloudWatch logs, Azure Monitor telemetry, APM traces, and recent Git commits to isolate root cause. This diagnostic delay compounds directly into client downtime, SLA penalties, and engineer fatigue.</w:t>
      </w:r>
    </w:p>
    <w:p>
      <w:pPr>
        <w:spacing w:after="80" w:before="80"/>
      </w:pPr>
    </w:p>
    <w:p>
      <w:pPr>
        <w:spacing w:after="80" w:before="240"/>
      </w:pPr>
      <w:r>
        <w:rPr>
          <w:rFonts w:ascii="Calibri" w:cs="Calibri" w:eastAsia="Calibri" w:hAnsi="Calibri"/>
          <w:b/>
          <w:bCs/>
          <w:color w:val="1C1C1C"/>
          <w:sz w:val="24"/>
          <w:szCs w:val="24"/>
        </w:rPr>
        <w:t xml:space="preserve">The Opportunity</w:t>
      </w:r>
    </w:p>
    <w:p>
      <w:pPr>
        <w:spacing w:after="60" w:before="60"/>
      </w:pPr>
      <w:r>
        <w:rPr>
          <w:rFonts w:ascii="Calibri" w:cs="Calibri" w:eastAsia="Calibri" w:hAnsi="Calibri"/>
          <w:color w:val="1C1C1C"/>
          <w:sz w:val="21"/>
          <w:szCs w:val="21"/>
        </w:rPr>
        <w:t xml:space="preserve">Commercial AIOps platforms (Datadog Bits AI, Rootly, incident.io, PagerDuty AIOps) address this pain point but at unsustainable economics for an MSP managing hundreds of client environments. A single Datadog AI SRE seat costs $500–$600/month for just 20 investigations. At Presidio's scale, licensing these tools across the client portfolio would cost $2M–$5M annually—with zero control over model accuracy, data residency, or integration depth.</w:t>
      </w:r>
    </w:p>
    <w:p>
      <w:pPr>
        <w:spacing w:after="80" w:before="80"/>
      </w:pPr>
    </w:p>
    <w:p>
      <w:pPr>
        <w:spacing w:after="80" w:before="240"/>
      </w:pPr>
      <w:r>
        <w:rPr>
          <w:rFonts w:ascii="Calibri" w:cs="Calibri" w:eastAsia="Calibri" w:hAnsi="Calibri"/>
          <w:b/>
          <w:bCs/>
          <w:color w:val="1C1C1C"/>
          <w:sz w:val="24"/>
          <w:szCs w:val="24"/>
        </w:rPr>
        <w:t xml:space="preserve">The Proposal</w:t>
      </w:r>
    </w:p>
    <w:p>
      <w:pPr>
        <w:spacing w:after="60" w:before="60"/>
      </w:pPr>
      <w:r>
        <w:rPr>
          <w:rFonts w:ascii="Calibri" w:cs="Calibri" w:eastAsia="Calibri" w:hAnsi="Calibri"/>
          <w:color w:val="1C1C1C"/>
          <w:sz w:val="21"/>
          <w:szCs w:val="21"/>
        </w:rPr>
        <w:t xml:space="preserve">Build an event-driven, multi-tenant AI Triage Agent as a native Presidio Managed Services plugin. The agent intercepts CloudWatch/Azure Monitor alarms, autonomously correlates logs, metrics, traces, and deployment history across any connected observability platform, and delivers an Incident Triage Brief to the NOC Slack channel within 30 seconds—replacing 30–45 minutes of manual analysis.</w:t>
      </w:r>
    </w:p>
    <w:p>
      <w:pPr>
        <w:spacing w:after="80" w:before="80"/>
      </w:pPr>
    </w:p>
    <w:p>
      <w:pPr>
        <w:spacing w:after="80" w:before="240"/>
      </w:pPr>
      <w:r>
        <w:rPr>
          <w:rFonts w:ascii="Calibri" w:cs="Calibri" w:eastAsia="Calibri" w:hAnsi="Calibri"/>
          <w:b/>
          <w:bCs/>
          <w:color w:val="1C1C1C"/>
          <w:sz w:val="24"/>
          <w:szCs w:val="24"/>
        </w:rPr>
        <w:t xml:space="preserve">Headline ROI Metrics</w:t>
      </w:r>
    </w:p>
    <w:p>
      <w:pPr>
        <w:spacing w:after="100" w:before="100"/>
        <w:ind w:left="360"/>
      </w:pPr>
      <w:r>
        <w:rPr>
          <w:rFonts w:ascii="Calibri" w:cs="Calibri" w:eastAsia="Calibri" w:hAnsi="Calibri"/>
          <w:b/>
          <w:bCs/>
          <w:color w:val="2E8B57"/>
          <w:sz w:val="26"/>
          <w:szCs w:val="26"/>
        </w:rPr>
        <w:t xml:space="preserve">90× MTTR Reduction  </w:t>
      </w:r>
      <w:r>
        <w:rPr>
          <w:rFonts w:ascii="Calibri" w:cs="Calibri" w:eastAsia="Calibri" w:hAnsi="Calibri"/>
          <w:color w:val="1C1C1C"/>
          <w:sz w:val="21"/>
          <w:szCs w:val="21"/>
        </w:rPr>
        <w:t xml:space="preserve">From 45 min manual triage to ~30 seconds autonomous analysis.</w:t>
      </w:r>
    </w:p>
    <w:p>
      <w:pPr>
        <w:spacing w:after="100" w:before="100"/>
        <w:ind w:left="360"/>
      </w:pPr>
      <w:r>
        <w:rPr>
          <w:rFonts w:ascii="Calibri" w:cs="Calibri" w:eastAsia="Calibri" w:hAnsi="Calibri"/>
          <w:b/>
          <w:bCs/>
          <w:color w:val="2E8B57"/>
          <w:sz w:val="26"/>
          <w:szCs w:val="26"/>
        </w:rPr>
        <w:t xml:space="preserve">$1.2M–$2.4M Annual Savings  </w:t>
      </w:r>
      <w:r>
        <w:rPr>
          <w:rFonts w:ascii="Calibri" w:cs="Calibri" w:eastAsia="Calibri" w:hAnsi="Calibri"/>
          <w:color w:val="1C1C1C"/>
          <w:sz w:val="21"/>
          <w:szCs w:val="21"/>
        </w:rPr>
        <w:t xml:space="preserve">Reclaimed L1/L2 engineer hours at 150+ incidents/month (conservative).</w:t>
      </w:r>
    </w:p>
    <w:p>
      <w:pPr>
        <w:spacing w:after="100" w:before="100"/>
        <w:ind w:left="360"/>
      </w:pPr>
      <w:r>
        <w:rPr>
          <w:rFonts w:ascii="Calibri" w:cs="Calibri" w:eastAsia="Calibri" w:hAnsi="Calibri"/>
          <w:b/>
          <w:bCs/>
          <w:color w:val="2E8B57"/>
          <w:sz w:val="26"/>
          <w:szCs w:val="26"/>
        </w:rPr>
        <w:t xml:space="preserve">99.2% Cost Reduction Per Investigation  </w:t>
      </w:r>
      <w:r>
        <w:rPr>
          <w:rFonts w:ascii="Calibri" w:cs="Calibri" w:eastAsia="Calibri" w:hAnsi="Calibri"/>
          <w:color w:val="1C1C1C"/>
          <w:sz w:val="21"/>
          <w:szCs w:val="21"/>
        </w:rPr>
        <w:t xml:space="preserve">From $25–$30 (Datadog) to $0.02–$0.05 (custom API agent).</w:t>
      </w:r>
    </w:p>
    <w:p>
      <w:pPr>
        <w:spacing w:after="100" w:before="100"/>
        <w:ind w:left="360"/>
      </w:pPr>
      <w:r>
        <w:rPr>
          <w:rFonts w:ascii="Calibri" w:cs="Calibri" w:eastAsia="Calibri" w:hAnsi="Calibri"/>
          <w:b/>
          <w:bCs/>
          <w:color w:val="2E8B57"/>
          <w:sz w:val="26"/>
          <w:szCs w:val="26"/>
        </w:rPr>
        <w:t xml:space="preserve">3× NOC Throughput  </w:t>
      </w:r>
      <w:r>
        <w:rPr>
          <w:rFonts w:ascii="Calibri" w:cs="Calibri" w:eastAsia="Calibri" w:hAnsi="Calibri"/>
          <w:color w:val="1C1C1C"/>
          <w:sz w:val="21"/>
          <w:szCs w:val="21"/>
        </w:rPr>
        <w:t xml:space="preserve">Same headcount handles 3× incident volume via AI-augmented first response.</w:t>
      </w:r>
    </w:p>
    <w:p>
      <w:pPr>
        <w:spacing w:after="100" w:before="100"/>
        <w:ind w:left="360"/>
      </w:pPr>
      <w:r>
        <w:rPr>
          <w:rFonts w:ascii="Calibri" w:cs="Calibri" w:eastAsia="Calibri" w:hAnsi="Calibri"/>
          <w:b/>
          <w:bCs/>
          <w:color w:val="2E8B57"/>
          <w:sz w:val="26"/>
          <w:szCs w:val="26"/>
        </w:rPr>
        <w:t xml:space="preserve">Zero New Headcount Required  </w:t>
      </w:r>
      <w:r>
        <w:rPr>
          <w:rFonts w:ascii="Calibri" w:cs="Calibri" w:eastAsia="Calibri" w:hAnsi="Calibri"/>
          <w:color w:val="1C1C1C"/>
          <w:sz w:val="21"/>
          <w:szCs w:val="21"/>
        </w:rPr>
        <w:t xml:space="preserve">Scale NOC capacity through automation, not hiring.</w:t>
      </w:r>
    </w:p>
    <w:p>
      <w:pPr>
        <w:spacing w:after="80" w:before="80"/>
      </w:pPr>
    </w:p>
    <w:p>
      <w:pPr>
        <w:spacing w:after="80" w:before="240"/>
      </w:pPr>
      <w:r>
        <w:rPr>
          <w:rFonts w:ascii="Calibri" w:cs="Calibri" w:eastAsia="Calibri" w:hAnsi="Calibri"/>
          <w:b/>
          <w:bCs/>
          <w:color w:val="1C1C1C"/>
          <w:sz w:val="24"/>
          <w:szCs w:val="24"/>
        </w:rPr>
        <w:t xml:space="preserve">Financial Impact Model (Annual, 100 Client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rPr>
          <w:tblHeader/>
        </w:trPr>
        <w:tc>
          <w:tcPr>
            <w:tcW w:type="dxa" w:w="2800"/>
            <w:shd w:fill="1B3A5C" w:val="clear"/>
            <w:tcMar>
              <w:top w:type="dxa" w:w="40"/>
              <w:left w:type="dxa" w:w="80"/>
              <w:bottom w:type="dxa" w:w="40"/>
              <w:right w:type="dxa" w:w="80"/>
            </w:tcMar>
          </w:tcPr>
          <w:p>
            <w:pPr>
              <w:spacing w:after="40" w:before="40"/>
              <w:jc w:val="left"/>
            </w:pPr>
            <w:r>
              <w:rPr>
                <w:rFonts w:ascii="Calibri" w:cs="Calibri" w:eastAsia="Calibri" w:hAnsi="Calibri"/>
                <w:b/>
                <w:bCs/>
                <w:color w:val="FFFFFF"/>
                <w:sz w:val="19"/>
                <w:szCs w:val="19"/>
              </w:rPr>
              <w:t xml:space="preserve">Metric</w:t>
            </w:r>
          </w:p>
        </w:tc>
        <w:tc>
          <w:tcPr>
            <w:tcW w:type="dxa" w:w="2200"/>
            <w:shd w:fill="1B3A5C" w:val="clear"/>
            <w:tcMar>
              <w:top w:type="dxa" w:w="40"/>
              <w:left w:type="dxa" w:w="80"/>
              <w:bottom w:type="dxa" w:w="40"/>
              <w:right w:type="dxa" w:w="80"/>
            </w:tcMar>
          </w:tcPr>
          <w:p>
            <w:pPr>
              <w:spacing w:after="40" w:before="40"/>
              <w:jc w:val="left"/>
            </w:pPr>
            <w:r>
              <w:rPr>
                <w:rFonts w:ascii="Calibri" w:cs="Calibri" w:eastAsia="Calibri" w:hAnsi="Calibri"/>
                <w:b/>
                <w:bCs/>
                <w:color w:val="FFFFFF"/>
                <w:sz w:val="19"/>
                <w:szCs w:val="19"/>
              </w:rPr>
              <w:t xml:space="preserve">Before (Manual)</w:t>
            </w:r>
          </w:p>
        </w:tc>
        <w:tc>
          <w:tcPr>
            <w:tcW w:type="dxa" w:w="2200"/>
            <w:shd w:fill="1B3A5C" w:val="clear"/>
            <w:tcMar>
              <w:top w:type="dxa" w:w="40"/>
              <w:left w:type="dxa" w:w="80"/>
              <w:bottom w:type="dxa" w:w="40"/>
              <w:right w:type="dxa" w:w="80"/>
            </w:tcMar>
          </w:tcPr>
          <w:p>
            <w:pPr>
              <w:spacing w:after="40" w:before="40"/>
              <w:jc w:val="left"/>
            </w:pPr>
            <w:r>
              <w:rPr>
                <w:rFonts w:ascii="Calibri" w:cs="Calibri" w:eastAsia="Calibri" w:hAnsi="Calibri"/>
                <w:b/>
                <w:bCs/>
                <w:color w:val="FFFFFF"/>
                <w:sz w:val="19"/>
                <w:szCs w:val="19"/>
              </w:rPr>
              <w:t xml:space="preserve">After (AI Agent)</w:t>
            </w:r>
          </w:p>
        </w:tc>
        <w:tc>
          <w:tcPr>
            <w:tcW w:type="dxa" w:w="2160"/>
            <w:shd w:fill="1B3A5C" w:val="clear"/>
            <w:tcMar>
              <w:top w:type="dxa" w:w="40"/>
              <w:left w:type="dxa" w:w="80"/>
              <w:bottom w:type="dxa" w:w="40"/>
              <w:right w:type="dxa" w:w="80"/>
            </w:tcMar>
          </w:tcPr>
          <w:p>
            <w:pPr>
              <w:spacing w:after="40" w:before="40"/>
              <w:jc w:val="left"/>
            </w:pPr>
            <w:r>
              <w:rPr>
                <w:rFonts w:ascii="Calibri" w:cs="Calibri" w:eastAsia="Calibri" w:hAnsi="Calibri"/>
                <w:b/>
                <w:bCs/>
                <w:color w:val="FFFFFF"/>
                <w:sz w:val="19"/>
                <w:szCs w:val="19"/>
              </w:rPr>
              <w:t xml:space="preserve">Delta</w:t>
            </w:r>
          </w:p>
        </w:tc>
      </w:tr>
      <w:tr>
        <w:tc>
          <w:tcPr>
            <w:tcW w:type="dxa" w:w="280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Avg. MTTR (P1/P2)</w:t>
            </w:r>
          </w:p>
        </w:tc>
        <w:tc>
          <w:tcPr>
            <w:tcW w:type="dxa" w:w="220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45 minutes</w:t>
            </w:r>
          </w:p>
        </w:tc>
        <w:tc>
          <w:tcPr>
            <w:tcW w:type="dxa" w:w="220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30 seconds</w:t>
            </w:r>
          </w:p>
        </w:tc>
        <w:tc>
          <w:tcPr>
            <w:tcW w:type="dxa" w:w="216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−44.5 min (98.9%)</w:t>
            </w:r>
          </w:p>
        </w:tc>
      </w:tr>
      <w:tr>
        <w:tc>
          <w:tcPr>
            <w:tcW w:type="dxa" w:w="2800"/>
            <w:shd w:fill="FFFFFF"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Monthly Incidents (est.)</w:t>
            </w:r>
          </w:p>
        </w:tc>
        <w:tc>
          <w:tcPr>
            <w:tcW w:type="dxa" w:w="2200"/>
            <w:shd w:fill="FFFFFF"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1,500</w:t>
            </w:r>
          </w:p>
        </w:tc>
        <w:tc>
          <w:tcPr>
            <w:tcW w:type="dxa" w:w="2200"/>
            <w:shd w:fill="FFFFFF"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1,500</w:t>
            </w:r>
          </w:p>
        </w:tc>
        <w:tc>
          <w:tcPr>
            <w:tcW w:type="dxa" w:w="2160"/>
            <w:shd w:fill="FFFFFF"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w:t>
            </w:r>
          </w:p>
        </w:tc>
      </w:tr>
      <w:tr>
        <w:tc>
          <w:tcPr>
            <w:tcW w:type="dxa" w:w="280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L1/L2 Hours Burned on Triage</w:t>
            </w:r>
          </w:p>
        </w:tc>
        <w:tc>
          <w:tcPr>
            <w:tcW w:type="dxa" w:w="220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1,125 hrs/mo</w:t>
            </w:r>
          </w:p>
        </w:tc>
        <w:tc>
          <w:tcPr>
            <w:tcW w:type="dxa" w:w="220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12.5 hrs/mo</w:t>
            </w:r>
          </w:p>
        </w:tc>
        <w:tc>
          <w:tcPr>
            <w:tcW w:type="dxa" w:w="216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−1,112.5 hrs/mo</w:t>
            </w:r>
          </w:p>
        </w:tc>
      </w:tr>
      <w:tr>
        <w:tc>
          <w:tcPr>
            <w:tcW w:type="dxa" w:w="2800"/>
            <w:shd w:fill="FFFFFF"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Annual Triage Labor Cost</w:t>
            </w:r>
          </w:p>
        </w:tc>
        <w:tc>
          <w:tcPr>
            <w:tcW w:type="dxa" w:w="2200"/>
            <w:shd w:fill="FFFFFF"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$2.7M</w:t>
            </w:r>
          </w:p>
        </w:tc>
        <w:tc>
          <w:tcPr>
            <w:tcW w:type="dxa" w:w="2200"/>
            <w:shd w:fill="FFFFFF"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$30K</w:t>
            </w:r>
          </w:p>
        </w:tc>
        <w:tc>
          <w:tcPr>
            <w:tcW w:type="dxa" w:w="2160"/>
            <w:shd w:fill="FFFFFF"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−$2.67M saved</w:t>
            </w:r>
          </w:p>
        </w:tc>
      </w:tr>
      <w:tr>
        <w:tc>
          <w:tcPr>
            <w:tcW w:type="dxa" w:w="280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SLA Penalty Exposure</w:t>
            </w:r>
          </w:p>
        </w:tc>
        <w:tc>
          <w:tcPr>
            <w:tcW w:type="dxa" w:w="220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$800K–$1.5M/yr</w:t>
            </w:r>
          </w:p>
        </w:tc>
        <w:tc>
          <w:tcPr>
            <w:tcW w:type="dxa" w:w="220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&lt;$50K/yr</w:t>
            </w:r>
          </w:p>
        </w:tc>
        <w:tc>
          <w:tcPr>
            <w:tcW w:type="dxa" w:w="216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−$750K–$1.45M</w:t>
            </w:r>
          </w:p>
        </w:tc>
      </w:tr>
      <w:tr>
        <w:tc>
          <w:tcPr>
            <w:tcW w:type="dxa" w:w="2800"/>
            <w:shd w:fill="FFFFFF"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Tooling Spend (AI SRE)</w:t>
            </w:r>
          </w:p>
        </w:tc>
        <w:tc>
          <w:tcPr>
            <w:tcW w:type="dxa" w:w="2200"/>
            <w:shd w:fill="FFFFFF"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$0 (manual)</w:t>
            </w:r>
          </w:p>
        </w:tc>
        <w:tc>
          <w:tcPr>
            <w:tcW w:type="dxa" w:w="2200"/>
            <w:shd w:fill="FFFFFF"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$3,600/yr (API)</w:t>
            </w:r>
          </w:p>
        </w:tc>
        <w:tc>
          <w:tcPr>
            <w:tcW w:type="dxa" w:w="2160"/>
            <w:shd w:fill="FFFFFF"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vs. $2M+ vendor SaaS</w:t>
            </w:r>
          </w:p>
        </w:tc>
      </w:tr>
    </w:tbl>
    <w:p>
      <w:pPr>
        <w:spacing w:after="80" w:before="80"/>
      </w:pPr>
    </w:p>
    <w:p>
      <w:pPr>
        <w:spacing w:after="60" w:before="60"/>
      </w:pPr>
      <w:r>
        <w:rPr>
          <w:rFonts w:ascii="Calibri" w:cs="Calibri" w:eastAsia="Calibri" w:hAnsi="Calibri"/>
          <w:color w:val="1C1C1C"/>
          <w:sz w:val="21"/>
          <w:szCs w:val="21"/>
        </w:rPr>
        <w:t xml:space="preserve">Conservative assumptions: 150 incidents/month across 100 client accounts, blended L1/L2 rate of $40/hr fully loaded, average 45-minute triage time. Actual savings scale linearly with incident volume and client count.</w:t>
      </w:r>
    </w:p>
    <w:p>
      <w:r>
        <w:br w:type="page"/>
      </w:r>
    </w:p>
    <w:p>
      <w:pPr>
        <w:pBdr>
          <w:bottom w:val="single" w:color="1B3A5C" w:sz="6"/>
        </w:pBdr>
        <w:spacing w:after="120" w:before="360"/>
      </w:pPr>
      <w:r>
        <w:rPr>
          <w:rFonts w:ascii="Calibri" w:cs="Calibri" w:eastAsia="Calibri" w:hAnsi="Calibri"/>
          <w:b/>
          <w:bCs/>
          <w:color w:val="1B3A5C"/>
          <w:sz w:val="20"/>
          <w:szCs w:val="20"/>
        </w:rPr>
        <w:t xml:space="preserve">Section 2  </w:t>
      </w:r>
      <w:r>
        <w:rPr>
          <w:rFonts w:ascii="Calibri" w:cs="Calibri" w:eastAsia="Calibri" w:hAnsi="Calibri"/>
          <w:b/>
          <w:bCs/>
          <w:color w:val="1B3A5C"/>
          <w:sz w:val="28"/>
          <w:szCs w:val="28"/>
        </w:rPr>
        <w:t xml:space="preserve">System Architecture &amp; Workflow</w:t>
      </w:r>
    </w:p>
    <w:p>
      <w:pPr>
        <w:spacing w:after="80" w:before="80"/>
      </w:pPr>
    </w:p>
    <w:p>
      <w:pPr>
        <w:spacing w:after="80" w:before="240"/>
      </w:pPr>
      <w:r>
        <w:rPr>
          <w:rFonts w:ascii="Calibri" w:cs="Calibri" w:eastAsia="Calibri" w:hAnsi="Calibri"/>
          <w:b/>
          <w:bCs/>
          <w:color w:val="1C1C1C"/>
          <w:sz w:val="24"/>
          <w:szCs w:val="24"/>
        </w:rPr>
        <w:t xml:space="preserve">Multi-Tenant Hub-and-Spoke Model</w:t>
      </w:r>
    </w:p>
    <w:p>
      <w:pPr>
        <w:spacing w:after="60" w:before="60"/>
      </w:pPr>
      <w:r>
        <w:rPr>
          <w:rFonts w:ascii="Calibri" w:cs="Calibri" w:eastAsia="Calibri" w:hAnsi="Calibri"/>
          <w:color w:val="1C1C1C"/>
          <w:sz w:val="21"/>
          <w:szCs w:val="21"/>
        </w:rPr>
        <w:t xml:space="preserve">The architecture follows a hub-and-spoke topology purpose-built for managed services at scale. Each client environment operates as an isolated spoke, while Presidio's central Agent Engine orchestrates all AI inference, correlation, and delivery.</w:t>
      </w:r>
    </w:p>
    <w:p>
      <w:pPr>
        <w:spacing w:after="80" w:before="80"/>
      </w:pPr>
    </w:p>
    <w:p>
      <w:pPr>
        <w:spacing w:after="60" w:before="60"/>
      </w:pPr>
      <w:r>
        <w:rPr>
          <w:rFonts w:ascii="Calibri" w:cs="Calibri" w:eastAsia="Calibri" w:hAnsi="Calibri"/>
          <w:b/>
          <w:bCs/>
          <w:color w:val="1C1C1C"/>
          <w:sz w:val="21"/>
          <w:szCs w:val="21"/>
        </w:rPr>
        <w:t xml:space="preserve">SPOKE — Client Cloud Account (AWS / Azure / GCP)</w:t>
      </w:r>
    </w:p>
    <w:p>
      <w:pPr>
        <w:spacing w:after="40" w:before="40"/>
        <w:ind w:left="360"/>
      </w:pPr>
      <w:r>
        <w:rPr>
          <w:rFonts w:ascii="Calibri" w:cs="Calibri" w:eastAsia="Calibri" w:hAnsi="Calibri"/>
          <w:b/>
          <w:bCs/>
          <w:color w:val="1B3A5C"/>
          <w:sz w:val="21"/>
          <w:szCs w:val="21"/>
        </w:rPr>
        <w:t xml:space="preserve">•  </w:t>
      </w:r>
      <w:r>
        <w:rPr>
          <w:rFonts w:ascii="Calibri" w:cs="Calibri" w:eastAsia="Calibri" w:hAnsi="Calibri"/>
          <w:b/>
          <w:bCs/>
          <w:color w:val="1C1C1C"/>
          <w:sz w:val="21"/>
          <w:szCs w:val="21"/>
        </w:rPr>
        <w:t xml:space="preserve">Event Source: </w:t>
      </w:r>
      <w:r>
        <w:rPr>
          <w:rFonts w:ascii="Calibri" w:cs="Calibri" w:eastAsia="Calibri" w:hAnsi="Calibri"/>
          <w:color w:val="1C1C1C"/>
          <w:sz w:val="21"/>
          <w:szCs w:val="21"/>
        </w:rPr>
        <w:t xml:space="preserve">CloudWatch Alarms, Azure Monitor Alerts, or GCP Cloud Monitoring triggers fire on threshold breach.</w:t>
      </w:r>
    </w:p>
    <w:p>
      <w:pPr>
        <w:spacing w:after="40" w:before="40"/>
        <w:ind w:left="360"/>
      </w:pPr>
      <w:r>
        <w:rPr>
          <w:rFonts w:ascii="Calibri" w:cs="Calibri" w:eastAsia="Calibri" w:hAnsi="Calibri"/>
          <w:b/>
          <w:bCs/>
          <w:color w:val="1B3A5C"/>
          <w:sz w:val="21"/>
          <w:szCs w:val="21"/>
        </w:rPr>
        <w:t xml:space="preserve">•  </w:t>
      </w:r>
      <w:r>
        <w:rPr>
          <w:rFonts w:ascii="Calibri" w:cs="Calibri" w:eastAsia="Calibri" w:hAnsi="Calibri"/>
          <w:b/>
          <w:bCs/>
          <w:color w:val="1C1C1C"/>
          <w:sz w:val="21"/>
          <w:szCs w:val="21"/>
        </w:rPr>
        <w:t xml:space="preserve">Auth: </w:t>
      </w:r>
      <w:r>
        <w:rPr>
          <w:rFonts w:ascii="Calibri" w:cs="Calibri" w:eastAsia="Calibri" w:hAnsi="Calibri"/>
          <w:color w:val="1C1C1C"/>
          <w:sz w:val="21"/>
          <w:szCs w:val="21"/>
        </w:rPr>
        <w:t xml:space="preserve">A cross-account IAM role (read-only) grants the Presidio Agent Engine scoped access to CloudWatch Logs, X-Ray traces, CloudTrail audit events, and equivalent Azure/GCP telemetry.</w:t>
      </w:r>
    </w:p>
    <w:p>
      <w:pPr>
        <w:spacing w:after="40" w:before="40"/>
        <w:ind w:left="360"/>
      </w:pPr>
      <w:r>
        <w:rPr>
          <w:rFonts w:ascii="Calibri" w:cs="Calibri" w:eastAsia="Calibri" w:hAnsi="Calibri"/>
          <w:b/>
          <w:bCs/>
          <w:color w:val="1B3A5C"/>
          <w:sz w:val="21"/>
          <w:szCs w:val="21"/>
        </w:rPr>
        <w:t xml:space="preserve">•  </w:t>
      </w:r>
      <w:r>
        <w:rPr>
          <w:rFonts w:ascii="Calibri" w:cs="Calibri" w:eastAsia="Calibri" w:hAnsi="Calibri"/>
          <w:b/>
          <w:bCs/>
          <w:color w:val="1C1C1C"/>
          <w:sz w:val="21"/>
          <w:szCs w:val="21"/>
        </w:rPr>
        <w:t xml:space="preserve">Observability Connectors: </w:t>
      </w:r>
      <w:r>
        <w:rPr>
          <w:rFonts w:ascii="Calibri" w:cs="Calibri" w:eastAsia="Calibri" w:hAnsi="Calibri"/>
          <w:color w:val="1C1C1C"/>
          <w:sz w:val="21"/>
          <w:szCs w:val="21"/>
        </w:rPr>
        <w:t xml:space="preserve">Agent dynamically connects to any observability platform configured per client: Datadog, New Relic, Splunk, Grafana Cloud, Dynatrace, Elastic. Data is pulled based on anomaly time window and trend analysis.</w:t>
      </w:r>
    </w:p>
    <w:p>
      <w:pPr>
        <w:spacing w:after="40" w:before="40"/>
        <w:ind w:left="360"/>
      </w:pPr>
      <w:r>
        <w:rPr>
          <w:rFonts w:ascii="Calibri" w:cs="Calibri" w:eastAsia="Calibri" w:hAnsi="Calibri"/>
          <w:b/>
          <w:bCs/>
          <w:color w:val="1B3A5C"/>
          <w:sz w:val="21"/>
          <w:szCs w:val="21"/>
        </w:rPr>
        <w:t xml:space="preserve">•  </w:t>
      </w:r>
      <w:r>
        <w:rPr>
          <w:rFonts w:ascii="Calibri" w:cs="Calibri" w:eastAsia="Calibri" w:hAnsi="Calibri"/>
          <w:b/>
          <w:bCs/>
          <w:color w:val="1C1C1C"/>
          <w:sz w:val="21"/>
          <w:szCs w:val="21"/>
        </w:rPr>
        <w:t xml:space="preserve">Deployment Context: </w:t>
      </w:r>
      <w:r>
        <w:rPr>
          <w:rFonts w:ascii="Calibri" w:cs="Calibri" w:eastAsia="Calibri" w:hAnsi="Calibri"/>
          <w:color w:val="1C1C1C"/>
          <w:sz w:val="21"/>
          <w:szCs w:val="21"/>
        </w:rPr>
        <w:t xml:space="preserve">Git integration (GitHub, GitLab, Bitbucket) pulls commits, deployments, and CI/CD pipeline status within the anomaly time window.</w:t>
      </w:r>
    </w:p>
    <w:p>
      <w:pPr>
        <w:spacing w:after="80" w:before="80"/>
      </w:pPr>
    </w:p>
    <w:p>
      <w:pPr>
        <w:spacing w:after="60" w:before="60"/>
      </w:pPr>
      <w:r>
        <w:rPr>
          <w:rFonts w:ascii="Calibri" w:cs="Calibri" w:eastAsia="Calibri" w:hAnsi="Calibri"/>
          <w:b/>
          <w:bCs/>
          <w:color w:val="1C1C1C"/>
          <w:sz w:val="21"/>
          <w:szCs w:val="21"/>
        </w:rPr>
        <w:t xml:space="preserve">HUB — Presidio Agent Engine (Centralized)</w:t>
      </w:r>
    </w:p>
    <w:p>
      <w:pPr>
        <w:spacing w:after="40" w:before="40"/>
        <w:ind w:left="360"/>
      </w:pPr>
      <w:r>
        <w:rPr>
          <w:rFonts w:ascii="Calibri" w:cs="Calibri" w:eastAsia="Calibri" w:hAnsi="Calibri"/>
          <w:b/>
          <w:bCs/>
          <w:color w:val="1B3A5C"/>
          <w:sz w:val="21"/>
          <w:szCs w:val="21"/>
        </w:rPr>
        <w:t xml:space="preserve">•  </w:t>
      </w:r>
      <w:r>
        <w:rPr>
          <w:rFonts w:ascii="Calibri" w:cs="Calibri" w:eastAsia="Calibri" w:hAnsi="Calibri"/>
          <w:b/>
          <w:bCs/>
          <w:color w:val="1C1C1C"/>
          <w:sz w:val="21"/>
          <w:szCs w:val="21"/>
        </w:rPr>
        <w:t xml:space="preserve">Ingestion Layer: </w:t>
      </w:r>
      <w:r>
        <w:rPr>
          <w:rFonts w:ascii="Calibri" w:cs="Calibri" w:eastAsia="Calibri" w:hAnsi="Calibri"/>
          <w:color w:val="1C1C1C"/>
          <w:sz w:val="21"/>
          <w:szCs w:val="21"/>
        </w:rPr>
        <w:t xml:space="preserve">An EventBridge rule (AWS) or Event Grid subscription (Azure) forwards alarm payloads to a central SQS/Service Bus queue.</w:t>
      </w:r>
    </w:p>
    <w:p>
      <w:pPr>
        <w:spacing w:after="40" w:before="40"/>
        <w:ind w:left="360"/>
      </w:pPr>
      <w:r>
        <w:rPr>
          <w:rFonts w:ascii="Calibri" w:cs="Calibri" w:eastAsia="Calibri" w:hAnsi="Calibri"/>
          <w:b/>
          <w:bCs/>
          <w:color w:val="1B3A5C"/>
          <w:sz w:val="21"/>
          <w:szCs w:val="21"/>
        </w:rPr>
        <w:t xml:space="preserve">•  </w:t>
      </w:r>
      <w:r>
        <w:rPr>
          <w:rFonts w:ascii="Calibri" w:cs="Calibri" w:eastAsia="Calibri" w:hAnsi="Calibri"/>
          <w:b/>
          <w:bCs/>
          <w:color w:val="1C1C1C"/>
          <w:sz w:val="21"/>
          <w:szCs w:val="21"/>
        </w:rPr>
        <w:t xml:space="preserve">Orchestration: </w:t>
      </w:r>
      <w:r>
        <w:rPr>
          <w:rFonts w:ascii="Calibri" w:cs="Calibri" w:eastAsia="Calibri" w:hAnsi="Calibri"/>
          <w:color w:val="1C1C1C"/>
          <w:sz w:val="21"/>
          <w:szCs w:val="21"/>
        </w:rPr>
        <w:t xml:space="preserve">A Step Functions / Durable Functions orchestrator fans out parallel data retrieval: logs, metrics, traces, recent commits, infrastructure change events.</w:t>
      </w:r>
    </w:p>
    <w:p>
      <w:pPr>
        <w:spacing w:after="40" w:before="40"/>
        <w:ind w:left="360"/>
      </w:pPr>
      <w:r>
        <w:rPr>
          <w:rFonts w:ascii="Calibri" w:cs="Calibri" w:eastAsia="Calibri" w:hAnsi="Calibri"/>
          <w:b/>
          <w:bCs/>
          <w:color w:val="1B3A5C"/>
          <w:sz w:val="21"/>
          <w:szCs w:val="21"/>
        </w:rPr>
        <w:t xml:space="preserve">•  </w:t>
      </w:r>
      <w:r>
        <w:rPr>
          <w:rFonts w:ascii="Calibri" w:cs="Calibri" w:eastAsia="Calibri" w:hAnsi="Calibri"/>
          <w:b/>
          <w:bCs/>
          <w:color w:val="1C1C1C"/>
          <w:sz w:val="21"/>
          <w:szCs w:val="21"/>
        </w:rPr>
        <w:t xml:space="preserve">AI Inference: </w:t>
      </w:r>
      <w:r>
        <w:rPr>
          <w:rFonts w:ascii="Calibri" w:cs="Calibri" w:eastAsia="Calibri" w:hAnsi="Calibri"/>
          <w:color w:val="1C1C1C"/>
          <w:sz w:val="21"/>
          <w:szCs w:val="21"/>
        </w:rPr>
        <w:t xml:space="preserve">Filtered, tokenized context (never raw PII) is assembled into a structured prompt. The agent runs multi-hypothesis reasoning against the correlated evidence using Claude Sonnet 3.5 / Gemini 1.5 Flash / GPT-4o-mini with prompt caching enabled.</w:t>
      </w:r>
    </w:p>
    <w:p>
      <w:pPr>
        <w:spacing w:after="40" w:before="40"/>
        <w:ind w:left="360"/>
      </w:pPr>
      <w:r>
        <w:rPr>
          <w:rFonts w:ascii="Calibri" w:cs="Calibri" w:eastAsia="Calibri" w:hAnsi="Calibri"/>
          <w:b/>
          <w:bCs/>
          <w:color w:val="1B3A5C"/>
          <w:sz w:val="21"/>
          <w:szCs w:val="21"/>
        </w:rPr>
        <w:t xml:space="preserve">•  </w:t>
      </w:r>
      <w:r>
        <w:rPr>
          <w:rFonts w:ascii="Calibri" w:cs="Calibri" w:eastAsia="Calibri" w:hAnsi="Calibri"/>
          <w:b/>
          <w:bCs/>
          <w:color w:val="1C1C1C"/>
          <w:sz w:val="21"/>
          <w:szCs w:val="21"/>
        </w:rPr>
        <w:t xml:space="preserve">Tenant Isolation: </w:t>
      </w:r>
      <w:r>
        <w:rPr>
          <w:rFonts w:ascii="Calibri" w:cs="Calibri" w:eastAsia="Calibri" w:hAnsi="Calibri"/>
          <w:color w:val="1C1C1C"/>
          <w:sz w:val="21"/>
          <w:szCs w:val="21"/>
        </w:rPr>
        <w:t xml:space="preserve">The engine isolates each client's data using tenant-scoped encryption keys and ephemeral processing—no cross-tenant data leakage.</w:t>
      </w:r>
    </w:p>
    <w:p>
      <w:pPr>
        <w:spacing w:after="80" w:before="80"/>
      </w:pPr>
    </w:p>
    <w:p>
      <w:pPr>
        <w:spacing w:after="60" w:before="60"/>
      </w:pPr>
      <w:r>
        <w:rPr>
          <w:rFonts w:ascii="Calibri" w:cs="Calibri" w:eastAsia="Calibri" w:hAnsi="Calibri"/>
          <w:b/>
          <w:bCs/>
          <w:color w:val="1C1C1C"/>
          <w:sz w:val="21"/>
          <w:szCs w:val="21"/>
        </w:rPr>
        <w:t xml:space="preserve">OUTPUT — Centralized Slack Operations Hub</w:t>
      </w:r>
    </w:p>
    <w:p>
      <w:pPr>
        <w:spacing w:after="40" w:before="40"/>
        <w:ind w:left="360"/>
      </w:pPr>
      <w:r>
        <w:rPr>
          <w:rFonts w:ascii="Calibri" w:cs="Calibri" w:eastAsia="Calibri" w:hAnsi="Calibri"/>
          <w:b/>
          <w:bCs/>
          <w:color w:val="1B3A5C"/>
          <w:sz w:val="21"/>
          <w:szCs w:val="21"/>
        </w:rPr>
        <w:t xml:space="preserve">•  </w:t>
      </w:r>
      <w:r>
        <w:rPr>
          <w:rFonts w:ascii="Calibri" w:cs="Calibri" w:eastAsia="Calibri" w:hAnsi="Calibri"/>
          <w:b/>
          <w:bCs/>
          <w:color w:val="1C1C1C"/>
          <w:sz w:val="21"/>
          <w:szCs w:val="21"/>
        </w:rPr>
        <w:t xml:space="preserve">Delivery: </w:t>
      </w:r>
      <w:r>
        <w:rPr>
          <w:rFonts w:ascii="Calibri" w:cs="Calibri" w:eastAsia="Calibri" w:hAnsi="Calibri"/>
          <w:color w:val="1C1C1C"/>
          <w:sz w:val="21"/>
          <w:szCs w:val="21"/>
        </w:rPr>
        <w:t xml:space="preserve">The agent posts a structured Incident Triage Brief to the client-specific NOC Slack channel.</w:t>
      </w:r>
    </w:p>
    <w:p>
      <w:pPr>
        <w:spacing w:after="40" w:before="40"/>
        <w:ind w:left="360"/>
      </w:pPr>
      <w:r>
        <w:rPr>
          <w:rFonts w:ascii="Calibri" w:cs="Calibri" w:eastAsia="Calibri" w:hAnsi="Calibri"/>
          <w:b/>
          <w:bCs/>
          <w:color w:val="1B3A5C"/>
          <w:sz w:val="21"/>
          <w:szCs w:val="21"/>
        </w:rPr>
        <w:t xml:space="preserve">•  </w:t>
      </w:r>
      <w:r>
        <w:rPr>
          <w:rFonts w:ascii="Calibri" w:cs="Calibri" w:eastAsia="Calibri" w:hAnsi="Calibri"/>
          <w:b/>
          <w:bCs/>
          <w:color w:val="1C1C1C"/>
          <w:sz w:val="21"/>
          <w:szCs w:val="21"/>
        </w:rPr>
        <w:t xml:space="preserve">Brief Contents: </w:t>
      </w:r>
      <w:r>
        <w:rPr>
          <w:rFonts w:ascii="Calibri" w:cs="Calibri" w:eastAsia="Calibri" w:hAnsi="Calibri"/>
          <w:color w:val="1C1C1C"/>
          <w:sz w:val="21"/>
          <w:szCs w:val="21"/>
        </w:rPr>
        <w:t xml:space="preserve">Brief includes: probable root cause (ranked hypotheses), supporting evidence chain (log excerpts, metric graphs, suspect commit), estimated financial impact (e.g., auto-scaling burn rate), and severity classification.</w:t>
      </w:r>
    </w:p>
    <w:p>
      <w:pPr>
        <w:spacing w:after="40" w:before="40"/>
        <w:ind w:left="360"/>
      </w:pPr>
      <w:r>
        <w:rPr>
          <w:rFonts w:ascii="Calibri" w:cs="Calibri" w:eastAsia="Calibri" w:hAnsi="Calibri"/>
          <w:b/>
          <w:bCs/>
          <w:color w:val="1B3A5C"/>
          <w:sz w:val="21"/>
          <w:szCs w:val="21"/>
        </w:rPr>
        <w:t xml:space="preserve">•  </w:t>
      </w:r>
      <w:r>
        <w:rPr>
          <w:rFonts w:ascii="Calibri" w:cs="Calibri" w:eastAsia="Calibri" w:hAnsi="Calibri"/>
          <w:b/>
          <w:bCs/>
          <w:color w:val="1C1C1C"/>
          <w:sz w:val="21"/>
          <w:szCs w:val="21"/>
        </w:rPr>
        <w:t xml:space="preserve">Remediation: </w:t>
      </w:r>
      <w:r>
        <w:rPr>
          <w:rFonts w:ascii="Calibri" w:cs="Calibri" w:eastAsia="Calibri" w:hAnsi="Calibri"/>
          <w:color w:val="1C1C1C"/>
          <w:sz w:val="21"/>
          <w:szCs w:val="21"/>
        </w:rPr>
        <w:t xml:space="preserve">A 1-Click Dry-Run Remediation button allows the on-call engineer to preview a Terraform plan or CLI command. Execution requires explicit human approval—no autonomous remediation without operator confirmation.</w:t>
      </w:r>
    </w:p>
    <w:p>
      <w:pPr>
        <w:spacing w:after="80" w:before="80"/>
      </w:pPr>
    </w:p>
    <w:p>
      <w:pPr>
        <w:spacing w:after="80" w:before="240"/>
      </w:pPr>
      <w:r>
        <w:rPr>
          <w:rFonts w:ascii="Calibri" w:cs="Calibri" w:eastAsia="Calibri" w:hAnsi="Calibri"/>
          <w:b/>
          <w:bCs/>
          <w:color w:val="1C1C1C"/>
          <w:sz w:val="24"/>
          <w:szCs w:val="24"/>
        </w:rPr>
        <w:t xml:space="preserve">Data Flow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800"/>
        <w:gridCol w:w="2160"/>
      </w:tblGrid>
      <w:tr>
        <w:trPr>
          <w:tblHeader/>
        </w:trPr>
        <w:tc>
          <w:tcPr>
            <w:tcW w:type="dxa" w:w="1200"/>
            <w:shd w:fill="1B3A5C" w:val="clear"/>
            <w:tcMar>
              <w:top w:type="dxa" w:w="40"/>
              <w:left w:type="dxa" w:w="80"/>
              <w:bottom w:type="dxa" w:w="40"/>
              <w:right w:type="dxa" w:w="80"/>
            </w:tcMar>
          </w:tcPr>
          <w:p>
            <w:pPr>
              <w:spacing w:after="40" w:before="40"/>
              <w:jc w:val="left"/>
            </w:pPr>
            <w:r>
              <w:rPr>
                <w:rFonts w:ascii="Calibri" w:cs="Calibri" w:eastAsia="Calibri" w:hAnsi="Calibri"/>
                <w:b/>
                <w:bCs/>
                <w:color w:val="FFFFFF"/>
                <w:sz w:val="19"/>
                <w:szCs w:val="19"/>
              </w:rPr>
              <w:t xml:space="preserve">Stage</w:t>
            </w:r>
          </w:p>
        </w:tc>
        <w:tc>
          <w:tcPr>
            <w:tcW w:type="dxa" w:w="2200"/>
            <w:shd w:fill="1B3A5C" w:val="clear"/>
            <w:tcMar>
              <w:top w:type="dxa" w:w="40"/>
              <w:left w:type="dxa" w:w="80"/>
              <w:bottom w:type="dxa" w:w="40"/>
              <w:right w:type="dxa" w:w="80"/>
            </w:tcMar>
          </w:tcPr>
          <w:p>
            <w:pPr>
              <w:spacing w:after="40" w:before="40"/>
              <w:jc w:val="left"/>
            </w:pPr>
            <w:r>
              <w:rPr>
                <w:rFonts w:ascii="Calibri" w:cs="Calibri" w:eastAsia="Calibri" w:hAnsi="Calibri"/>
                <w:b/>
                <w:bCs/>
                <w:color w:val="FFFFFF"/>
                <w:sz w:val="19"/>
                <w:szCs w:val="19"/>
              </w:rPr>
              <w:t xml:space="preserve">Component</w:t>
            </w:r>
          </w:p>
        </w:tc>
        <w:tc>
          <w:tcPr>
            <w:tcW w:type="dxa" w:w="3800"/>
            <w:shd w:fill="1B3A5C" w:val="clear"/>
            <w:tcMar>
              <w:top w:type="dxa" w:w="40"/>
              <w:left w:type="dxa" w:w="80"/>
              <w:bottom w:type="dxa" w:w="40"/>
              <w:right w:type="dxa" w:w="80"/>
            </w:tcMar>
          </w:tcPr>
          <w:p>
            <w:pPr>
              <w:spacing w:after="40" w:before="40"/>
              <w:jc w:val="left"/>
            </w:pPr>
            <w:r>
              <w:rPr>
                <w:rFonts w:ascii="Calibri" w:cs="Calibri" w:eastAsia="Calibri" w:hAnsi="Calibri"/>
                <w:b/>
                <w:bCs/>
                <w:color w:val="FFFFFF"/>
                <w:sz w:val="19"/>
                <w:szCs w:val="19"/>
              </w:rPr>
              <w:t xml:space="preserve">Action</w:t>
            </w:r>
          </w:p>
        </w:tc>
        <w:tc>
          <w:tcPr>
            <w:tcW w:type="dxa" w:w="2160"/>
            <w:shd w:fill="1B3A5C" w:val="clear"/>
            <w:tcMar>
              <w:top w:type="dxa" w:w="40"/>
              <w:left w:type="dxa" w:w="80"/>
              <w:bottom w:type="dxa" w:w="40"/>
              <w:right w:type="dxa" w:w="80"/>
            </w:tcMar>
          </w:tcPr>
          <w:p>
            <w:pPr>
              <w:spacing w:after="40" w:before="40"/>
              <w:jc w:val="left"/>
            </w:pPr>
            <w:r>
              <w:rPr>
                <w:rFonts w:ascii="Calibri" w:cs="Calibri" w:eastAsia="Calibri" w:hAnsi="Calibri"/>
                <w:b/>
                <w:bCs/>
                <w:color w:val="FFFFFF"/>
                <w:sz w:val="19"/>
                <w:szCs w:val="19"/>
              </w:rPr>
              <w:t xml:space="preserve">Latency</w:t>
            </w:r>
          </w:p>
        </w:tc>
      </w:tr>
      <w:tr>
        <w:tc>
          <w:tcPr>
            <w:tcW w:type="dxa" w:w="120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1. Trigger</w:t>
            </w:r>
          </w:p>
        </w:tc>
        <w:tc>
          <w:tcPr>
            <w:tcW w:type="dxa" w:w="220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CloudWatch / Azure Monitor</w:t>
            </w:r>
          </w:p>
        </w:tc>
        <w:tc>
          <w:tcPr>
            <w:tcW w:type="dxa" w:w="380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Alarm fires, payload forwarded via EventBridge</w:t>
            </w:r>
          </w:p>
        </w:tc>
        <w:tc>
          <w:tcPr>
            <w:tcW w:type="dxa" w:w="216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&lt;1 sec</w:t>
            </w:r>
          </w:p>
        </w:tc>
      </w:tr>
      <w:tr>
        <w:tc>
          <w:tcPr>
            <w:tcW w:type="dxa" w:w="1200"/>
            <w:shd w:fill="FFFFFF"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2. Ingest</w:t>
            </w:r>
          </w:p>
        </w:tc>
        <w:tc>
          <w:tcPr>
            <w:tcW w:type="dxa" w:w="2200"/>
            <w:shd w:fill="FFFFFF"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SQS Queue + Lambda Router</w:t>
            </w:r>
          </w:p>
        </w:tc>
        <w:tc>
          <w:tcPr>
            <w:tcW w:type="dxa" w:w="3800"/>
            <w:shd w:fill="FFFFFF"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Route to correct tenant pipeline</w:t>
            </w:r>
          </w:p>
        </w:tc>
        <w:tc>
          <w:tcPr>
            <w:tcW w:type="dxa" w:w="2160"/>
            <w:shd w:fill="FFFFFF"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&lt;2 sec</w:t>
            </w:r>
          </w:p>
        </w:tc>
      </w:tr>
      <w:tr>
        <w:tc>
          <w:tcPr>
            <w:tcW w:type="dxa" w:w="120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3. Gather</w:t>
            </w:r>
          </w:p>
        </w:tc>
        <w:tc>
          <w:tcPr>
            <w:tcW w:type="dxa" w:w="220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Parallel Retrievers (5 workers)</w:t>
            </w:r>
          </w:p>
        </w:tc>
        <w:tc>
          <w:tcPr>
            <w:tcW w:type="dxa" w:w="380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Pull logs, metrics, traces, commits, infra changes</w:t>
            </w:r>
          </w:p>
        </w:tc>
        <w:tc>
          <w:tcPr>
            <w:tcW w:type="dxa" w:w="216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5–10 sec</w:t>
            </w:r>
          </w:p>
        </w:tc>
      </w:tr>
      <w:tr>
        <w:tc>
          <w:tcPr>
            <w:tcW w:type="dxa" w:w="1200"/>
            <w:shd w:fill="FFFFFF"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4. Filter</w:t>
            </w:r>
          </w:p>
        </w:tc>
        <w:tc>
          <w:tcPr>
            <w:tcW w:type="dxa" w:w="2200"/>
            <w:shd w:fill="FFFFFF"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Context Builder</w:t>
            </w:r>
          </w:p>
        </w:tc>
        <w:tc>
          <w:tcPr>
            <w:tcW w:type="dxa" w:w="3800"/>
            <w:shd w:fill="FFFFFF"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Extract relevant snippets, strip PII, tokenize</w:t>
            </w:r>
          </w:p>
        </w:tc>
        <w:tc>
          <w:tcPr>
            <w:tcW w:type="dxa" w:w="2160"/>
            <w:shd w:fill="FFFFFF"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2–3 sec</w:t>
            </w:r>
          </w:p>
        </w:tc>
      </w:tr>
      <w:tr>
        <w:tc>
          <w:tcPr>
            <w:tcW w:type="dxa" w:w="120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5. Reason</w:t>
            </w:r>
          </w:p>
        </w:tc>
        <w:tc>
          <w:tcPr>
            <w:tcW w:type="dxa" w:w="220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LLM Inference (cached)</w:t>
            </w:r>
          </w:p>
        </w:tc>
        <w:tc>
          <w:tcPr>
            <w:tcW w:type="dxa" w:w="380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Multi-hypothesis root cause analysis</w:t>
            </w:r>
          </w:p>
        </w:tc>
        <w:tc>
          <w:tcPr>
            <w:tcW w:type="dxa" w:w="216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5–12 sec</w:t>
            </w:r>
          </w:p>
        </w:tc>
      </w:tr>
      <w:tr>
        <w:tc>
          <w:tcPr>
            <w:tcW w:type="dxa" w:w="1200"/>
            <w:shd w:fill="FFFFFF"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6. Deliver</w:t>
            </w:r>
          </w:p>
        </w:tc>
        <w:tc>
          <w:tcPr>
            <w:tcW w:type="dxa" w:w="2200"/>
            <w:shd w:fill="FFFFFF"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Slack Bot API</w:t>
            </w:r>
          </w:p>
        </w:tc>
        <w:tc>
          <w:tcPr>
            <w:tcW w:type="dxa" w:w="3800"/>
            <w:shd w:fill="FFFFFF"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Post Incident Triage Brief with action buttons</w:t>
            </w:r>
          </w:p>
        </w:tc>
        <w:tc>
          <w:tcPr>
            <w:tcW w:type="dxa" w:w="2160"/>
            <w:shd w:fill="FFFFFF"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&lt;1 sec</w:t>
            </w:r>
          </w:p>
        </w:tc>
      </w:tr>
    </w:tbl>
    <w:p>
      <w:pPr>
        <w:spacing w:after="60" w:before="60"/>
      </w:pPr>
      <w:r>
        <w:rPr>
          <w:rFonts w:ascii="Calibri" w:cs="Calibri" w:eastAsia="Calibri" w:hAnsi="Calibri"/>
          <w:color w:val="1C1C1C"/>
          <w:sz w:val="21"/>
          <w:szCs w:val="21"/>
        </w:rPr>
        <w:t xml:space="preserve">End-to-end latency target: &lt;30 seconds from alarm trigger to Slack delivery.</w:t>
      </w:r>
    </w:p>
    <w:p>
      <w:r>
        <w:br w:type="page"/>
      </w:r>
    </w:p>
    <w:p>
      <w:pPr>
        <w:pBdr>
          <w:bottom w:val="single" w:color="1B3A5C" w:sz="6"/>
        </w:pBdr>
        <w:spacing w:after="120" w:before="360"/>
      </w:pPr>
      <w:r>
        <w:rPr>
          <w:rFonts w:ascii="Calibri" w:cs="Calibri" w:eastAsia="Calibri" w:hAnsi="Calibri"/>
          <w:b/>
          <w:bCs/>
          <w:color w:val="1B3A5C"/>
          <w:sz w:val="20"/>
          <w:szCs w:val="20"/>
        </w:rPr>
        <w:t xml:space="preserve">Section 3  </w:t>
      </w:r>
      <w:r>
        <w:rPr>
          <w:rFonts w:ascii="Calibri" w:cs="Calibri" w:eastAsia="Calibri" w:hAnsi="Calibri"/>
          <w:b/>
          <w:bCs/>
          <w:color w:val="1B3A5C"/>
          <w:sz w:val="28"/>
          <w:szCs w:val="28"/>
        </w:rPr>
        <w:t xml:space="preserve">Cost Breakdown &amp; AI Competitor Comparison</w:t>
      </w:r>
    </w:p>
    <w:p>
      <w:pPr>
        <w:spacing w:after="80" w:before="80"/>
      </w:pPr>
    </w:p>
    <w:p>
      <w:pPr>
        <w:spacing w:after="80" w:before="240"/>
      </w:pPr>
      <w:r>
        <w:rPr>
          <w:rFonts w:ascii="Calibri" w:cs="Calibri" w:eastAsia="Calibri" w:hAnsi="Calibri"/>
          <w:b/>
          <w:bCs/>
          <w:color w:val="1C1C1C"/>
          <w:sz w:val="24"/>
          <w:szCs w:val="24"/>
        </w:rPr>
        <w:t xml:space="preserve">Unit Economics: The Core Argument</w:t>
      </w:r>
    </w:p>
    <w:p>
      <w:pPr>
        <w:spacing w:after="60" w:before="60"/>
      </w:pPr>
      <w:r>
        <w:rPr>
          <w:rFonts w:ascii="Calibri" w:cs="Calibri" w:eastAsia="Calibri" w:hAnsi="Calibri"/>
          <w:color w:val="1C1C1C"/>
          <w:sz w:val="21"/>
          <w:szCs w:val="21"/>
        </w:rPr>
        <w:t xml:space="preserve">The Presidio custom agent achieves a 99%+ cost reduction per investigation compared to commercial AI SRE platforms. This is not a marginal improvement—it is a structural economic advantage that makes AI-assisted triage viable at MSP scale for the first time.</w:t>
      </w:r>
    </w:p>
    <w:p>
      <w:pPr>
        <w:spacing w:after="80" w:before="80"/>
      </w:pPr>
    </w:p>
    <w:p>
      <w:pPr>
        <w:spacing w:after="80" w:before="240"/>
      </w:pPr>
      <w:r>
        <w:rPr>
          <w:rFonts w:ascii="Calibri" w:cs="Calibri" w:eastAsia="Calibri" w:hAnsi="Calibri"/>
          <w:b/>
          <w:bCs/>
          <w:color w:val="1C1C1C"/>
          <w:sz w:val="24"/>
          <w:szCs w:val="24"/>
        </w:rPr>
        <w:t xml:space="preserve">Per-Investigation Cost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960"/>
        <w:gridCol w:w="1800"/>
      </w:tblGrid>
      <w:tr>
        <w:trPr>
          <w:tblHeader/>
        </w:trPr>
        <w:tc>
          <w:tcPr>
            <w:tcW w:type="dxa" w:w="2000"/>
            <w:shd w:fill="1B3A5C" w:val="clear"/>
            <w:tcMar>
              <w:top w:type="dxa" w:w="40"/>
              <w:left w:type="dxa" w:w="80"/>
              <w:bottom w:type="dxa" w:w="40"/>
              <w:right w:type="dxa" w:w="80"/>
            </w:tcMar>
          </w:tcPr>
          <w:p>
            <w:pPr>
              <w:spacing w:after="40" w:before="40"/>
              <w:jc w:val="left"/>
            </w:pPr>
            <w:r>
              <w:rPr>
                <w:rFonts w:ascii="Calibri" w:cs="Calibri" w:eastAsia="Calibri" w:hAnsi="Calibri"/>
                <w:b/>
                <w:bCs/>
                <w:color w:val="FFFFFF"/>
                <w:sz w:val="19"/>
                <w:szCs w:val="19"/>
              </w:rPr>
              <w:t xml:space="preserve">Platform</w:t>
            </w:r>
          </w:p>
        </w:tc>
        <w:tc>
          <w:tcPr>
            <w:tcW w:type="dxa" w:w="1800"/>
            <w:shd w:fill="1B3A5C" w:val="clear"/>
            <w:tcMar>
              <w:top w:type="dxa" w:w="40"/>
              <w:left w:type="dxa" w:w="80"/>
              <w:bottom w:type="dxa" w:w="40"/>
              <w:right w:type="dxa" w:w="80"/>
            </w:tcMar>
          </w:tcPr>
          <w:p>
            <w:pPr>
              <w:spacing w:after="40" w:before="40"/>
              <w:jc w:val="left"/>
            </w:pPr>
            <w:r>
              <w:rPr>
                <w:rFonts w:ascii="Calibri" w:cs="Calibri" w:eastAsia="Calibri" w:hAnsi="Calibri"/>
                <w:b/>
                <w:bCs/>
                <w:color w:val="FFFFFF"/>
                <w:sz w:val="19"/>
                <w:szCs w:val="19"/>
              </w:rPr>
              <w:t xml:space="preserve">Cost Per Investigation</w:t>
            </w:r>
          </w:p>
        </w:tc>
        <w:tc>
          <w:tcPr>
            <w:tcW w:type="dxa" w:w="1800"/>
            <w:shd w:fill="1B3A5C" w:val="clear"/>
            <w:tcMar>
              <w:top w:type="dxa" w:w="40"/>
              <w:left w:type="dxa" w:w="80"/>
              <w:bottom w:type="dxa" w:w="40"/>
              <w:right w:type="dxa" w:w="80"/>
            </w:tcMar>
          </w:tcPr>
          <w:p>
            <w:pPr>
              <w:spacing w:after="40" w:before="40"/>
              <w:jc w:val="left"/>
            </w:pPr>
            <w:r>
              <w:rPr>
                <w:rFonts w:ascii="Calibri" w:cs="Calibri" w:eastAsia="Calibri" w:hAnsi="Calibri"/>
                <w:b/>
                <w:bCs/>
                <w:color w:val="FFFFFF"/>
                <w:sz w:val="19"/>
                <w:szCs w:val="19"/>
              </w:rPr>
              <w:t xml:space="preserve">Monthly (20 inv.)</w:t>
            </w:r>
          </w:p>
        </w:tc>
        <w:tc>
          <w:tcPr>
            <w:tcW w:type="dxa" w:w="1960"/>
            <w:shd w:fill="1B3A5C" w:val="clear"/>
            <w:tcMar>
              <w:top w:type="dxa" w:w="40"/>
              <w:left w:type="dxa" w:w="80"/>
              <w:bottom w:type="dxa" w:w="40"/>
              <w:right w:type="dxa" w:w="80"/>
            </w:tcMar>
          </w:tcPr>
          <w:p>
            <w:pPr>
              <w:spacing w:after="40" w:before="40"/>
              <w:jc w:val="left"/>
            </w:pPr>
            <w:r>
              <w:rPr>
                <w:rFonts w:ascii="Calibri" w:cs="Calibri" w:eastAsia="Calibri" w:hAnsi="Calibri"/>
                <w:b/>
                <w:bCs/>
                <w:color w:val="FFFFFF"/>
                <w:sz w:val="19"/>
                <w:szCs w:val="19"/>
              </w:rPr>
              <w:t xml:space="preserve">Monthly (150 inv.)</w:t>
            </w:r>
          </w:p>
        </w:tc>
        <w:tc>
          <w:tcPr>
            <w:tcW w:type="dxa" w:w="1800"/>
            <w:shd w:fill="1B3A5C" w:val="clear"/>
            <w:tcMar>
              <w:top w:type="dxa" w:w="40"/>
              <w:left w:type="dxa" w:w="80"/>
              <w:bottom w:type="dxa" w:w="40"/>
              <w:right w:type="dxa" w:w="80"/>
            </w:tcMar>
          </w:tcPr>
          <w:p>
            <w:pPr>
              <w:spacing w:after="40" w:before="40"/>
              <w:jc w:val="left"/>
            </w:pPr>
            <w:r>
              <w:rPr>
                <w:rFonts w:ascii="Calibri" w:cs="Calibri" w:eastAsia="Calibri" w:hAnsi="Calibri"/>
                <w:b/>
                <w:bCs/>
                <w:color w:val="FFFFFF"/>
                <w:sz w:val="19"/>
                <w:szCs w:val="19"/>
              </w:rPr>
              <w:t xml:space="preserve">Annual (1,800 inv.)</w:t>
            </w:r>
          </w:p>
        </w:tc>
      </w:tr>
      <w:tr>
        <w:tc>
          <w:tcPr>
            <w:tcW w:type="dxa" w:w="200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Datadog Bits AI SRE</w:t>
            </w:r>
          </w:p>
        </w:tc>
        <w:tc>
          <w:tcPr>
            <w:tcW w:type="dxa" w:w="180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$25–$30</w:t>
            </w:r>
          </w:p>
        </w:tc>
        <w:tc>
          <w:tcPr>
            <w:tcW w:type="dxa" w:w="180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$500–$600</w:t>
            </w:r>
          </w:p>
        </w:tc>
        <w:tc>
          <w:tcPr>
            <w:tcW w:type="dxa" w:w="196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$3,750–$4,500</w:t>
            </w:r>
          </w:p>
        </w:tc>
        <w:tc>
          <w:tcPr>
            <w:tcW w:type="dxa" w:w="180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$45,000–$54,000</w:t>
            </w:r>
          </w:p>
        </w:tc>
      </w:tr>
      <w:tr>
        <w:tc>
          <w:tcPr>
            <w:tcW w:type="dxa" w:w="2000"/>
            <w:shd w:fill="FFFFFF"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Rootly AI</w:t>
            </w:r>
          </w:p>
        </w:tc>
        <w:tc>
          <w:tcPr>
            <w:tcW w:type="dxa" w:w="1800"/>
            <w:shd w:fill="FFFFFF"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$20–$45/seat/mo*</w:t>
            </w:r>
          </w:p>
        </w:tc>
        <w:tc>
          <w:tcPr>
            <w:tcW w:type="dxa" w:w="1800"/>
            <w:shd w:fill="FFFFFF"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$400–$900</w:t>
            </w:r>
          </w:p>
        </w:tc>
        <w:tc>
          <w:tcPr>
            <w:tcW w:type="dxa" w:w="1960"/>
            <w:shd w:fill="FFFFFF"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$400–$900</w:t>
            </w:r>
          </w:p>
        </w:tc>
        <w:tc>
          <w:tcPr>
            <w:tcW w:type="dxa" w:w="1800"/>
            <w:shd w:fill="FFFFFF"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$4,800–$10,800</w:t>
            </w:r>
          </w:p>
        </w:tc>
      </w:tr>
      <w:tr>
        <w:tc>
          <w:tcPr>
            <w:tcW w:type="dxa" w:w="200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incident.io AI</w:t>
            </w:r>
          </w:p>
        </w:tc>
        <w:tc>
          <w:tcPr>
            <w:tcW w:type="dxa" w:w="180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$21–$40/seat/mo*</w:t>
            </w:r>
          </w:p>
        </w:tc>
        <w:tc>
          <w:tcPr>
            <w:tcW w:type="dxa" w:w="180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$420–$800</w:t>
            </w:r>
          </w:p>
        </w:tc>
        <w:tc>
          <w:tcPr>
            <w:tcW w:type="dxa" w:w="196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$420–$800</w:t>
            </w:r>
          </w:p>
        </w:tc>
        <w:tc>
          <w:tcPr>
            <w:tcW w:type="dxa" w:w="180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$5,040–$9,600</w:t>
            </w:r>
          </w:p>
        </w:tc>
      </w:tr>
      <w:tr>
        <w:tc>
          <w:tcPr>
            <w:tcW w:type="dxa" w:w="2000"/>
            <w:shd w:fill="FFFFFF"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PagerDuty AIOps</w:t>
            </w:r>
          </w:p>
        </w:tc>
        <w:tc>
          <w:tcPr>
            <w:tcW w:type="dxa" w:w="1800"/>
            <w:shd w:fill="FFFFFF"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$25–$50/seat/mo*</w:t>
            </w:r>
          </w:p>
        </w:tc>
        <w:tc>
          <w:tcPr>
            <w:tcW w:type="dxa" w:w="1800"/>
            <w:shd w:fill="FFFFFF"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$500–$1,000</w:t>
            </w:r>
          </w:p>
        </w:tc>
        <w:tc>
          <w:tcPr>
            <w:tcW w:type="dxa" w:w="1960"/>
            <w:shd w:fill="FFFFFF"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$500–$1,000</w:t>
            </w:r>
          </w:p>
        </w:tc>
        <w:tc>
          <w:tcPr>
            <w:tcW w:type="dxa" w:w="1800"/>
            <w:shd w:fill="FFFFFF"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$6,000–$12,000</w:t>
            </w:r>
          </w:p>
        </w:tc>
      </w:tr>
      <w:tr>
        <w:tc>
          <w:tcPr>
            <w:tcW w:type="dxa" w:w="200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Presidio Custom Agent</w:t>
            </w:r>
          </w:p>
        </w:tc>
        <w:tc>
          <w:tcPr>
            <w:tcW w:type="dxa" w:w="180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$0.02–$0.05</w:t>
            </w:r>
          </w:p>
        </w:tc>
        <w:tc>
          <w:tcPr>
            <w:tcW w:type="dxa" w:w="180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$0.40–$1.00</w:t>
            </w:r>
          </w:p>
        </w:tc>
        <w:tc>
          <w:tcPr>
            <w:tcW w:type="dxa" w:w="196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$3.00–$7.50</w:t>
            </w:r>
          </w:p>
        </w:tc>
        <w:tc>
          <w:tcPr>
            <w:tcW w:type="dxa" w:w="180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$36–$90</w:t>
            </w:r>
          </w:p>
        </w:tc>
      </w:tr>
    </w:tbl>
    <w:p>
      <w:pPr>
        <w:spacing w:after="60" w:before="60"/>
      </w:pPr>
      <w:r>
        <w:rPr>
          <w:rFonts w:ascii="Calibri" w:cs="Calibri" w:eastAsia="Calibri" w:hAnsi="Calibri"/>
          <w:color w:val="1C1C1C"/>
          <w:sz w:val="21"/>
          <w:szCs w:val="21"/>
        </w:rPr>
        <w:t xml:space="preserve">* Seat-based pricing shown per engineer. Typical NOC team: 10–20 seats. Actual team cost is 10–20× the per-seat figure.</w:t>
      </w:r>
    </w:p>
    <w:p>
      <w:pPr>
        <w:spacing w:after="80" w:before="80"/>
      </w:pPr>
    </w:p>
    <w:p>
      <w:pPr>
        <w:spacing w:after="80" w:before="240"/>
      </w:pPr>
      <w:r>
        <w:rPr>
          <w:rFonts w:ascii="Calibri" w:cs="Calibri" w:eastAsia="Calibri" w:hAnsi="Calibri"/>
          <w:b/>
          <w:bCs/>
          <w:color w:val="1C1C1C"/>
          <w:sz w:val="24"/>
          <w:szCs w:val="24"/>
        </w:rPr>
        <w:t xml:space="preserve">Why Our Agent Costs $0.02–$0.05 Per Run</w:t>
      </w:r>
    </w:p>
    <w:p>
      <w:pPr>
        <w:spacing w:after="40" w:before="40"/>
        <w:ind w:left="360"/>
      </w:pPr>
      <w:r>
        <w:rPr>
          <w:rFonts w:ascii="Calibri" w:cs="Calibri" w:eastAsia="Calibri" w:hAnsi="Calibri"/>
          <w:b/>
          <w:bCs/>
          <w:color w:val="1B3A5C"/>
          <w:sz w:val="21"/>
          <w:szCs w:val="21"/>
        </w:rPr>
        <w:t xml:space="preserve">•  </w:t>
      </w:r>
      <w:r>
        <w:rPr>
          <w:rFonts w:ascii="Calibri" w:cs="Calibri" w:eastAsia="Calibri" w:hAnsi="Calibri"/>
          <w:b/>
          <w:bCs/>
          <w:color w:val="1C1C1C"/>
          <w:sz w:val="21"/>
          <w:szCs w:val="21"/>
        </w:rPr>
        <w:t xml:space="preserve">Filtered Context, Not Raw Logs: </w:t>
      </w:r>
      <w:r>
        <w:rPr>
          <w:rFonts w:ascii="Calibri" w:cs="Calibri" w:eastAsia="Calibri" w:hAnsi="Calibri"/>
          <w:color w:val="1C1C1C"/>
          <w:sz w:val="21"/>
          <w:szCs w:val="21"/>
        </w:rPr>
        <w:t xml:space="preserve">We send pre-filtered, structured log snippets (500–2,000 tokens) rather than raw streaming log data (50,000–200,000 tokens). This reduces LLM input costs by 95–99%.</w:t>
      </w:r>
    </w:p>
    <w:p>
      <w:pPr>
        <w:spacing w:after="40" w:before="40"/>
        <w:ind w:left="360"/>
      </w:pPr>
      <w:r>
        <w:rPr>
          <w:rFonts w:ascii="Calibri" w:cs="Calibri" w:eastAsia="Calibri" w:hAnsi="Calibri"/>
          <w:b/>
          <w:bCs/>
          <w:color w:val="1B3A5C"/>
          <w:sz w:val="21"/>
          <w:szCs w:val="21"/>
        </w:rPr>
        <w:t xml:space="preserve">•  </w:t>
      </w:r>
      <w:r>
        <w:rPr>
          <w:rFonts w:ascii="Calibri" w:cs="Calibri" w:eastAsia="Calibri" w:hAnsi="Calibri"/>
          <w:b/>
          <w:bCs/>
          <w:color w:val="1C1C1C"/>
          <w:sz w:val="21"/>
          <w:szCs w:val="21"/>
        </w:rPr>
        <w:t xml:space="preserve">Prompt Caching: </w:t>
      </w:r>
      <w:r>
        <w:rPr>
          <w:rFonts w:ascii="Calibri" w:cs="Calibri" w:eastAsia="Calibri" w:hAnsi="Calibri"/>
          <w:color w:val="1C1C1C"/>
          <w:sz w:val="21"/>
          <w:szCs w:val="21"/>
        </w:rPr>
        <w:t xml:space="preserve">Recurring incident patterns hit cached prompts, reducing inference cost by an additional 70–90% on repeated alarm types.</w:t>
      </w:r>
    </w:p>
    <w:p>
      <w:pPr>
        <w:spacing w:after="40" w:before="40"/>
        <w:ind w:left="360"/>
      </w:pPr>
      <w:r>
        <w:rPr>
          <w:rFonts w:ascii="Calibri" w:cs="Calibri" w:eastAsia="Calibri" w:hAnsi="Calibri"/>
          <w:b/>
          <w:bCs/>
          <w:color w:val="1B3A5C"/>
          <w:sz w:val="21"/>
          <w:szCs w:val="21"/>
        </w:rPr>
        <w:t xml:space="preserve">•  </w:t>
      </w:r>
      <w:r>
        <w:rPr>
          <w:rFonts w:ascii="Calibri" w:cs="Calibri" w:eastAsia="Calibri" w:hAnsi="Calibri"/>
          <w:b/>
          <w:bCs/>
          <w:color w:val="1C1C1C"/>
          <w:sz w:val="21"/>
          <w:szCs w:val="21"/>
        </w:rPr>
        <w:t xml:space="preserve">Model Selection: </w:t>
      </w:r>
      <w:r>
        <w:rPr>
          <w:rFonts w:ascii="Calibri" w:cs="Calibri" w:eastAsia="Calibri" w:hAnsi="Calibri"/>
          <w:color w:val="1C1C1C"/>
          <w:sz w:val="21"/>
          <w:szCs w:val="21"/>
        </w:rPr>
        <w:t xml:space="preserve">Claude Sonnet 3.5 ($3/M input, $15/M output), Gemini 1.5 Flash ($0.075/M input), GPT-4o-mini ($0.15/M input) all deliver strong reasoning at commodity pricing.</w:t>
      </w:r>
    </w:p>
    <w:p>
      <w:pPr>
        <w:spacing w:after="40" w:before="40"/>
        <w:ind w:left="360"/>
      </w:pPr>
      <w:r>
        <w:rPr>
          <w:rFonts w:ascii="Calibri" w:cs="Calibri" w:eastAsia="Calibri" w:hAnsi="Calibri"/>
          <w:b/>
          <w:bCs/>
          <w:color w:val="1B3A5C"/>
          <w:sz w:val="21"/>
          <w:szCs w:val="21"/>
        </w:rPr>
        <w:t xml:space="preserve">•  </w:t>
      </w:r>
      <w:r>
        <w:rPr>
          <w:rFonts w:ascii="Calibri" w:cs="Calibri" w:eastAsia="Calibri" w:hAnsi="Calibri"/>
          <w:b/>
          <w:bCs/>
          <w:color w:val="1C1C1C"/>
          <w:sz w:val="21"/>
          <w:szCs w:val="21"/>
        </w:rPr>
        <w:t xml:space="preserve">Zero Vendor Tax: </w:t>
      </w:r>
      <w:r>
        <w:rPr>
          <w:rFonts w:ascii="Calibri" w:cs="Calibri" w:eastAsia="Calibri" w:hAnsi="Calibri"/>
          <w:color w:val="1C1C1C"/>
          <w:sz w:val="21"/>
          <w:szCs w:val="21"/>
        </w:rPr>
        <w:t xml:space="preserve">No per-seat licensing, no per-investigation surcharges, no vendor lock-in. Pure API consumption billing.</w:t>
      </w:r>
    </w:p>
    <w:p>
      <w:pPr>
        <w:spacing w:after="80" w:before="80"/>
      </w:pPr>
    </w:p>
    <w:p>
      <w:pPr>
        <w:spacing w:after="80" w:before="240"/>
      </w:pPr>
      <w:r>
        <w:rPr>
          <w:rFonts w:ascii="Calibri" w:cs="Calibri" w:eastAsia="Calibri" w:hAnsi="Calibri"/>
          <w:b/>
          <w:bCs/>
          <w:color w:val="1C1C1C"/>
          <w:sz w:val="24"/>
          <w:szCs w:val="24"/>
        </w:rPr>
        <w:t xml:space="preserve">Multi-Client Scaling: 100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1960"/>
        <w:gridCol w:w="1200"/>
      </w:tblGrid>
      <w:tr>
        <w:trPr>
          <w:tblHeader/>
        </w:trPr>
        <w:tc>
          <w:tcPr>
            <w:tcW w:type="dxa" w:w="2200"/>
            <w:shd w:fill="1B3A5C" w:val="clear"/>
            <w:tcMar>
              <w:top w:type="dxa" w:w="40"/>
              <w:left w:type="dxa" w:w="80"/>
              <w:bottom w:type="dxa" w:w="40"/>
              <w:right w:type="dxa" w:w="80"/>
            </w:tcMar>
          </w:tcPr>
          <w:p>
            <w:pPr>
              <w:spacing w:after="40" w:before="40"/>
              <w:jc w:val="left"/>
            </w:pPr>
            <w:r>
              <w:rPr>
                <w:rFonts w:ascii="Calibri" w:cs="Calibri" w:eastAsia="Calibri" w:hAnsi="Calibri"/>
                <w:b/>
                <w:bCs/>
                <w:color w:val="FFFFFF"/>
                <w:sz w:val="19"/>
                <w:szCs w:val="19"/>
              </w:rPr>
              <w:t xml:space="preserve">Scenario</w:t>
            </w:r>
          </w:p>
        </w:tc>
        <w:tc>
          <w:tcPr>
            <w:tcW w:type="dxa" w:w="2000"/>
            <w:shd w:fill="1B3A5C" w:val="clear"/>
            <w:tcMar>
              <w:top w:type="dxa" w:w="40"/>
              <w:left w:type="dxa" w:w="80"/>
              <w:bottom w:type="dxa" w:w="40"/>
              <w:right w:type="dxa" w:w="80"/>
            </w:tcMar>
          </w:tcPr>
          <w:p>
            <w:pPr>
              <w:spacing w:after="40" w:before="40"/>
              <w:jc w:val="left"/>
            </w:pPr>
            <w:r>
              <w:rPr>
                <w:rFonts w:ascii="Calibri" w:cs="Calibri" w:eastAsia="Calibri" w:hAnsi="Calibri"/>
                <w:b/>
                <w:bCs/>
                <w:color w:val="FFFFFF"/>
                <w:sz w:val="19"/>
                <w:szCs w:val="19"/>
              </w:rPr>
              <w:t xml:space="preserve">Datadog Bits AI (per env.)</w:t>
            </w:r>
          </w:p>
        </w:tc>
        <w:tc>
          <w:tcPr>
            <w:tcW w:type="dxa" w:w="2000"/>
            <w:shd w:fill="1B3A5C" w:val="clear"/>
            <w:tcMar>
              <w:top w:type="dxa" w:w="40"/>
              <w:left w:type="dxa" w:w="80"/>
              <w:bottom w:type="dxa" w:w="40"/>
              <w:right w:type="dxa" w:w="80"/>
            </w:tcMar>
          </w:tcPr>
          <w:p>
            <w:pPr>
              <w:spacing w:after="40" w:before="40"/>
              <w:jc w:val="left"/>
            </w:pPr>
            <w:r>
              <w:rPr>
                <w:rFonts w:ascii="Calibri" w:cs="Calibri" w:eastAsia="Calibri" w:hAnsi="Calibri"/>
                <w:b/>
                <w:bCs/>
                <w:color w:val="FFFFFF"/>
                <w:sz w:val="19"/>
                <w:szCs w:val="19"/>
              </w:rPr>
              <w:t xml:space="preserve">Vendor SaaS (per env.)</w:t>
            </w:r>
          </w:p>
        </w:tc>
        <w:tc>
          <w:tcPr>
            <w:tcW w:type="dxa" w:w="1960"/>
            <w:shd w:fill="1B3A5C" w:val="clear"/>
            <w:tcMar>
              <w:top w:type="dxa" w:w="40"/>
              <w:left w:type="dxa" w:w="80"/>
              <w:bottom w:type="dxa" w:w="40"/>
              <w:right w:type="dxa" w:w="80"/>
            </w:tcMar>
          </w:tcPr>
          <w:p>
            <w:pPr>
              <w:spacing w:after="40" w:before="40"/>
              <w:jc w:val="left"/>
            </w:pPr>
            <w:r>
              <w:rPr>
                <w:rFonts w:ascii="Calibri" w:cs="Calibri" w:eastAsia="Calibri" w:hAnsi="Calibri"/>
                <w:b/>
                <w:bCs/>
                <w:color w:val="FFFFFF"/>
                <w:sz w:val="19"/>
                <w:szCs w:val="19"/>
              </w:rPr>
              <w:t xml:space="preserve">Presidio Agent (per env.)</w:t>
            </w:r>
          </w:p>
        </w:tc>
        <w:tc>
          <w:tcPr>
            <w:tcW w:type="dxa" w:w="1200"/>
            <w:shd w:fill="1B3A5C" w:val="clear"/>
            <w:tcMar>
              <w:top w:type="dxa" w:w="40"/>
              <w:left w:type="dxa" w:w="80"/>
              <w:bottom w:type="dxa" w:w="40"/>
              <w:right w:type="dxa" w:w="80"/>
            </w:tcMar>
          </w:tcPr>
          <w:p>
            <w:pPr>
              <w:spacing w:after="40" w:before="40"/>
              <w:jc w:val="left"/>
            </w:pPr>
            <w:r>
              <w:rPr>
                <w:rFonts w:ascii="Calibri" w:cs="Calibri" w:eastAsia="Calibri" w:hAnsi="Calibri"/>
                <w:b/>
                <w:bCs/>
                <w:color w:val="FFFFFF"/>
                <w:sz w:val="19"/>
                <w:szCs w:val="19"/>
              </w:rPr>
              <w:t xml:space="preserve">Presidio Total (100 env.)</w:t>
            </w:r>
          </w:p>
        </w:tc>
      </w:tr>
      <w:tr>
        <w:tc>
          <w:tcPr>
            <w:tcW w:type="dxa" w:w="220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Low Volume (20 inv./mo)</w:t>
            </w:r>
          </w:p>
        </w:tc>
        <w:tc>
          <w:tcPr>
            <w:tcW w:type="dxa" w:w="200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$500–$600</w:t>
            </w:r>
          </w:p>
        </w:tc>
        <w:tc>
          <w:tcPr>
            <w:tcW w:type="dxa" w:w="200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$400–$1,000</w:t>
            </w:r>
          </w:p>
        </w:tc>
        <w:tc>
          <w:tcPr>
            <w:tcW w:type="dxa" w:w="196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$0.40–$1.00</w:t>
            </w:r>
          </w:p>
        </w:tc>
        <w:tc>
          <w:tcPr>
            <w:tcW w:type="dxa" w:w="120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$40–$100/mo</w:t>
            </w:r>
          </w:p>
        </w:tc>
      </w:tr>
      <w:tr>
        <w:tc>
          <w:tcPr>
            <w:tcW w:type="dxa" w:w="2200"/>
            <w:shd w:fill="FFFFFF"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Medium Volume (50 inv./mo)</w:t>
            </w:r>
          </w:p>
        </w:tc>
        <w:tc>
          <w:tcPr>
            <w:tcW w:type="dxa" w:w="2000"/>
            <w:shd w:fill="FFFFFF"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$1,250–$1,500</w:t>
            </w:r>
          </w:p>
        </w:tc>
        <w:tc>
          <w:tcPr>
            <w:tcW w:type="dxa" w:w="2000"/>
            <w:shd w:fill="FFFFFF"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$400–$1,000</w:t>
            </w:r>
          </w:p>
        </w:tc>
        <w:tc>
          <w:tcPr>
            <w:tcW w:type="dxa" w:w="1960"/>
            <w:shd w:fill="FFFFFF"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$1.00–$2.50</w:t>
            </w:r>
          </w:p>
        </w:tc>
        <w:tc>
          <w:tcPr>
            <w:tcW w:type="dxa" w:w="1200"/>
            <w:shd w:fill="FFFFFF"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$100–$250/mo</w:t>
            </w:r>
          </w:p>
        </w:tc>
      </w:tr>
      <w:tr>
        <w:tc>
          <w:tcPr>
            <w:tcW w:type="dxa" w:w="220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High Volume (150 inv./mo)</w:t>
            </w:r>
          </w:p>
        </w:tc>
        <w:tc>
          <w:tcPr>
            <w:tcW w:type="dxa" w:w="200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$3,750–$4,500</w:t>
            </w:r>
          </w:p>
        </w:tc>
        <w:tc>
          <w:tcPr>
            <w:tcW w:type="dxa" w:w="200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$400–$1,000</w:t>
            </w:r>
          </w:p>
        </w:tc>
        <w:tc>
          <w:tcPr>
            <w:tcW w:type="dxa" w:w="196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$3.00–$7.50</w:t>
            </w:r>
          </w:p>
        </w:tc>
        <w:tc>
          <w:tcPr>
            <w:tcW w:type="dxa" w:w="120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$300–$750/mo</w:t>
            </w:r>
          </w:p>
        </w:tc>
      </w:tr>
    </w:tbl>
    <w:p>
      <w:pPr>
        <w:spacing w:after="40" w:before="40"/>
      </w:pPr>
    </w:p>
    <w:p>
      <w:pPr>
        <w:spacing w:after="100" w:before="100"/>
        <w:ind w:left="360"/>
      </w:pPr>
      <w:r>
        <w:rPr>
          <w:rFonts w:ascii="Calibri" w:cs="Calibri" w:eastAsia="Calibri" w:hAnsi="Calibri"/>
          <w:b/>
          <w:bCs/>
          <w:color w:val="2E8B57"/>
          <w:sz w:val="26"/>
          <w:szCs w:val="26"/>
        </w:rPr>
        <w:t xml:space="preserve">$300–$750/mo  </w:t>
      </w:r>
      <w:r>
        <w:rPr>
          <w:rFonts w:ascii="Calibri" w:cs="Calibri" w:eastAsia="Calibri" w:hAnsi="Calibri"/>
          <w:color w:val="1C1C1C"/>
          <w:sz w:val="21"/>
          <w:szCs w:val="21"/>
        </w:rPr>
        <w:t xml:space="preserve">Total AI inference cost to serve 100 client environments at high incident volume.</w:t>
      </w:r>
    </w:p>
    <w:p>
      <w:pPr>
        <w:spacing w:after="100" w:before="100"/>
        <w:ind w:left="360"/>
      </w:pPr>
      <w:r>
        <w:rPr>
          <w:rFonts w:ascii="Calibri" w:cs="Calibri" w:eastAsia="Calibri" w:hAnsi="Calibri"/>
          <w:b/>
          <w:bCs/>
          <w:color w:val="2E8B57"/>
          <w:sz w:val="26"/>
          <w:szCs w:val="26"/>
        </w:rPr>
        <w:t xml:space="preserve">vs. $375K–$550K/mo  </w:t>
      </w:r>
      <w:r>
        <w:rPr>
          <w:rFonts w:ascii="Calibri" w:cs="Calibri" w:eastAsia="Calibri" w:hAnsi="Calibri"/>
          <w:color w:val="1C1C1C"/>
          <w:sz w:val="21"/>
          <w:szCs w:val="21"/>
        </w:rPr>
        <w:t xml:space="preserve">Equivalent cost using Datadog Bits AI across the same 100 environments.</w:t>
      </w:r>
    </w:p>
    <w:p>
      <w:pPr>
        <w:spacing w:after="100" w:before="100"/>
        <w:ind w:left="360"/>
      </w:pPr>
      <w:r>
        <w:rPr>
          <w:rFonts w:ascii="Calibri" w:cs="Calibri" w:eastAsia="Calibri" w:hAnsi="Calibri"/>
          <w:b/>
          <w:bCs/>
          <w:color w:val="2E8B57"/>
          <w:sz w:val="26"/>
          <w:szCs w:val="26"/>
        </w:rPr>
        <w:t xml:space="preserve">500×–1,000× Cheaper  </w:t>
      </w:r>
      <w:r>
        <w:rPr>
          <w:rFonts w:ascii="Calibri" w:cs="Calibri" w:eastAsia="Calibri" w:hAnsi="Calibri"/>
          <w:color w:val="1C1C1C"/>
          <w:sz w:val="21"/>
          <w:szCs w:val="21"/>
        </w:rPr>
        <w:t xml:space="preserve">The delta is not incremental—it is a different cost regime entirely.</w:t>
      </w:r>
    </w:p>
    <w:p>
      <w:pPr>
        <w:spacing w:after="80" w:before="80"/>
      </w:pPr>
    </w:p>
    <w:p>
      <w:pPr>
        <w:spacing w:after="80" w:before="240"/>
      </w:pPr>
      <w:r>
        <w:rPr>
          <w:rFonts w:ascii="Calibri" w:cs="Calibri" w:eastAsia="Calibri" w:hAnsi="Calibri"/>
          <w:b/>
          <w:bCs/>
          <w:color w:val="1C1C1C"/>
          <w:sz w:val="24"/>
          <w:szCs w:val="24"/>
        </w:rPr>
        <w:t xml:space="preserve">Total Cost of Ownership (Year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rPr>
          <w:tblHeader/>
        </w:trPr>
        <w:tc>
          <w:tcPr>
            <w:tcW w:type="dxa" w:w="3400"/>
            <w:shd w:fill="1B3A5C" w:val="clear"/>
            <w:tcMar>
              <w:top w:type="dxa" w:w="40"/>
              <w:left w:type="dxa" w:w="80"/>
              <w:bottom w:type="dxa" w:w="40"/>
              <w:right w:type="dxa" w:w="80"/>
            </w:tcMar>
          </w:tcPr>
          <w:p>
            <w:pPr>
              <w:spacing w:after="40" w:before="40"/>
              <w:jc w:val="left"/>
            </w:pPr>
            <w:r>
              <w:rPr>
                <w:rFonts w:ascii="Calibri" w:cs="Calibri" w:eastAsia="Calibri" w:hAnsi="Calibri"/>
                <w:b/>
                <w:bCs/>
                <w:color w:val="FFFFFF"/>
                <w:sz w:val="19"/>
                <w:szCs w:val="19"/>
              </w:rPr>
              <w:t xml:space="preserve">Cost Component</w:t>
            </w:r>
          </w:p>
        </w:tc>
        <w:tc>
          <w:tcPr>
            <w:tcW w:type="dxa" w:w="2400"/>
            <w:shd w:fill="1B3A5C" w:val="clear"/>
            <w:tcMar>
              <w:top w:type="dxa" w:w="40"/>
              <w:left w:type="dxa" w:w="80"/>
              <w:bottom w:type="dxa" w:w="40"/>
              <w:right w:type="dxa" w:w="80"/>
            </w:tcMar>
          </w:tcPr>
          <w:p>
            <w:pPr>
              <w:spacing w:after="40" w:before="40"/>
              <w:jc w:val="left"/>
            </w:pPr>
            <w:r>
              <w:rPr>
                <w:rFonts w:ascii="Calibri" w:cs="Calibri" w:eastAsia="Calibri" w:hAnsi="Calibri"/>
                <w:b/>
                <w:bCs/>
                <w:color w:val="FFFFFF"/>
                <w:sz w:val="19"/>
                <w:szCs w:val="19"/>
              </w:rPr>
              <w:t xml:space="preserve">Presidio Agent</w:t>
            </w:r>
          </w:p>
        </w:tc>
        <w:tc>
          <w:tcPr>
            <w:tcW w:type="dxa" w:w="3560"/>
            <w:shd w:fill="1B3A5C" w:val="clear"/>
            <w:tcMar>
              <w:top w:type="dxa" w:w="40"/>
              <w:left w:type="dxa" w:w="80"/>
              <w:bottom w:type="dxa" w:w="40"/>
              <w:right w:type="dxa" w:w="80"/>
            </w:tcMar>
          </w:tcPr>
          <w:p>
            <w:pPr>
              <w:spacing w:after="40" w:before="40"/>
              <w:jc w:val="left"/>
            </w:pPr>
            <w:r>
              <w:rPr>
                <w:rFonts w:ascii="Calibri" w:cs="Calibri" w:eastAsia="Calibri" w:hAnsi="Calibri"/>
                <w:b/>
                <w:bCs/>
                <w:color w:val="FFFFFF"/>
                <w:sz w:val="19"/>
                <w:szCs w:val="19"/>
              </w:rPr>
              <w:t xml:space="preserve">Notes</w:t>
            </w:r>
          </w:p>
        </w:tc>
      </w:tr>
      <w:tr>
        <w:tc>
          <w:tcPr>
            <w:tcW w:type="dxa" w:w="340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LLM API Costs (Claude/Gemini/GPT)</w:t>
            </w:r>
          </w:p>
        </w:tc>
        <w:tc>
          <w:tcPr>
            <w:tcW w:type="dxa" w:w="240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$3,600–$9,000</w:t>
            </w:r>
          </w:p>
        </w:tc>
        <w:tc>
          <w:tcPr>
            <w:tcW w:type="dxa" w:w="356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1,800 inv./mo across 100 clients w/ caching</w:t>
            </w:r>
          </w:p>
        </w:tc>
      </w:tr>
      <w:tr>
        <w:tc>
          <w:tcPr>
            <w:tcW w:type="dxa" w:w="3400"/>
            <w:shd w:fill="FFFFFF"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AWS Infrastructure (Lambda, SQS, S3)</w:t>
            </w:r>
          </w:p>
        </w:tc>
        <w:tc>
          <w:tcPr>
            <w:tcW w:type="dxa" w:w="2400"/>
            <w:shd w:fill="FFFFFF"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$2,400–$4,800</w:t>
            </w:r>
          </w:p>
        </w:tc>
        <w:tc>
          <w:tcPr>
            <w:tcW w:type="dxa" w:w="3560"/>
            <w:shd w:fill="FFFFFF"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Serverless, scales to zero</w:t>
            </w:r>
          </w:p>
        </w:tc>
      </w:tr>
      <w:tr>
        <w:tc>
          <w:tcPr>
            <w:tcW w:type="dxa" w:w="340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Slack Bot (Enterprise Grid)</w:t>
            </w:r>
          </w:p>
        </w:tc>
        <w:tc>
          <w:tcPr>
            <w:tcW w:type="dxa" w:w="240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$0 (existing)</w:t>
            </w:r>
          </w:p>
        </w:tc>
        <w:tc>
          <w:tcPr>
            <w:tcW w:type="dxa" w:w="356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Presidio already operates Slack workspace</w:t>
            </w:r>
          </w:p>
        </w:tc>
      </w:tr>
      <w:tr>
        <w:tc>
          <w:tcPr>
            <w:tcW w:type="dxa" w:w="3400"/>
            <w:shd w:fill="FFFFFF"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Engineering (Build + Maintain)</w:t>
            </w:r>
          </w:p>
        </w:tc>
        <w:tc>
          <w:tcPr>
            <w:tcW w:type="dxa" w:w="2400"/>
            <w:shd w:fill="FFFFFF"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$80,000–$120,000</w:t>
            </w:r>
          </w:p>
        </w:tc>
        <w:tc>
          <w:tcPr>
            <w:tcW w:type="dxa" w:w="3560"/>
            <w:shd w:fill="FFFFFF"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0.5 FTE SRE for ongoing tuning</w:t>
            </w:r>
          </w:p>
        </w:tc>
      </w:tr>
      <w:tr>
        <w:tc>
          <w:tcPr>
            <w:tcW w:type="dxa" w:w="340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TOTAL Year 1</w:t>
            </w:r>
          </w:p>
        </w:tc>
        <w:tc>
          <w:tcPr>
            <w:tcW w:type="dxa" w:w="240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$86,000–$134,000</w:t>
            </w:r>
          </w:p>
        </w:tc>
        <w:tc>
          <w:tcPr>
            <w:tcW w:type="dxa" w:w="356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
            </w:r>
          </w:p>
        </w:tc>
      </w:tr>
      <w:tr>
        <w:tc>
          <w:tcPr>
            <w:tcW w:type="dxa" w:w="3400"/>
            <w:shd w:fill="FFFFFF"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Equivalent Vendor SaaS</w:t>
            </w:r>
          </w:p>
        </w:tc>
        <w:tc>
          <w:tcPr>
            <w:tcW w:type="dxa" w:w="2400"/>
            <w:shd w:fill="FFFFFF"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$2,000,000–$5,000,000</w:t>
            </w:r>
          </w:p>
        </w:tc>
        <w:tc>
          <w:tcPr>
            <w:tcW w:type="dxa" w:w="3560"/>
            <w:shd w:fill="FFFFFF"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100 environments × seat/investigation fees</w:t>
            </w:r>
          </w:p>
        </w:tc>
      </w:tr>
    </w:tbl>
    <w:p>
      <w:pPr>
        <w:spacing w:after="40" w:before="40"/>
      </w:pPr>
    </w:p>
    <w:p>
      <w:pPr>
        <w:spacing w:after="100" w:before="100"/>
        <w:ind w:left="360"/>
      </w:pPr>
      <w:r>
        <w:rPr>
          <w:rFonts w:ascii="Calibri" w:cs="Calibri" w:eastAsia="Calibri" w:hAnsi="Calibri"/>
          <w:b/>
          <w:bCs/>
          <w:color w:val="2E8B57"/>
          <w:sz w:val="26"/>
          <w:szCs w:val="26"/>
        </w:rPr>
        <w:t xml:space="preserve">15×–37× Cheaper  </w:t>
      </w:r>
      <w:r>
        <w:rPr>
          <w:rFonts w:ascii="Calibri" w:cs="Calibri" w:eastAsia="Calibri" w:hAnsi="Calibri"/>
          <w:color w:val="1C1C1C"/>
          <w:sz w:val="21"/>
          <w:szCs w:val="21"/>
        </w:rPr>
        <w:t xml:space="preserve">Year 1 TCO vs. commercial AIOps platforms at equivalent scale.</w:t>
      </w:r>
    </w:p>
    <w:p>
      <w:r>
        <w:br w:type="page"/>
      </w:r>
    </w:p>
    <w:p>
      <w:pPr>
        <w:pBdr>
          <w:bottom w:val="single" w:color="1B3A5C" w:sz="6"/>
        </w:pBdr>
        <w:spacing w:after="120" w:before="360"/>
      </w:pPr>
      <w:r>
        <w:rPr>
          <w:rFonts w:ascii="Calibri" w:cs="Calibri" w:eastAsia="Calibri" w:hAnsi="Calibri"/>
          <w:b/>
          <w:bCs/>
          <w:color w:val="1B3A5C"/>
          <w:sz w:val="20"/>
          <w:szCs w:val="20"/>
        </w:rPr>
        <w:t xml:space="preserve">Section 4  </w:t>
      </w:r>
      <w:r>
        <w:rPr>
          <w:rFonts w:ascii="Calibri" w:cs="Calibri" w:eastAsia="Calibri" w:hAnsi="Calibri"/>
          <w:b/>
          <w:bCs/>
          <w:color w:val="1B3A5C"/>
          <w:sz w:val="28"/>
          <w:szCs w:val="28"/>
        </w:rPr>
        <w:t xml:space="preserve">Security, Compliance &amp; Human-in-the-Loop</w:t>
      </w:r>
    </w:p>
    <w:p>
      <w:pPr>
        <w:spacing w:after="80" w:before="80"/>
      </w:pPr>
    </w:p>
    <w:p>
      <w:pPr>
        <w:spacing w:after="80" w:before="240"/>
      </w:pPr>
      <w:r>
        <w:rPr>
          <w:rFonts w:ascii="Calibri" w:cs="Calibri" w:eastAsia="Calibri" w:hAnsi="Calibri"/>
          <w:b/>
          <w:bCs/>
          <w:color w:val="1C1C1C"/>
          <w:sz w:val="24"/>
          <w:szCs w:val="24"/>
        </w:rPr>
        <w:t xml:space="preserve">Zero-Trust Data Handling</w:t>
      </w:r>
    </w:p>
    <w:p>
      <w:pPr>
        <w:spacing w:after="40" w:before="40"/>
        <w:ind w:left="360"/>
      </w:pPr>
      <w:r>
        <w:rPr>
          <w:rFonts w:ascii="Calibri" w:cs="Calibri" w:eastAsia="Calibri" w:hAnsi="Calibri"/>
          <w:b/>
          <w:bCs/>
          <w:color w:val="1B3A5C"/>
          <w:sz w:val="21"/>
          <w:szCs w:val="21"/>
        </w:rPr>
        <w:t xml:space="preserve">•  </w:t>
      </w:r>
      <w:r>
        <w:rPr>
          <w:rFonts w:ascii="Calibri" w:cs="Calibri" w:eastAsia="Calibri" w:hAnsi="Calibri"/>
          <w:b/>
          <w:bCs/>
          <w:color w:val="1C1C1C"/>
          <w:sz w:val="21"/>
          <w:szCs w:val="21"/>
        </w:rPr>
        <w:t xml:space="preserve">Zero Raw PII Ingestion: </w:t>
      </w:r>
      <w:r>
        <w:rPr>
          <w:rFonts w:ascii="Calibri" w:cs="Calibri" w:eastAsia="Calibri" w:hAnsi="Calibri"/>
          <w:color w:val="1C1C1C"/>
          <w:sz w:val="21"/>
          <w:szCs w:val="21"/>
        </w:rPr>
        <w:t xml:space="preserve">The agent never ingests raw PII, credentials, or secrets. All log data passes through a sanitization layer that strips sensitive patterns (emails, IPs, tokens, SSNs) before context assembly.</w:t>
      </w:r>
    </w:p>
    <w:p>
      <w:pPr>
        <w:spacing w:after="40" w:before="40"/>
        <w:ind w:left="360"/>
      </w:pPr>
      <w:r>
        <w:rPr>
          <w:rFonts w:ascii="Calibri" w:cs="Calibri" w:eastAsia="Calibri" w:hAnsi="Calibri"/>
          <w:b/>
          <w:bCs/>
          <w:color w:val="1B3A5C"/>
          <w:sz w:val="21"/>
          <w:szCs w:val="21"/>
        </w:rPr>
        <w:t xml:space="preserve">•  </w:t>
      </w:r>
      <w:r>
        <w:rPr>
          <w:rFonts w:ascii="Calibri" w:cs="Calibri" w:eastAsia="Calibri" w:hAnsi="Calibri"/>
          <w:b/>
          <w:bCs/>
          <w:color w:val="1C1C1C"/>
          <w:sz w:val="21"/>
          <w:szCs w:val="21"/>
        </w:rPr>
        <w:t xml:space="preserve">Read-Only Telemetry Access: </w:t>
      </w:r>
      <w:r>
        <w:rPr>
          <w:rFonts w:ascii="Calibri" w:cs="Calibri" w:eastAsia="Calibri" w:hAnsi="Calibri"/>
          <w:color w:val="1C1C1C"/>
          <w:sz w:val="21"/>
          <w:szCs w:val="21"/>
        </w:rPr>
        <w:t xml:space="preserve">Cross-account access uses AWS IAM AssumeRole or Azure Managed Identity with read-only policies scoped to CloudWatch Logs, X-Ray, CloudTrail, and metric endpoints. No write permissions to client infrastructure.</w:t>
      </w:r>
    </w:p>
    <w:p>
      <w:pPr>
        <w:spacing w:after="40" w:before="40"/>
        <w:ind w:left="360"/>
      </w:pPr>
      <w:r>
        <w:rPr>
          <w:rFonts w:ascii="Calibri" w:cs="Calibri" w:eastAsia="Calibri" w:hAnsi="Calibri"/>
          <w:b/>
          <w:bCs/>
          <w:color w:val="1B3A5C"/>
          <w:sz w:val="21"/>
          <w:szCs w:val="21"/>
        </w:rPr>
        <w:t xml:space="preserve">•  </w:t>
      </w:r>
      <w:r>
        <w:rPr>
          <w:rFonts w:ascii="Calibri" w:cs="Calibri" w:eastAsia="Calibri" w:hAnsi="Calibri"/>
          <w:b/>
          <w:bCs/>
          <w:color w:val="1C1C1C"/>
          <w:sz w:val="21"/>
          <w:szCs w:val="21"/>
        </w:rPr>
        <w:t xml:space="preserve">Encryption: </w:t>
      </w:r>
      <w:r>
        <w:rPr>
          <w:rFonts w:ascii="Calibri" w:cs="Calibri" w:eastAsia="Calibri" w:hAnsi="Calibri"/>
          <w:color w:val="1C1C1C"/>
          <w:sz w:val="21"/>
          <w:szCs w:val="21"/>
        </w:rPr>
        <w:t xml:space="preserve">All data in transit is encrypted via TLS 1.3. Data at rest (cached prompts, triage briefs) is encrypted using AES-256 with tenant-specific KMS keys.</w:t>
      </w:r>
    </w:p>
    <w:p>
      <w:pPr>
        <w:spacing w:after="40" w:before="40"/>
        <w:ind w:left="360"/>
      </w:pPr>
      <w:r>
        <w:rPr>
          <w:rFonts w:ascii="Calibri" w:cs="Calibri" w:eastAsia="Calibri" w:hAnsi="Calibri"/>
          <w:b/>
          <w:bCs/>
          <w:color w:val="1B3A5C"/>
          <w:sz w:val="21"/>
          <w:szCs w:val="21"/>
        </w:rPr>
        <w:t xml:space="preserve">•  </w:t>
      </w:r>
      <w:r>
        <w:rPr>
          <w:rFonts w:ascii="Calibri" w:cs="Calibri" w:eastAsia="Calibri" w:hAnsi="Calibri"/>
          <w:b/>
          <w:bCs/>
          <w:color w:val="1C1C1C"/>
          <w:sz w:val="21"/>
          <w:szCs w:val="21"/>
        </w:rPr>
        <w:t xml:space="preserve">Ephemeral Processing: </w:t>
      </w:r>
      <w:r>
        <w:rPr>
          <w:rFonts w:ascii="Calibri" w:cs="Calibri" w:eastAsia="Calibri" w:hAnsi="Calibri"/>
          <w:color w:val="1C1C1C"/>
          <w:sz w:val="21"/>
          <w:szCs w:val="21"/>
        </w:rPr>
        <w:t xml:space="preserve">Log snippets sent to LLM providers are processed ephemerally. Claude API and Azure OpenAI offer zero-data-retention (ZDR) agreements. No client data is used for model training.</w:t>
      </w:r>
    </w:p>
    <w:p>
      <w:pPr>
        <w:spacing w:after="80" w:before="80"/>
      </w:pPr>
    </w:p>
    <w:p>
      <w:pPr>
        <w:spacing w:after="80" w:before="240"/>
      </w:pPr>
      <w:r>
        <w:rPr>
          <w:rFonts w:ascii="Calibri" w:cs="Calibri" w:eastAsia="Calibri" w:hAnsi="Calibri"/>
          <w:b/>
          <w:bCs/>
          <w:color w:val="1C1C1C"/>
          <w:sz w:val="24"/>
          <w:szCs w:val="24"/>
        </w:rPr>
        <w:t xml:space="preserve">Tenant Isolation</w:t>
      </w:r>
    </w:p>
    <w:p>
      <w:pPr>
        <w:spacing w:after="40" w:before="40"/>
        <w:ind w:left="360"/>
      </w:pPr>
      <w:r>
        <w:rPr>
          <w:rFonts w:ascii="Calibri" w:cs="Calibri" w:eastAsia="Calibri" w:hAnsi="Calibri"/>
          <w:b/>
          <w:bCs/>
          <w:color w:val="1B3A5C"/>
          <w:sz w:val="21"/>
          <w:szCs w:val="21"/>
        </w:rPr>
        <w:t xml:space="preserve">•  </w:t>
      </w:r>
      <w:r>
        <w:rPr>
          <w:rFonts w:ascii="Calibri" w:cs="Calibri" w:eastAsia="Calibri" w:hAnsi="Calibri"/>
          <w:b/>
          <w:bCs/>
          <w:color w:val="1C1C1C"/>
          <w:sz w:val="21"/>
          <w:szCs w:val="21"/>
        </w:rPr>
        <w:t xml:space="preserve">Logical Isolation: </w:t>
      </w:r>
      <w:r>
        <w:rPr>
          <w:rFonts w:ascii="Calibri" w:cs="Calibri" w:eastAsia="Calibri" w:hAnsi="Calibri"/>
          <w:color w:val="1C1C1C"/>
          <w:sz w:val="21"/>
          <w:szCs w:val="21"/>
        </w:rPr>
        <w:t xml:space="preserve">Each client environment maps to a dedicated SQS queue, processing pipeline, and Slack channel. No shared state across tenants.</w:t>
      </w:r>
    </w:p>
    <w:p>
      <w:pPr>
        <w:spacing w:after="40" w:before="40"/>
        <w:ind w:left="360"/>
      </w:pPr>
      <w:r>
        <w:rPr>
          <w:rFonts w:ascii="Calibri" w:cs="Calibri" w:eastAsia="Calibri" w:hAnsi="Calibri"/>
          <w:b/>
          <w:bCs/>
          <w:color w:val="1B3A5C"/>
          <w:sz w:val="21"/>
          <w:szCs w:val="21"/>
        </w:rPr>
        <w:t xml:space="preserve">•  </w:t>
      </w:r>
      <w:r>
        <w:rPr>
          <w:rFonts w:ascii="Calibri" w:cs="Calibri" w:eastAsia="Calibri" w:hAnsi="Calibri"/>
          <w:b/>
          <w:bCs/>
          <w:color w:val="1C1C1C"/>
          <w:sz w:val="21"/>
          <w:szCs w:val="21"/>
        </w:rPr>
        <w:t xml:space="preserve">Cryptographic Boundaries: </w:t>
      </w:r>
      <w:r>
        <w:rPr>
          <w:rFonts w:ascii="Calibri" w:cs="Calibri" w:eastAsia="Calibri" w:hAnsi="Calibri"/>
          <w:color w:val="1C1C1C"/>
          <w:sz w:val="21"/>
          <w:szCs w:val="21"/>
        </w:rPr>
        <w:t xml:space="preserve">Tenant-scoped AWS KMS keys ensure that even in a processing failure, data cannot leak across client boundaries.</w:t>
      </w:r>
    </w:p>
    <w:p>
      <w:pPr>
        <w:spacing w:after="40" w:before="40"/>
        <w:ind w:left="360"/>
      </w:pPr>
      <w:r>
        <w:rPr>
          <w:rFonts w:ascii="Calibri" w:cs="Calibri" w:eastAsia="Calibri" w:hAnsi="Calibri"/>
          <w:b/>
          <w:bCs/>
          <w:color w:val="1B3A5C"/>
          <w:sz w:val="21"/>
          <w:szCs w:val="21"/>
        </w:rPr>
        <w:t xml:space="preserve">•  </w:t>
      </w:r>
      <w:r>
        <w:rPr>
          <w:rFonts w:ascii="Calibri" w:cs="Calibri" w:eastAsia="Calibri" w:hAnsi="Calibri"/>
          <w:b/>
          <w:bCs/>
          <w:color w:val="1C1C1C"/>
          <w:sz w:val="21"/>
          <w:szCs w:val="21"/>
        </w:rPr>
        <w:t xml:space="preserve">Audit Logging: </w:t>
      </w:r>
      <w:r>
        <w:rPr>
          <w:rFonts w:ascii="Calibri" w:cs="Calibri" w:eastAsia="Calibri" w:hAnsi="Calibri"/>
          <w:color w:val="1C1C1C"/>
          <w:sz w:val="21"/>
          <w:szCs w:val="21"/>
        </w:rPr>
        <w:t xml:space="preserve">All agent actions, LLM calls, and remediation attempts are logged in an immutable audit trail with tenant ID, timestamp, and operator identity.</w:t>
      </w:r>
    </w:p>
    <w:p>
      <w:pPr>
        <w:spacing w:after="80" w:before="80"/>
      </w:pPr>
    </w:p>
    <w:p>
      <w:pPr>
        <w:spacing w:after="80" w:before="240"/>
      </w:pPr>
      <w:r>
        <w:rPr>
          <w:rFonts w:ascii="Calibri" w:cs="Calibri" w:eastAsia="Calibri" w:hAnsi="Calibri"/>
          <w:b/>
          <w:bCs/>
          <w:color w:val="1C1C1C"/>
          <w:sz w:val="24"/>
          <w:szCs w:val="24"/>
        </w:rPr>
        <w:t xml:space="preserve">Human-in-the-Loop Guardrails</w:t>
      </w:r>
    </w:p>
    <w:p>
      <w:pPr>
        <w:spacing w:after="60" w:before="60"/>
      </w:pPr>
      <w:r>
        <w:rPr>
          <w:rFonts w:ascii="Calibri" w:cs="Calibri" w:eastAsia="Calibri" w:hAnsi="Calibri"/>
          <w:color w:val="1C1C1C"/>
          <w:sz w:val="21"/>
          <w:szCs w:val="21"/>
        </w:rPr>
        <w:t xml:space="preserve">The agent is designed as a decision-support tool, not an autonomous executor. Every remediation action requires explicit human approval:</w:t>
      </w:r>
    </w:p>
    <w:p>
      <w:pPr>
        <w:spacing w:after="40" w:before="40"/>
      </w:pPr>
    </w:p>
    <w:p>
      <w:pPr>
        <w:spacing w:after="40" w:before="40"/>
        <w:ind w:left="360"/>
      </w:pPr>
      <w:r>
        <w:rPr>
          <w:rFonts w:ascii="Calibri" w:cs="Calibri" w:eastAsia="Calibri" w:hAnsi="Calibri"/>
          <w:b/>
          <w:bCs/>
          <w:color w:val="1B3A5C"/>
          <w:sz w:val="21"/>
          <w:szCs w:val="21"/>
        </w:rPr>
        <w:t xml:space="preserve">•  </w:t>
      </w:r>
      <w:r>
        <w:rPr>
          <w:rFonts w:ascii="Calibri" w:cs="Calibri" w:eastAsia="Calibri" w:hAnsi="Calibri"/>
          <w:b/>
          <w:bCs/>
          <w:color w:val="1C1C1C"/>
          <w:sz w:val="21"/>
          <w:szCs w:val="21"/>
        </w:rPr>
        <w:t xml:space="preserve">Stage 1 — Diagnosis (Autonomous): </w:t>
      </w:r>
      <w:r>
        <w:rPr>
          <w:rFonts w:ascii="Calibri" w:cs="Calibri" w:eastAsia="Calibri" w:hAnsi="Calibri"/>
          <w:color w:val="1C1C1C"/>
          <w:sz w:val="21"/>
          <w:szCs w:val="21"/>
        </w:rPr>
        <w:t xml:space="preserve">The Incident Triage Brief is purely diagnostic. It presents root cause hypotheses with supporting evidence. No infrastructure changes occur at this stage.</w:t>
      </w:r>
    </w:p>
    <w:p>
      <w:pPr>
        <w:spacing w:after="40" w:before="40"/>
        <w:ind w:left="360"/>
      </w:pPr>
      <w:r>
        <w:rPr>
          <w:rFonts w:ascii="Calibri" w:cs="Calibri" w:eastAsia="Calibri" w:hAnsi="Calibri"/>
          <w:b/>
          <w:bCs/>
          <w:color w:val="1B3A5C"/>
          <w:sz w:val="21"/>
          <w:szCs w:val="21"/>
        </w:rPr>
        <w:t xml:space="preserve">•  </w:t>
      </w:r>
      <w:r>
        <w:rPr>
          <w:rFonts w:ascii="Calibri" w:cs="Calibri" w:eastAsia="Calibri" w:hAnsi="Calibri"/>
          <w:b/>
          <w:bCs/>
          <w:color w:val="1C1C1C"/>
          <w:sz w:val="21"/>
          <w:szCs w:val="21"/>
        </w:rPr>
        <w:t xml:space="preserve">Stage 2 — Remediation Preview (1-Click Dry Run): </w:t>
      </w:r>
      <w:r>
        <w:rPr>
          <w:rFonts w:ascii="Calibri" w:cs="Calibri" w:eastAsia="Calibri" w:hAnsi="Calibri"/>
          <w:color w:val="1C1C1C"/>
          <w:sz w:val="21"/>
          <w:szCs w:val="21"/>
        </w:rPr>
        <w:t xml:space="preserve">If the agent identifies a remediation action (e.g., scale-down, rollback, config change), it generates a Terraform plan or CLI command preview. The on-call engineer sees the exact diff before anything executes.</w:t>
      </w:r>
    </w:p>
    <w:p>
      <w:pPr>
        <w:spacing w:after="40" w:before="40"/>
        <w:ind w:left="360"/>
      </w:pPr>
      <w:r>
        <w:rPr>
          <w:rFonts w:ascii="Calibri" w:cs="Calibri" w:eastAsia="Calibri" w:hAnsi="Calibri"/>
          <w:b/>
          <w:bCs/>
          <w:color w:val="1B3A5C"/>
          <w:sz w:val="21"/>
          <w:szCs w:val="21"/>
        </w:rPr>
        <w:t xml:space="preserve">•  </w:t>
      </w:r>
      <w:r>
        <w:rPr>
          <w:rFonts w:ascii="Calibri" w:cs="Calibri" w:eastAsia="Calibri" w:hAnsi="Calibri"/>
          <w:b/>
          <w:bCs/>
          <w:color w:val="1C1C1C"/>
          <w:sz w:val="21"/>
          <w:szCs w:val="21"/>
        </w:rPr>
        <w:t xml:space="preserve">Stage 3 — Execution (Human Approval Required): </w:t>
      </w:r>
      <w:r>
        <w:rPr>
          <w:rFonts w:ascii="Calibri" w:cs="Calibri" w:eastAsia="Calibri" w:hAnsi="Calibri"/>
          <w:color w:val="1C1C1C"/>
          <w:sz w:val="21"/>
          <w:szCs w:val="21"/>
        </w:rPr>
        <w:t xml:space="preserve">The engineer must explicitly approve execution via the Slack action button. The system enforces a minimum 30-second review window and requires MFA verification for P1-level changes.</w:t>
      </w:r>
    </w:p>
    <w:p>
      <w:pPr>
        <w:spacing w:after="40" w:before="40"/>
        <w:ind w:left="360"/>
      </w:pPr>
      <w:r>
        <w:rPr>
          <w:rFonts w:ascii="Calibri" w:cs="Calibri" w:eastAsia="Calibri" w:hAnsi="Calibri"/>
          <w:b/>
          <w:bCs/>
          <w:color w:val="1B3A5C"/>
          <w:sz w:val="21"/>
          <w:szCs w:val="21"/>
        </w:rPr>
        <w:t xml:space="preserve">•  </w:t>
      </w:r>
      <w:r>
        <w:rPr>
          <w:rFonts w:ascii="Calibri" w:cs="Calibri" w:eastAsia="Calibri" w:hAnsi="Calibri"/>
          <w:b/>
          <w:bCs/>
          <w:color w:val="1C1C1C"/>
          <w:sz w:val="21"/>
          <w:szCs w:val="21"/>
        </w:rPr>
        <w:t xml:space="preserve">Stage 4 — Post-Execution Audit: </w:t>
      </w:r>
      <w:r>
        <w:rPr>
          <w:rFonts w:ascii="Calibri" w:cs="Calibri" w:eastAsia="Calibri" w:hAnsi="Calibri"/>
          <w:color w:val="1C1C1C"/>
          <w:sz w:val="21"/>
          <w:szCs w:val="21"/>
        </w:rPr>
        <w:t xml:space="preserve">All remediation actions are logged with operator identity, approval timestamp, and execution outcome. Rollback is automatic if the post-execution health check fails.</w:t>
      </w:r>
    </w:p>
    <w:p>
      <w:pPr>
        <w:spacing w:after="80" w:before="80"/>
      </w:pPr>
    </w:p>
    <w:p>
      <w:pPr>
        <w:spacing w:after="80" w:before="240"/>
      </w:pPr>
      <w:r>
        <w:rPr>
          <w:rFonts w:ascii="Calibri" w:cs="Calibri" w:eastAsia="Calibri" w:hAnsi="Calibri"/>
          <w:b/>
          <w:bCs/>
          <w:color w:val="1C1C1C"/>
          <w:sz w:val="24"/>
          <w:szCs w:val="24"/>
        </w:rPr>
        <w:t xml:space="preserve">Compliance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shd w:fill="1B3A5C" w:val="clear"/>
            <w:tcMar>
              <w:top w:type="dxa" w:w="40"/>
              <w:left w:type="dxa" w:w="80"/>
              <w:bottom w:type="dxa" w:w="40"/>
              <w:right w:type="dxa" w:w="80"/>
            </w:tcMar>
          </w:tcPr>
          <w:p>
            <w:pPr>
              <w:spacing w:after="40" w:before="40"/>
              <w:jc w:val="left"/>
            </w:pPr>
            <w:r>
              <w:rPr>
                <w:rFonts w:ascii="Calibri" w:cs="Calibri" w:eastAsia="Calibri" w:hAnsi="Calibri"/>
                <w:b/>
                <w:bCs/>
                <w:color w:val="FFFFFF"/>
                <w:sz w:val="19"/>
                <w:szCs w:val="19"/>
              </w:rPr>
              <w:t xml:space="preserve">Framework</w:t>
            </w:r>
          </w:p>
        </w:tc>
        <w:tc>
          <w:tcPr>
            <w:tcW w:type="dxa" w:w="3000"/>
            <w:shd w:fill="1B3A5C" w:val="clear"/>
            <w:tcMar>
              <w:top w:type="dxa" w:w="40"/>
              <w:left w:type="dxa" w:w="80"/>
              <w:bottom w:type="dxa" w:w="40"/>
              <w:right w:type="dxa" w:w="80"/>
            </w:tcMar>
          </w:tcPr>
          <w:p>
            <w:pPr>
              <w:spacing w:after="40" w:before="40"/>
              <w:jc w:val="left"/>
            </w:pPr>
            <w:r>
              <w:rPr>
                <w:rFonts w:ascii="Calibri" w:cs="Calibri" w:eastAsia="Calibri" w:hAnsi="Calibri"/>
                <w:b/>
                <w:bCs/>
                <w:color w:val="FFFFFF"/>
                <w:sz w:val="19"/>
                <w:szCs w:val="19"/>
              </w:rPr>
              <w:t xml:space="preserve">Requirement</w:t>
            </w:r>
          </w:p>
        </w:tc>
        <w:tc>
          <w:tcPr>
            <w:tcW w:type="dxa" w:w="4560"/>
            <w:shd w:fill="1B3A5C" w:val="clear"/>
            <w:tcMar>
              <w:top w:type="dxa" w:w="40"/>
              <w:left w:type="dxa" w:w="80"/>
              <w:bottom w:type="dxa" w:w="40"/>
              <w:right w:type="dxa" w:w="80"/>
            </w:tcMar>
          </w:tcPr>
          <w:p>
            <w:pPr>
              <w:spacing w:after="40" w:before="40"/>
              <w:jc w:val="left"/>
            </w:pPr>
            <w:r>
              <w:rPr>
                <w:rFonts w:ascii="Calibri" w:cs="Calibri" w:eastAsia="Calibri" w:hAnsi="Calibri"/>
                <w:b/>
                <w:bCs/>
                <w:color w:val="FFFFFF"/>
                <w:sz w:val="19"/>
                <w:szCs w:val="19"/>
              </w:rPr>
              <w:t xml:space="preserve">Agent Implementation</w:t>
            </w:r>
          </w:p>
        </w:tc>
      </w:tr>
      <w:tr>
        <w:tc>
          <w:tcPr>
            <w:tcW w:type="dxa" w:w="180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SOC 2 Type II</w:t>
            </w:r>
          </w:p>
        </w:tc>
        <w:tc>
          <w:tcPr>
            <w:tcW w:type="dxa" w:w="300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Access controls, audit logging</w:t>
            </w:r>
          </w:p>
        </w:tc>
        <w:tc>
          <w:tcPr>
            <w:tcW w:type="dxa" w:w="456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IAM least-privilege, immutable audit trail</w:t>
            </w:r>
          </w:p>
        </w:tc>
      </w:tr>
      <w:tr>
        <w:tc>
          <w:tcPr>
            <w:tcW w:type="dxa" w:w="1800"/>
            <w:shd w:fill="FFFFFF"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HIPAA</w:t>
            </w:r>
          </w:p>
        </w:tc>
        <w:tc>
          <w:tcPr>
            <w:tcW w:type="dxa" w:w="3000"/>
            <w:shd w:fill="FFFFFF"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PHI data handling, encryption</w:t>
            </w:r>
          </w:p>
        </w:tc>
        <w:tc>
          <w:tcPr>
            <w:tcW w:type="dxa" w:w="4560"/>
            <w:shd w:fill="FFFFFF"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PII stripping, AES-256, ZDR LLM processing</w:t>
            </w:r>
          </w:p>
        </w:tc>
      </w:tr>
      <w:tr>
        <w:tc>
          <w:tcPr>
            <w:tcW w:type="dxa" w:w="180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FedRAMP</w:t>
            </w:r>
          </w:p>
        </w:tc>
        <w:tc>
          <w:tcPr>
            <w:tcW w:type="dxa" w:w="300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Authorized cloud services</w:t>
            </w:r>
          </w:p>
        </w:tc>
        <w:tc>
          <w:tcPr>
            <w:tcW w:type="dxa" w:w="456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Deployable on AWS GovCloud / Azure Gov</w:t>
            </w:r>
          </w:p>
        </w:tc>
      </w:tr>
      <w:tr>
        <w:tc>
          <w:tcPr>
            <w:tcW w:type="dxa" w:w="1800"/>
            <w:shd w:fill="FFFFFF"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GDPR</w:t>
            </w:r>
          </w:p>
        </w:tc>
        <w:tc>
          <w:tcPr>
            <w:tcW w:type="dxa" w:w="3000"/>
            <w:shd w:fill="FFFFFF"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Data minimization, right to erasure</w:t>
            </w:r>
          </w:p>
        </w:tc>
        <w:tc>
          <w:tcPr>
            <w:tcW w:type="dxa" w:w="4560"/>
            <w:shd w:fill="FFFFFF"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Ephemeral processing, no data persistence beyond 72hr TTL</w:t>
            </w:r>
          </w:p>
        </w:tc>
      </w:tr>
      <w:tr>
        <w:tc>
          <w:tcPr>
            <w:tcW w:type="dxa" w:w="180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ISO 27001</w:t>
            </w:r>
          </w:p>
        </w:tc>
        <w:tc>
          <w:tcPr>
            <w:tcW w:type="dxa" w:w="300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Information security management</w:t>
            </w:r>
          </w:p>
        </w:tc>
        <w:tc>
          <w:tcPr>
            <w:tcW w:type="dxa" w:w="456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Tenant isolation, encryption, access logging</w:t>
            </w:r>
          </w:p>
        </w:tc>
      </w:tr>
    </w:tbl>
    <w:p>
      <w:r>
        <w:br w:type="page"/>
      </w:r>
    </w:p>
    <w:p>
      <w:pPr>
        <w:pBdr>
          <w:bottom w:val="single" w:color="1B3A5C" w:sz="6"/>
        </w:pBdr>
        <w:spacing w:after="120" w:before="360"/>
      </w:pPr>
      <w:r>
        <w:rPr>
          <w:rFonts w:ascii="Calibri" w:cs="Calibri" w:eastAsia="Calibri" w:hAnsi="Calibri"/>
          <w:b/>
          <w:bCs/>
          <w:color w:val="1B3A5C"/>
          <w:sz w:val="20"/>
          <w:szCs w:val="20"/>
        </w:rPr>
        <w:t xml:space="preserve">Section 5  </w:t>
      </w:r>
      <w:r>
        <w:rPr>
          <w:rFonts w:ascii="Calibri" w:cs="Calibri" w:eastAsia="Calibri" w:hAnsi="Calibri"/>
          <w:b/>
          <w:bCs/>
          <w:color w:val="1B3A5C"/>
          <w:sz w:val="28"/>
          <w:szCs w:val="28"/>
        </w:rPr>
        <w:t xml:space="preserve">Hackathon Demo Execution Plan</w:t>
      </w:r>
    </w:p>
    <w:p>
      <w:pPr>
        <w:spacing w:after="80" w:before="80"/>
      </w:pPr>
    </w:p>
    <w:p>
      <w:pPr>
        <w:spacing w:after="80" w:before="240"/>
      </w:pPr>
      <w:r>
        <w:rPr>
          <w:rFonts w:ascii="Calibri" w:cs="Calibri" w:eastAsia="Calibri" w:hAnsi="Calibri"/>
          <w:b/>
          <w:bCs/>
          <w:color w:val="1C1C1C"/>
          <w:sz w:val="24"/>
          <w:szCs w:val="24"/>
        </w:rPr>
        <w:t xml:space="preserve">48-Hour Prototype Scope</w:t>
      </w:r>
    </w:p>
    <w:p>
      <w:pPr>
        <w:spacing w:after="60" w:before="60"/>
      </w:pPr>
      <w:r>
        <w:rPr>
          <w:rFonts w:ascii="Calibri" w:cs="Calibri" w:eastAsia="Calibri" w:hAnsi="Calibri"/>
          <w:color w:val="1C1C1C"/>
          <w:sz w:val="21"/>
          <w:szCs w:val="21"/>
        </w:rPr>
        <w:t xml:space="preserve">The hackathon deliverable is a working end-to-end demo that proves the core value proposition: alarm fires → AI triage → Slack brief. The demo uses a simulated client environment with realistic incident scenarios.</w:t>
      </w:r>
    </w:p>
    <w:p>
      <w:pPr>
        <w:spacing w:after="80" w:before="80"/>
      </w:pPr>
    </w:p>
    <w:p>
      <w:pPr>
        <w:spacing w:after="60" w:before="60"/>
      </w:pPr>
      <w:r>
        <w:rPr>
          <w:rFonts w:ascii="Calibri" w:cs="Calibri" w:eastAsia="Calibri" w:hAnsi="Calibri"/>
          <w:b/>
          <w:bCs/>
          <w:color w:val="1C1C1C"/>
          <w:sz w:val="21"/>
          <w:szCs w:val="21"/>
        </w:rPr>
        <w:t xml:space="preserve">In Scope (Prototype)</w:t>
      </w:r>
    </w:p>
    <w:p>
      <w:pPr>
        <w:spacing w:after="40" w:before="40"/>
        <w:ind w:left="360"/>
      </w:pPr>
      <w:r>
        <w:rPr>
          <w:rFonts w:ascii="Calibri" w:cs="Calibri" w:eastAsia="Calibri" w:hAnsi="Calibri"/>
          <w:b/>
          <w:bCs/>
          <w:color w:val="1B3A5C"/>
          <w:sz w:val="21"/>
          <w:szCs w:val="21"/>
        </w:rPr>
        <w:t xml:space="preserve">•  </w:t>
      </w:r>
      <w:r>
        <w:rPr>
          <w:rFonts w:ascii="Calibri" w:cs="Calibri" w:eastAsia="Calibri" w:hAnsi="Calibri"/>
          <w:b/>
          <w:bCs/>
          <w:color w:val="1C1C1C"/>
          <w:sz w:val="21"/>
          <w:szCs w:val="21"/>
        </w:rPr>
        <w:t xml:space="preserve">Alarm Simulation: </w:t>
      </w:r>
      <w:r>
        <w:rPr>
          <w:rFonts w:ascii="Calibri" w:cs="Calibri" w:eastAsia="Calibri" w:hAnsi="Calibri"/>
          <w:color w:val="1C1C1C"/>
          <w:sz w:val="21"/>
          <w:szCs w:val="21"/>
        </w:rPr>
        <w:t xml:space="preserve">Simulated CloudWatch alarm triggers (SNS → Lambda) for 3 incident types: CPU spike, memory exhaustion, deployment regression.</w:t>
      </w:r>
    </w:p>
    <w:p>
      <w:pPr>
        <w:spacing w:after="40" w:before="40"/>
        <w:ind w:left="360"/>
      </w:pPr>
      <w:r>
        <w:rPr>
          <w:rFonts w:ascii="Calibri" w:cs="Calibri" w:eastAsia="Calibri" w:hAnsi="Calibri"/>
          <w:b/>
          <w:bCs/>
          <w:color w:val="1B3A5C"/>
          <w:sz w:val="21"/>
          <w:szCs w:val="21"/>
        </w:rPr>
        <w:t xml:space="preserve">•  </w:t>
      </w:r>
      <w:r>
        <w:rPr>
          <w:rFonts w:ascii="Calibri" w:cs="Calibri" w:eastAsia="Calibri" w:hAnsi="Calibri"/>
          <w:b/>
          <w:bCs/>
          <w:color w:val="1C1C1C"/>
          <w:sz w:val="21"/>
          <w:szCs w:val="21"/>
        </w:rPr>
        <w:t xml:space="preserve">Log + Metric Retrieval: </w:t>
      </w:r>
      <w:r>
        <w:rPr>
          <w:rFonts w:ascii="Calibri" w:cs="Calibri" w:eastAsia="Calibri" w:hAnsi="Calibri"/>
          <w:color w:val="1C1C1C"/>
          <w:sz w:val="21"/>
          <w:szCs w:val="21"/>
        </w:rPr>
        <w:t xml:space="preserve">Lambda-based retriever pulls canned log snippets, metric snapshots, and Git commit history from a staging environment.</w:t>
      </w:r>
    </w:p>
    <w:p>
      <w:pPr>
        <w:spacing w:after="40" w:before="40"/>
        <w:ind w:left="360"/>
      </w:pPr>
      <w:r>
        <w:rPr>
          <w:rFonts w:ascii="Calibri" w:cs="Calibri" w:eastAsia="Calibri" w:hAnsi="Calibri"/>
          <w:b/>
          <w:bCs/>
          <w:color w:val="1B3A5C"/>
          <w:sz w:val="21"/>
          <w:szCs w:val="21"/>
        </w:rPr>
        <w:t xml:space="preserve">•  </w:t>
      </w:r>
      <w:r>
        <w:rPr>
          <w:rFonts w:ascii="Calibri" w:cs="Calibri" w:eastAsia="Calibri" w:hAnsi="Calibri"/>
          <w:b/>
          <w:bCs/>
          <w:color w:val="1C1C1C"/>
          <w:sz w:val="21"/>
          <w:szCs w:val="21"/>
        </w:rPr>
        <w:t xml:space="preserve">LLM Triage Engine: </w:t>
      </w:r>
      <w:r>
        <w:rPr>
          <w:rFonts w:ascii="Calibri" w:cs="Calibri" w:eastAsia="Calibri" w:hAnsi="Calibri"/>
          <w:color w:val="1C1C1C"/>
          <w:sz w:val="21"/>
          <w:szCs w:val="21"/>
        </w:rPr>
        <w:t xml:space="preserve">Claude Sonnet API call with structured prompt template. Multi-hypothesis root cause analysis with confidence scoring.</w:t>
      </w:r>
    </w:p>
    <w:p>
      <w:pPr>
        <w:spacing w:after="40" w:before="40"/>
        <w:ind w:left="360"/>
      </w:pPr>
      <w:r>
        <w:rPr>
          <w:rFonts w:ascii="Calibri" w:cs="Calibri" w:eastAsia="Calibri" w:hAnsi="Calibri"/>
          <w:b/>
          <w:bCs/>
          <w:color w:val="1B3A5C"/>
          <w:sz w:val="21"/>
          <w:szCs w:val="21"/>
        </w:rPr>
        <w:t xml:space="preserve">•  </w:t>
      </w:r>
      <w:r>
        <w:rPr>
          <w:rFonts w:ascii="Calibri" w:cs="Calibri" w:eastAsia="Calibri" w:hAnsi="Calibri"/>
          <w:b/>
          <w:bCs/>
          <w:color w:val="1C1C1C"/>
          <w:sz w:val="21"/>
          <w:szCs w:val="21"/>
        </w:rPr>
        <w:t xml:space="preserve">Slack Delivery: </w:t>
      </w:r>
      <w:r>
        <w:rPr>
          <w:rFonts w:ascii="Calibri" w:cs="Calibri" w:eastAsia="Calibri" w:hAnsi="Calibri"/>
          <w:color w:val="1C1C1C"/>
          <w:sz w:val="21"/>
          <w:szCs w:val="21"/>
        </w:rPr>
        <w:t xml:space="preserve">Formatted Incident Triage Brief posted to a demo Slack channel using Block Kit with interactive action buttons.</w:t>
      </w:r>
    </w:p>
    <w:p>
      <w:pPr>
        <w:spacing w:after="40" w:before="40"/>
        <w:ind w:left="360"/>
      </w:pPr>
      <w:r>
        <w:rPr>
          <w:rFonts w:ascii="Calibri" w:cs="Calibri" w:eastAsia="Calibri" w:hAnsi="Calibri"/>
          <w:b/>
          <w:bCs/>
          <w:color w:val="1B3A5C"/>
          <w:sz w:val="21"/>
          <w:szCs w:val="21"/>
        </w:rPr>
        <w:t xml:space="preserve">•  </w:t>
      </w:r>
      <w:r>
        <w:rPr>
          <w:rFonts w:ascii="Calibri" w:cs="Calibri" w:eastAsia="Calibri" w:hAnsi="Calibri"/>
          <w:b/>
          <w:bCs/>
          <w:color w:val="1C1C1C"/>
          <w:sz w:val="21"/>
          <w:szCs w:val="21"/>
        </w:rPr>
        <w:t xml:space="preserve">1-Click Dry Run: </w:t>
      </w:r>
      <w:r>
        <w:rPr>
          <w:rFonts w:ascii="Calibri" w:cs="Calibri" w:eastAsia="Calibri" w:hAnsi="Calibri"/>
          <w:color w:val="1C1C1C"/>
          <w:sz w:val="21"/>
          <w:szCs w:val="21"/>
        </w:rPr>
        <w:t xml:space="preserve">"Preview Remediation" button displays a mock Terraform plan diff. No actual execution.</w:t>
      </w:r>
    </w:p>
    <w:p>
      <w:pPr>
        <w:spacing w:after="40" w:before="40"/>
        <w:ind w:left="360"/>
      </w:pPr>
      <w:r>
        <w:rPr>
          <w:rFonts w:ascii="Calibri" w:cs="Calibri" w:eastAsia="Calibri" w:hAnsi="Calibri"/>
          <w:b/>
          <w:bCs/>
          <w:color w:val="1B3A5C"/>
          <w:sz w:val="21"/>
          <w:szCs w:val="21"/>
        </w:rPr>
        <w:t xml:space="preserve">•  </w:t>
      </w:r>
      <w:r>
        <w:rPr>
          <w:rFonts w:ascii="Calibri" w:cs="Calibri" w:eastAsia="Calibri" w:hAnsi="Calibri"/>
          <w:b/>
          <w:bCs/>
          <w:color w:val="1C1C1C"/>
          <w:sz w:val="21"/>
          <w:szCs w:val="21"/>
        </w:rPr>
        <w:t xml:space="preserve">Financial Impact Widget: </w:t>
      </w:r>
      <w:r>
        <w:rPr>
          <w:rFonts w:ascii="Calibri" w:cs="Calibri" w:eastAsia="Calibri" w:hAnsi="Calibri"/>
          <w:color w:val="1C1C1C"/>
          <w:sz w:val="21"/>
          <w:szCs w:val="21"/>
        </w:rPr>
        <w:t xml:space="preserve">Real-time cost impact estimate (e.g., "This auto-scaling event is burning $47/hr").</w:t>
      </w:r>
    </w:p>
    <w:p>
      <w:pPr>
        <w:spacing w:after="80" w:before="80"/>
      </w:pPr>
    </w:p>
    <w:p>
      <w:pPr>
        <w:spacing w:after="60" w:before="60"/>
      </w:pPr>
      <w:r>
        <w:rPr>
          <w:rFonts w:ascii="Calibri" w:cs="Calibri" w:eastAsia="Calibri" w:hAnsi="Calibri"/>
          <w:b/>
          <w:bCs/>
          <w:color w:val="1C1C1C"/>
          <w:sz w:val="21"/>
          <w:szCs w:val="21"/>
        </w:rPr>
        <w:t xml:space="preserve">Out of Scope (Production Roadmap)</w:t>
      </w:r>
    </w:p>
    <w:p>
      <w:pPr>
        <w:spacing w:after="40" w:before="40"/>
        <w:ind w:left="360"/>
      </w:pPr>
      <w:r>
        <w:rPr>
          <w:rFonts w:ascii="Calibri" w:cs="Calibri" w:eastAsia="Calibri" w:hAnsi="Calibri"/>
          <w:b/>
          <w:bCs/>
          <w:color w:val="1B3A5C"/>
          <w:sz w:val="21"/>
          <w:szCs w:val="21"/>
        </w:rPr>
        <w:t xml:space="preserve">•  </w:t>
      </w:r>
      <w:r>
        <w:rPr>
          <w:rFonts w:ascii="Calibri" w:cs="Calibri" w:eastAsia="Calibri" w:hAnsi="Calibri"/>
          <w:b/>
          <w:bCs/>
          <w:color w:val="1C1C1C"/>
          <w:sz w:val="21"/>
          <w:szCs w:val="21"/>
        </w:rPr>
        <w:t xml:space="preserve">Multi-Account IAM: </w:t>
      </w:r>
      <w:r>
        <w:rPr>
          <w:rFonts w:ascii="Calibri" w:cs="Calibri" w:eastAsia="Calibri" w:hAnsi="Calibri"/>
          <w:color w:val="1C1C1C"/>
          <w:sz w:val="21"/>
          <w:szCs w:val="21"/>
        </w:rPr>
        <w:t xml:space="preserve">Full cross-account IAM federation across 100+ client AWS/Azure/GCP accounts.</w:t>
      </w:r>
    </w:p>
    <w:p>
      <w:pPr>
        <w:spacing w:after="40" w:before="40"/>
        <w:ind w:left="360"/>
      </w:pPr>
      <w:r>
        <w:rPr>
          <w:rFonts w:ascii="Calibri" w:cs="Calibri" w:eastAsia="Calibri" w:hAnsi="Calibri"/>
          <w:b/>
          <w:bCs/>
          <w:color w:val="1B3A5C"/>
          <w:sz w:val="21"/>
          <w:szCs w:val="21"/>
        </w:rPr>
        <w:t xml:space="preserve">•  </w:t>
      </w:r>
      <w:r>
        <w:rPr>
          <w:rFonts w:ascii="Calibri" w:cs="Calibri" w:eastAsia="Calibri" w:hAnsi="Calibri"/>
          <w:b/>
          <w:bCs/>
          <w:color w:val="1C1C1C"/>
          <w:sz w:val="21"/>
          <w:szCs w:val="21"/>
        </w:rPr>
        <w:t xml:space="preserve">Observability Platform Connectors: </w:t>
      </w:r>
      <w:r>
        <w:rPr>
          <w:rFonts w:ascii="Calibri" w:cs="Calibri" w:eastAsia="Calibri" w:hAnsi="Calibri"/>
          <w:color w:val="1C1C1C"/>
          <w:sz w:val="21"/>
          <w:szCs w:val="21"/>
        </w:rPr>
        <w:t xml:space="preserve">Plug-and-play connectors for Datadog, New Relic, Splunk, Grafana, Dynatrace, Elastic.</w:t>
      </w:r>
    </w:p>
    <w:p>
      <w:pPr>
        <w:spacing w:after="40" w:before="40"/>
        <w:ind w:left="360"/>
      </w:pPr>
      <w:r>
        <w:rPr>
          <w:rFonts w:ascii="Calibri" w:cs="Calibri" w:eastAsia="Calibri" w:hAnsi="Calibri"/>
          <w:b/>
          <w:bCs/>
          <w:color w:val="1B3A5C"/>
          <w:sz w:val="21"/>
          <w:szCs w:val="21"/>
        </w:rPr>
        <w:t xml:space="preserve">•  </w:t>
      </w:r>
      <w:r>
        <w:rPr>
          <w:rFonts w:ascii="Calibri" w:cs="Calibri" w:eastAsia="Calibri" w:hAnsi="Calibri"/>
          <w:b/>
          <w:bCs/>
          <w:color w:val="1C1C1C"/>
          <w:sz w:val="21"/>
          <w:szCs w:val="21"/>
        </w:rPr>
        <w:t xml:space="preserve">Feedback Loop / Learning: </w:t>
      </w:r>
      <w:r>
        <w:rPr>
          <w:rFonts w:ascii="Calibri" w:cs="Calibri" w:eastAsia="Calibri" w:hAnsi="Calibri"/>
          <w:color w:val="1C1C1C"/>
          <w:sz w:val="21"/>
          <w:szCs w:val="21"/>
        </w:rPr>
        <w:t xml:space="preserve">Agent improves triage accuracy over time by learning from resolved incident patterns.</w:t>
      </w:r>
    </w:p>
    <w:p>
      <w:pPr>
        <w:spacing w:after="40" w:before="40"/>
        <w:ind w:left="360"/>
      </w:pPr>
      <w:r>
        <w:rPr>
          <w:rFonts w:ascii="Calibri" w:cs="Calibri" w:eastAsia="Calibri" w:hAnsi="Calibri"/>
          <w:b/>
          <w:bCs/>
          <w:color w:val="1B3A5C"/>
          <w:sz w:val="21"/>
          <w:szCs w:val="21"/>
        </w:rPr>
        <w:t xml:space="preserve">•  </w:t>
      </w:r>
      <w:r>
        <w:rPr>
          <w:rFonts w:ascii="Calibri" w:cs="Calibri" w:eastAsia="Calibri" w:hAnsi="Calibri"/>
          <w:b/>
          <w:bCs/>
          <w:color w:val="1C1C1C"/>
          <w:sz w:val="21"/>
          <w:szCs w:val="21"/>
        </w:rPr>
        <w:t xml:space="preserve">Remediation Execution: </w:t>
      </w:r>
      <w:r>
        <w:rPr>
          <w:rFonts w:ascii="Calibri" w:cs="Calibri" w:eastAsia="Calibri" w:hAnsi="Calibri"/>
          <w:color w:val="1C1C1C"/>
          <w:sz w:val="21"/>
          <w:szCs w:val="21"/>
        </w:rPr>
        <w:t xml:space="preserve">Live Terraform/CLI execution with MFA-gated human approval workflow.</w:t>
      </w:r>
    </w:p>
    <w:p>
      <w:pPr>
        <w:spacing w:after="40" w:before="40"/>
        <w:ind w:left="360"/>
      </w:pPr>
      <w:r>
        <w:rPr>
          <w:rFonts w:ascii="Calibri" w:cs="Calibri" w:eastAsia="Calibri" w:hAnsi="Calibri"/>
          <w:b/>
          <w:bCs/>
          <w:color w:val="1B3A5C"/>
          <w:sz w:val="21"/>
          <w:szCs w:val="21"/>
        </w:rPr>
        <w:t xml:space="preserve">•  </w:t>
      </w:r>
      <w:r>
        <w:rPr>
          <w:rFonts w:ascii="Calibri" w:cs="Calibri" w:eastAsia="Calibri" w:hAnsi="Calibri"/>
          <w:b/>
          <w:bCs/>
          <w:color w:val="1C1C1C"/>
          <w:sz w:val="21"/>
          <w:szCs w:val="21"/>
        </w:rPr>
        <w:t xml:space="preserve">Compliance Certification: </w:t>
      </w:r>
      <w:r>
        <w:rPr>
          <w:rFonts w:ascii="Calibri" w:cs="Calibri" w:eastAsia="Calibri" w:hAnsi="Calibri"/>
          <w:color w:val="1C1C1C"/>
          <w:sz w:val="21"/>
          <w:szCs w:val="21"/>
        </w:rPr>
        <w:t xml:space="preserve">SOC 2, HIPAA, FedRAMP certification of the agent pipeline.</w:t>
      </w:r>
    </w:p>
    <w:p>
      <w:pPr>
        <w:spacing w:after="40" w:before="40"/>
        <w:ind w:left="360"/>
      </w:pPr>
      <w:r>
        <w:rPr>
          <w:rFonts w:ascii="Calibri" w:cs="Calibri" w:eastAsia="Calibri" w:hAnsi="Calibri"/>
          <w:b/>
          <w:bCs/>
          <w:color w:val="1B3A5C"/>
          <w:sz w:val="21"/>
          <w:szCs w:val="21"/>
        </w:rPr>
        <w:t xml:space="preserve">•  </w:t>
      </w:r>
      <w:r>
        <w:rPr>
          <w:rFonts w:ascii="Calibri" w:cs="Calibri" w:eastAsia="Calibri" w:hAnsi="Calibri"/>
          <w:b/>
          <w:bCs/>
          <w:color w:val="1C1C1C"/>
          <w:sz w:val="21"/>
          <w:szCs w:val="21"/>
        </w:rPr>
        <w:t xml:space="preserve">Client-Specific Runbooks: </w:t>
      </w:r>
      <w:r>
        <w:rPr>
          <w:rFonts w:ascii="Calibri" w:cs="Calibri" w:eastAsia="Calibri" w:hAnsi="Calibri"/>
          <w:color w:val="1C1C1C"/>
          <w:sz w:val="21"/>
          <w:szCs w:val="21"/>
        </w:rPr>
        <w:t xml:space="preserve">Customizable runbooks and escalation policies per client SLA tier.</w:t>
      </w:r>
    </w:p>
    <w:p>
      <w:pPr>
        <w:spacing w:after="80" w:before="80"/>
      </w:pPr>
    </w:p>
    <w:p>
      <w:pPr>
        <w:spacing w:after="80" w:before="240"/>
      </w:pPr>
      <w:r>
        <w:rPr>
          <w:rFonts w:ascii="Calibri" w:cs="Calibri" w:eastAsia="Calibri" w:hAnsi="Calibri"/>
          <w:b/>
          <w:bCs/>
          <w:color w:val="1C1C1C"/>
          <w:sz w:val="24"/>
          <w:szCs w:val="24"/>
        </w:rPr>
        <w:t xml:space="preserve">48-Hour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6760"/>
      </w:tblGrid>
      <w:tr>
        <w:trPr>
          <w:tblHeader/>
        </w:trPr>
        <w:tc>
          <w:tcPr>
            <w:tcW w:type="dxa" w:w="1600"/>
            <w:shd w:fill="1B3A5C" w:val="clear"/>
            <w:tcMar>
              <w:top w:type="dxa" w:w="40"/>
              <w:left w:type="dxa" w:w="80"/>
              <w:bottom w:type="dxa" w:w="40"/>
              <w:right w:type="dxa" w:w="80"/>
            </w:tcMar>
          </w:tcPr>
          <w:p>
            <w:pPr>
              <w:spacing w:after="40" w:before="40"/>
              <w:jc w:val="left"/>
            </w:pPr>
            <w:r>
              <w:rPr>
                <w:rFonts w:ascii="Calibri" w:cs="Calibri" w:eastAsia="Calibri" w:hAnsi="Calibri"/>
                <w:b/>
                <w:bCs/>
                <w:color w:val="FFFFFF"/>
                <w:sz w:val="19"/>
                <w:szCs w:val="19"/>
              </w:rPr>
              <w:t xml:space="preserve">Block</w:t>
            </w:r>
          </w:p>
        </w:tc>
        <w:tc>
          <w:tcPr>
            <w:tcW w:type="dxa" w:w="1000"/>
            <w:shd w:fill="1B3A5C" w:val="clear"/>
            <w:tcMar>
              <w:top w:type="dxa" w:w="40"/>
              <w:left w:type="dxa" w:w="80"/>
              <w:bottom w:type="dxa" w:w="40"/>
              <w:right w:type="dxa" w:w="80"/>
            </w:tcMar>
          </w:tcPr>
          <w:p>
            <w:pPr>
              <w:spacing w:after="40" w:before="40"/>
              <w:jc w:val="left"/>
            </w:pPr>
            <w:r>
              <w:rPr>
                <w:rFonts w:ascii="Calibri" w:cs="Calibri" w:eastAsia="Calibri" w:hAnsi="Calibri"/>
                <w:b/>
                <w:bCs/>
                <w:color w:val="FFFFFF"/>
                <w:sz w:val="19"/>
                <w:szCs w:val="19"/>
              </w:rPr>
              <w:t xml:space="preserve">Hours</w:t>
            </w:r>
          </w:p>
        </w:tc>
        <w:tc>
          <w:tcPr>
            <w:tcW w:type="dxa" w:w="6760"/>
            <w:shd w:fill="1B3A5C" w:val="clear"/>
            <w:tcMar>
              <w:top w:type="dxa" w:w="40"/>
              <w:left w:type="dxa" w:w="80"/>
              <w:bottom w:type="dxa" w:w="40"/>
              <w:right w:type="dxa" w:w="80"/>
            </w:tcMar>
          </w:tcPr>
          <w:p>
            <w:pPr>
              <w:spacing w:after="40" w:before="40"/>
              <w:jc w:val="left"/>
            </w:pPr>
            <w:r>
              <w:rPr>
                <w:rFonts w:ascii="Calibri" w:cs="Calibri" w:eastAsia="Calibri" w:hAnsi="Calibri"/>
                <w:b/>
                <w:bCs/>
                <w:color w:val="FFFFFF"/>
                <w:sz w:val="19"/>
                <w:szCs w:val="19"/>
              </w:rPr>
              <w:t xml:space="preserve">Deliverable</w:t>
            </w:r>
          </w:p>
        </w:tc>
      </w:tr>
      <w:tr>
        <w:tc>
          <w:tcPr>
            <w:tcW w:type="dxa" w:w="160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Hours 0–6</w:t>
            </w:r>
          </w:p>
        </w:tc>
        <w:tc>
          <w:tcPr>
            <w:tcW w:type="dxa" w:w="100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6</w:t>
            </w:r>
          </w:p>
        </w:tc>
        <w:tc>
          <w:tcPr>
            <w:tcW w:type="dxa" w:w="676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Environment setup: AWS Lambda, SQS, SNS, Slack app, Claude API key. Staging data seeded.</w:t>
            </w:r>
          </w:p>
        </w:tc>
      </w:tr>
      <w:tr>
        <w:tc>
          <w:tcPr>
            <w:tcW w:type="dxa" w:w="1600"/>
            <w:shd w:fill="FFFFFF"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Hours 6–16</w:t>
            </w:r>
          </w:p>
        </w:tc>
        <w:tc>
          <w:tcPr>
            <w:tcW w:type="dxa" w:w="1000"/>
            <w:shd w:fill="FFFFFF"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10</w:t>
            </w:r>
          </w:p>
        </w:tc>
        <w:tc>
          <w:tcPr>
            <w:tcW w:type="dxa" w:w="6760"/>
            <w:shd w:fill="FFFFFF"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Core agent pipeline: alarm ingestion → parallel data retrieval → context assembly → LLM call.</w:t>
            </w:r>
          </w:p>
        </w:tc>
      </w:tr>
      <w:tr>
        <w:tc>
          <w:tcPr>
            <w:tcW w:type="dxa" w:w="160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Hours 16–26</w:t>
            </w:r>
          </w:p>
        </w:tc>
        <w:tc>
          <w:tcPr>
            <w:tcW w:type="dxa" w:w="100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10</w:t>
            </w:r>
          </w:p>
        </w:tc>
        <w:tc>
          <w:tcPr>
            <w:tcW w:type="dxa" w:w="676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Slack integration: Block Kit triage brief template, action buttons, dry-run remediation preview.</w:t>
            </w:r>
          </w:p>
        </w:tc>
      </w:tr>
      <w:tr>
        <w:tc>
          <w:tcPr>
            <w:tcW w:type="dxa" w:w="1600"/>
            <w:shd w:fill="FFFFFF"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Hours 26–34</w:t>
            </w:r>
          </w:p>
        </w:tc>
        <w:tc>
          <w:tcPr>
            <w:tcW w:type="dxa" w:w="1000"/>
            <w:shd w:fill="FFFFFF"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8</w:t>
            </w:r>
          </w:p>
        </w:tc>
        <w:tc>
          <w:tcPr>
            <w:tcW w:type="dxa" w:w="6760"/>
            <w:shd w:fill="FFFFFF"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Financial impact calculator: parse CloudWatch billing metrics, estimate burn rate, embed in brief.</w:t>
            </w:r>
          </w:p>
        </w:tc>
      </w:tr>
      <w:tr>
        <w:tc>
          <w:tcPr>
            <w:tcW w:type="dxa" w:w="160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Hours 34–42</w:t>
            </w:r>
          </w:p>
        </w:tc>
        <w:tc>
          <w:tcPr>
            <w:tcW w:type="dxa" w:w="100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8</w:t>
            </w:r>
          </w:p>
        </w:tc>
        <w:tc>
          <w:tcPr>
            <w:tcW w:type="dxa" w:w="676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End-to-end testing: 3 incident scenarios, edge cases, error handling, latency optimization.</w:t>
            </w:r>
          </w:p>
        </w:tc>
      </w:tr>
      <w:tr>
        <w:tc>
          <w:tcPr>
            <w:tcW w:type="dxa" w:w="1600"/>
            <w:shd w:fill="FFFFFF"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Hours 42–48</w:t>
            </w:r>
          </w:p>
        </w:tc>
        <w:tc>
          <w:tcPr>
            <w:tcW w:type="dxa" w:w="1000"/>
            <w:shd w:fill="FFFFFF"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6</w:t>
            </w:r>
          </w:p>
        </w:tc>
        <w:tc>
          <w:tcPr>
            <w:tcW w:type="dxa" w:w="6760"/>
            <w:shd w:fill="FFFFFF"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Demo prep: slide deck, live walkthrough script, judge Q&amp;A prep, backup demo recording.</w:t>
            </w:r>
          </w:p>
        </w:tc>
      </w:tr>
    </w:tbl>
    <w:p>
      <w:pPr>
        <w:spacing w:after="80" w:before="80"/>
      </w:pPr>
    </w:p>
    <w:p>
      <w:pPr>
        <w:spacing w:after="80" w:before="240"/>
      </w:pPr>
      <w:r>
        <w:rPr>
          <w:rFonts w:ascii="Calibri" w:cs="Calibri" w:eastAsia="Calibri" w:hAnsi="Calibri"/>
          <w:b/>
          <w:bCs/>
          <w:color w:val="1C1C1C"/>
          <w:sz w:val="24"/>
          <w:szCs w:val="24"/>
        </w:rPr>
        <w:t xml:space="preserve">Production Roadmap (Post-Hackathon)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shd w:fill="1B3A5C" w:val="clear"/>
            <w:tcMar>
              <w:top w:type="dxa" w:w="40"/>
              <w:left w:type="dxa" w:w="80"/>
              <w:bottom w:type="dxa" w:w="40"/>
              <w:right w:type="dxa" w:w="80"/>
            </w:tcMar>
          </w:tcPr>
          <w:p>
            <w:pPr>
              <w:spacing w:after="40" w:before="40"/>
              <w:jc w:val="left"/>
            </w:pPr>
            <w:r>
              <w:rPr>
                <w:rFonts w:ascii="Calibri" w:cs="Calibri" w:eastAsia="Calibri" w:hAnsi="Calibri"/>
                <w:b/>
                <w:bCs/>
                <w:color w:val="FFFFFF"/>
                <w:sz w:val="19"/>
                <w:szCs w:val="19"/>
              </w:rPr>
              <w:t xml:space="preserve">Phase</w:t>
            </w:r>
          </w:p>
        </w:tc>
        <w:tc>
          <w:tcPr>
            <w:tcW w:type="dxa" w:w="1800"/>
            <w:shd w:fill="1B3A5C" w:val="clear"/>
            <w:tcMar>
              <w:top w:type="dxa" w:w="40"/>
              <w:left w:type="dxa" w:w="80"/>
              <w:bottom w:type="dxa" w:w="40"/>
              <w:right w:type="dxa" w:w="80"/>
            </w:tcMar>
          </w:tcPr>
          <w:p>
            <w:pPr>
              <w:spacing w:after="40" w:before="40"/>
              <w:jc w:val="left"/>
            </w:pPr>
            <w:r>
              <w:rPr>
                <w:rFonts w:ascii="Calibri" w:cs="Calibri" w:eastAsia="Calibri" w:hAnsi="Calibri"/>
                <w:b/>
                <w:bCs/>
                <w:color w:val="FFFFFF"/>
                <w:sz w:val="19"/>
                <w:szCs w:val="19"/>
              </w:rPr>
              <w:t xml:space="preserve">Timeline</w:t>
            </w:r>
          </w:p>
        </w:tc>
        <w:tc>
          <w:tcPr>
            <w:tcW w:type="dxa" w:w="5760"/>
            <w:shd w:fill="1B3A5C" w:val="clear"/>
            <w:tcMar>
              <w:top w:type="dxa" w:w="40"/>
              <w:left w:type="dxa" w:w="80"/>
              <w:bottom w:type="dxa" w:w="40"/>
              <w:right w:type="dxa" w:w="80"/>
            </w:tcMar>
          </w:tcPr>
          <w:p>
            <w:pPr>
              <w:spacing w:after="40" w:before="40"/>
              <w:jc w:val="left"/>
            </w:pPr>
            <w:r>
              <w:rPr>
                <w:rFonts w:ascii="Calibri" w:cs="Calibri" w:eastAsia="Calibri" w:hAnsi="Calibri"/>
                <w:b/>
                <w:bCs/>
                <w:color w:val="FFFFFF"/>
                <w:sz w:val="19"/>
                <w:szCs w:val="19"/>
              </w:rPr>
              <w:t xml:space="preserve">Scope</w:t>
            </w:r>
          </w:p>
        </w:tc>
      </w:tr>
      <w:tr>
        <w:tc>
          <w:tcPr>
            <w:tcW w:type="dxa" w:w="180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Phase 1: Pilot</w:t>
            </w:r>
          </w:p>
        </w:tc>
        <w:tc>
          <w:tcPr>
            <w:tcW w:type="dxa" w:w="180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Weeks 1–6</w:t>
            </w:r>
          </w:p>
        </w:tc>
        <w:tc>
          <w:tcPr>
            <w:tcW w:type="dxa" w:w="576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Deploy to 5 production client environments. Validate triage accuracy against historical incidents. Integrate 2 observability platforms.</w:t>
            </w:r>
          </w:p>
        </w:tc>
      </w:tr>
      <w:tr>
        <w:tc>
          <w:tcPr>
            <w:tcW w:type="dxa" w:w="1800"/>
            <w:shd w:fill="FFFFFF"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Phase 2: Scale</w:t>
            </w:r>
          </w:p>
        </w:tc>
        <w:tc>
          <w:tcPr>
            <w:tcW w:type="dxa" w:w="1800"/>
            <w:shd w:fill="FFFFFF"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Weeks 7–14</w:t>
            </w:r>
          </w:p>
        </w:tc>
        <w:tc>
          <w:tcPr>
            <w:tcW w:type="dxa" w:w="5760"/>
            <w:shd w:fill="FFFFFF"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Expand to 25 clients. Build observability connectors (Datadog, New Relic, Splunk). Add feedback loop for model tuning.</w:t>
            </w:r>
          </w:p>
        </w:tc>
      </w:tr>
      <w:tr>
        <w:tc>
          <w:tcPr>
            <w:tcW w:type="dxa" w:w="180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Phase 3: GA</w:t>
            </w:r>
          </w:p>
        </w:tc>
        <w:tc>
          <w:tcPr>
            <w:tcW w:type="dxa" w:w="180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Weeks 15–24</w:t>
            </w:r>
          </w:p>
        </w:tc>
        <w:tc>
          <w:tcPr>
            <w:tcW w:type="dxa" w:w="5760"/>
            <w:shd w:fill="F2F4F7"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General availability across all Presidio managed clients. SOC 2 audit. Client-facing SLA guarantees on triage latency.</w:t>
            </w:r>
          </w:p>
        </w:tc>
      </w:tr>
      <w:tr>
        <w:tc>
          <w:tcPr>
            <w:tcW w:type="dxa" w:w="1800"/>
            <w:shd w:fill="FFFFFF"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Phase 4: Monetize</w:t>
            </w:r>
          </w:p>
        </w:tc>
        <w:tc>
          <w:tcPr>
            <w:tcW w:type="dxa" w:w="1800"/>
            <w:shd w:fill="FFFFFF"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Weeks 25–36</w:t>
            </w:r>
          </w:p>
        </w:tc>
        <w:tc>
          <w:tcPr>
            <w:tcW w:type="dxa" w:w="5760"/>
            <w:shd w:fill="FFFFFF" w:val="clear"/>
            <w:tcMar>
              <w:top w:type="dxa" w:w="40"/>
              <w:left w:type="dxa" w:w="80"/>
              <w:bottom w:type="dxa" w:w="40"/>
              <w:right w:type="dxa" w:w="80"/>
            </w:tcMar>
          </w:tcPr>
          <w:p>
            <w:pPr>
              <w:spacing w:after="40" w:before="40"/>
              <w:jc w:val="left"/>
            </w:pPr>
            <w:r>
              <w:rPr>
                <w:rFonts w:ascii="Calibri" w:cs="Calibri" w:eastAsia="Calibri" w:hAnsi="Calibri"/>
                <w:b w:val="false"/>
                <w:bCs w:val="false"/>
                <w:color w:val="1C1C1C"/>
                <w:sz w:val="19"/>
                <w:szCs w:val="19"/>
              </w:rPr>
              <w:t xml:space="preserve">Package as a premium Presidio Managed Service add-on. Tiered pricing: Basic (triage only), Pro (triage + remediation), Enterprise (custom runbooks).</w:t>
            </w:r>
          </w:p>
        </w:tc>
      </w:tr>
    </w:tbl>
    <w:p>
      <w:r>
        <w:br w:type="page"/>
      </w:r>
    </w:p>
    <w:p>
      <w:pPr>
        <w:spacing w:before="600"/>
        <w:jc w:val="center"/>
      </w:pPr>
      <w:r>
        <w:rPr>
          <w:rFonts w:ascii="Calibri" w:cs="Calibri" w:eastAsia="Calibri" w:hAnsi="Calibri"/>
          <w:b/>
          <w:bCs/>
          <w:color w:val="1B3A5C"/>
          <w:sz w:val="36"/>
          <w:szCs w:val="36"/>
        </w:rPr>
        <w:t xml:space="preserve">Bottom Line</w:t>
      </w:r>
    </w:p>
    <w:p>
      <w:pPr>
        <w:spacing w:after="200" w:before="200"/>
      </w:pPr>
    </w:p>
    <w:p>
      <w:pPr>
        <w:spacing w:after="100" w:before="100"/>
        <w:jc w:val="center"/>
      </w:pPr>
      <w:r>
        <w:rPr>
          <w:rFonts w:ascii="Calibri" w:cs="Calibri" w:eastAsia="Calibri" w:hAnsi="Calibri"/>
          <w:i/>
          <w:iCs/>
          <w:color w:val="1C1C1C"/>
          <w:sz w:val="24"/>
          <w:szCs w:val="24"/>
        </w:rPr>
        <w:t xml:space="preserve">Every minute an L1 engineer spends reading CloudWatch logs is a minute Presidio is paying a human to do what an API call can accomplish in 30 seconds.</w:t>
      </w:r>
    </w:p>
    <w:p>
      <w:pPr>
        <w:spacing w:after="120" w:before="120"/>
      </w:pPr>
    </w:p>
    <w:p>
      <w:pPr>
        <w:jc w:val="center"/>
      </w:pPr>
      <w:r>
        <w:rPr>
          <w:rFonts w:ascii="Calibri" w:cs="Calibri" w:eastAsia="Calibri" w:hAnsi="Calibri"/>
          <w:color w:val="1C1C1C"/>
          <w:sz w:val="24"/>
          <w:szCs w:val="24"/>
        </w:rPr>
        <w:t xml:space="preserve">At $0.03 per investigation vs. $25–$30 for commercial alternatives, the question is not whether Presidio can afford to build this agent. The question is whether Presidio can afford not to.</w:t>
      </w:r>
    </w:p>
    <w:p>
      <w:pPr>
        <w:spacing w:after="400" w:before="400"/>
      </w:pPr>
    </w:p>
    <w:p>
      <w:pPr>
        <w:pBdr>
          <w:top w:val="single" w:color="D5D8DC" w:sz="2"/>
        </w:pBdr>
        <w:spacing w:after="100" w:before="200"/>
        <w:jc w:val="center"/>
      </w:pPr>
      <w:r>
        <w:rPr>
          <w:rFonts w:ascii="Calibri" w:cs="Calibri" w:eastAsia="Calibri" w:hAnsi="Calibri"/>
          <w:color w:val="D5D8DC"/>
          <w:sz w:val="18"/>
          <w:szCs w:val="18"/>
        </w:rPr>
        <w:t xml:space="preserve">Prepared by Presidio Innovation Lab  •  August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D5D8DC"/>
        <w:sz w:val="16"/>
        <w:szCs w:val="16"/>
      </w:rPr>
      <w:t xml:space="preserve">Page </w:t>
    </w:r>
    <w:r>
      <w:rPr>
        <w:rFonts w:ascii="Calibri" w:cs="Calibri" w:eastAsia="Calibri" w:hAnsi="Calibri"/>
        <w:color w:val="D5D8D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D5D8DC"/>
        <w:sz w:val="16"/>
        <w:szCs w:val="16"/>
      </w:rPr>
      <w:t xml:space="preserve">Presidio  |  Autonomous SRE Triage Agent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2026-08-06T08:39:27.090Z</dcterms:created>
  <dcterms:modified xsi:type="dcterms:W3CDTF">2026-08-06T08:39:27.106Z</dcterms:modified>
</cp:coreProperties>
</file>

<file path=docProps/custom.xml><?xml version="1.0" encoding="utf-8"?>
<Properties xmlns="http://schemas.openxmlformats.org/officeDocument/2006/custom-properties" xmlns:vt="http://schemas.openxmlformats.org/officeDocument/2006/docPropsVTypes"/>
</file>