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宋体" w:hAnsi="宋体" w:eastAsia="宋体"/>
          <w:b w:val="0"/>
          <w:sz w:val="28"/>
        </w:rPr>
        <w:t>第一章 绪论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用于配合错误标题的正文段落。</w:t>
      </w:r>
    </w:p>
    <w:p>
      <w:pPr>
        <w:ind w:firstLine="0"/>
        <w:jc w:val="center"/>
      </w:pPr>
      <w:r>
        <w:rPr>
          <w:rFonts w:ascii="黑体" w:hAnsi="黑体" w:eastAsia="黑体"/>
          <w:b/>
          <w:sz w:val="32"/>
        </w:rPr>
        <w:t>参考文献</w:t>
      </w:r>
    </w:p>
    <w:p>
      <w:pPr>
        <w:spacing w:line="360" w:lineRule="auto"/>
        <w:ind w:hanging="480" w:left="480"/>
        <w:jc w:val="left"/>
      </w:pPr>
      <w:r>
        <w:rPr>
          <w:rFonts w:ascii="宋体" w:hAnsi="宋体" w:eastAsia="宋体"/>
          <w:b w:val="0"/>
          <w:sz w:val="21"/>
        </w:rPr>
        <w:t>[1] A. Ref One. Journal, 2020.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