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4FE06">
      <w:pPr>
        <w:jc w:val="center"/>
      </w:pPr>
      <w:bookmarkStart w:id="28" w:name="_GoBack"/>
      <w:bookmarkEnd w:id="28"/>
      <w:r>
        <w:rPr>
          <w:rFonts w:ascii="微软雅黑" w:hAnsi="微软雅黑" w:eastAsia="微软雅黑"/>
          <w:b/>
          <w:color w:val="1455DB"/>
          <w:sz w:val="72"/>
        </w:rPr>
        <w:t>智选优发</w:t>
      </w:r>
    </w:p>
    <w:p w14:paraId="60172C1E">
      <w:pPr>
        <w:pStyle w:val="34"/>
        <w:widowControl/>
      </w:pPr>
      <w:r>
        <w:t>跨境商品发布前智能评估与协同决策系统</w:t>
      </w:r>
    </w:p>
    <w:p w14:paraId="3D6AA4A7">
      <w:r>
        <w:br w:type="textWrapping"/>
      </w:r>
    </w:p>
    <w:p w14:paraId="273B6EE1">
      <w:pPr>
        <w:pStyle w:val="34"/>
        <w:widowControl/>
      </w:pPr>
      <w:r>
        <w:t>技术与功能说明书</w:t>
      </w:r>
    </w:p>
    <w:p w14:paraId="27352B74">
      <w:r>
        <w:br w:type="textWrapping"/>
      </w:r>
      <w:r>
        <w:br w:type="textWrapping"/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BAD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6FF7D864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项目属性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48BFF27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60F6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584087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成果类型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B3536A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“互联网+”创新创业竞赛系统成果</w:t>
            </w:r>
          </w:p>
        </w:tc>
      </w:tr>
      <w:tr w14:paraId="783D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5047FB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适用对象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2EC42F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参赛队员、指导教师、运营与复核人员</w:t>
            </w:r>
          </w:p>
        </w:tc>
      </w:tr>
      <w:tr w14:paraId="28F5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FA15A4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系统定位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795ACD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跨境电商商品发布前的素材检测、风险提示、协同复核与报告留痕平台</w:t>
            </w:r>
          </w:p>
        </w:tc>
      </w:tr>
      <w:tr w14:paraId="6AE3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2E954C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文档版本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BB6F693">
            <w:pPr>
              <w:spacing w:after="0" w:line="264" w:lineRule="auto"/>
            </w:pPr>
            <w:r>
              <w:t>V1.1（依据当前项目代码、数据结构与生产部署配置编制）</w:t>
            </w:r>
          </w:p>
        </w:tc>
      </w:tr>
    </w:tbl>
    <w:p w14:paraId="73C49214">
      <w:pPr>
        <w:spacing w:after="40"/>
      </w:pPr>
    </w:p>
    <w:p w14:paraId="665AC6E6">
      <w:r>
        <w:br w:type="page"/>
      </w:r>
    </w:p>
    <w:p w14:paraId="249F5BF3">
      <w:pPr>
        <w:pStyle w:val="3"/>
        <w:keepNext/>
        <w:pageBreakBefore/>
      </w:pPr>
      <w:bookmarkStart w:id="0" w:name="_Toc8247"/>
      <w:r>
        <w:t>编写说明</w:t>
      </w:r>
      <w:bookmarkEnd w:id="0"/>
    </w:p>
    <w:p w14:paraId="0404ED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本说明书以当前“智选优发”项目的公开网站、前端页面、后端服务、数据库模型和部署配置为依据编写，旨在帮助队员准确讲清系统“解决什么问题、怎样工作、采用什么技术、能带来什么价值”。文中将已实现功能、可配置能力与规划能力区分描述，不将规划能力表述为已上线能力。</w:t>
      </w:r>
    </w:p>
    <w:p w14:paraId="1A920070">
      <w:r>
        <w:br w:type="page"/>
      </w:r>
    </w:p>
    <w:p w14:paraId="7D35E909">
      <w:pPr>
        <w:pStyle w:val="167"/>
        <w:pageBreakBefore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1BDBA57C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_Toc8247 </w:instrText>
      </w:r>
      <w:r>
        <w:fldChar w:fldCharType="separate"/>
      </w:r>
      <w:r>
        <w:t>编写说明</w:t>
      </w:r>
      <w:r>
        <w:tab/>
      </w:r>
      <w:r>
        <w:fldChar w:fldCharType="begin"/>
      </w:r>
      <w:r>
        <w:instrText xml:space="preserve"> PAGEREF _Toc8247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7D26017">
      <w:pPr>
        <w:pStyle w:val="27"/>
        <w:tabs>
          <w:tab w:val="right" w:leader="dot" w:pos="9688"/>
        </w:tabs>
      </w:pPr>
      <w:r>
        <w:t>1. 项目概述与建设价值</w:t>
      </w:r>
    </w:p>
    <w:p w14:paraId="2B0F4AC7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_Toc4148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</w:t>
      </w:r>
      <w:r>
        <w:tab/>
      </w:r>
      <w:r>
        <w:fldChar w:fldCharType="begin"/>
      </w:r>
      <w:r>
        <w:instrText xml:space="preserve"> PAGEREF _Toc4148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44A683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_Toc4293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系统定位</w:t>
      </w:r>
      <w:r>
        <w:tab/>
      </w:r>
      <w:r>
        <w:fldChar w:fldCharType="begin"/>
      </w:r>
      <w:r>
        <w:instrText xml:space="preserve"> PAGEREF _Toc4293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F8B808C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_Toc31730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主要应用场景</w:t>
      </w:r>
      <w:r>
        <w:tab/>
      </w:r>
      <w:r>
        <w:fldChar w:fldCharType="begin"/>
      </w:r>
      <w:r>
        <w:instrText xml:space="preserve"> PAGEREF _Toc31730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96255F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_Toc4222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用户对象、角色与权限</w:t>
      </w:r>
      <w:r>
        <w:tab/>
      </w:r>
      <w:r>
        <w:fldChar w:fldCharType="begin"/>
      </w:r>
      <w:r>
        <w:instrText xml:space="preserve"> PAGEREF _Toc4222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97B57E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_Toc14996 </w:instrText>
      </w:r>
      <w:r>
        <w:fldChar w:fldCharType="separate"/>
      </w:r>
      <w:r>
        <w:rPr>
          <w:rFonts w:hint="eastAsia"/>
          <w:lang w:eastAsia="zh-CN"/>
        </w:rPr>
        <w:t xml:space="preserve">3. </w:t>
      </w:r>
      <w:r>
        <w:t>功能说明与业务闭环</w:t>
      </w:r>
      <w:r>
        <w:tab/>
      </w:r>
      <w:r>
        <w:fldChar w:fldCharType="begin"/>
      </w:r>
      <w:r>
        <w:instrText xml:space="preserve"> PAGEREF _Toc14996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B67563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_Toc1873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一条完整的业务流程</w:t>
      </w:r>
      <w:r>
        <w:tab/>
      </w:r>
      <w:r>
        <w:fldChar w:fldCharType="begin"/>
      </w:r>
      <w:r>
        <w:instrText xml:space="preserve"> PAGEREF _Toc1873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98A8E9A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_Toc31115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任务与素材管理</w:t>
      </w:r>
      <w:r>
        <w:tab/>
      </w:r>
      <w:r>
        <w:fldChar w:fldCharType="begin"/>
      </w:r>
      <w:r>
        <w:instrText xml:space="preserve"> PAGEREF _Toc31115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05DF64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_Toc11579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智能检测与结果中心</w:t>
      </w:r>
      <w:r>
        <w:tab/>
      </w:r>
      <w:r>
        <w:fldChar w:fldCharType="begin"/>
      </w:r>
      <w:r>
        <w:instrText xml:space="preserve"> PAGEREF _Toc11579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8ADB90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_Toc30726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人工复核、报告与管理功能</w:t>
      </w:r>
      <w:r>
        <w:tab/>
      </w:r>
      <w:r>
        <w:fldChar w:fldCharType="begin"/>
      </w:r>
      <w:r>
        <w:instrText xml:space="preserve"> PAGEREF _Toc30726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3A82A6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_Toc5956 </w:instrText>
      </w:r>
      <w:r>
        <w:fldChar w:fldCharType="separate"/>
      </w:r>
      <w:r>
        <w:rPr>
          <w:rFonts w:hint="eastAsia"/>
          <w:lang w:eastAsia="zh-CN"/>
        </w:rPr>
        <w:t xml:space="preserve">4. </w:t>
      </w:r>
      <w:r>
        <w:t>核心检测机制</w:t>
      </w:r>
      <w:r>
        <w:tab/>
      </w:r>
      <w:r>
        <w:fldChar w:fldCharType="begin"/>
      </w:r>
      <w:r>
        <w:instrText xml:space="preserve"> PAGEREF _Toc5956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30FF0F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_Toc26392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可解释的规则检测</w:t>
      </w:r>
      <w:r>
        <w:tab/>
      </w:r>
      <w:r>
        <w:fldChar w:fldCharType="begin"/>
      </w:r>
      <w:r>
        <w:instrText xml:space="preserve"> PAGEREF _Toc26392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4F16ED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_Toc10656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评分与决策逻辑</w:t>
      </w:r>
      <w:r>
        <w:tab/>
      </w:r>
      <w:r>
        <w:fldChar w:fldCharType="begin"/>
      </w:r>
      <w:r>
        <w:instrText xml:space="preserve"> PAGEREF _Toc10656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8BA75E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_Toc23535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可选模型增强</w:t>
      </w:r>
      <w:r>
        <w:tab/>
      </w:r>
      <w:r>
        <w:fldChar w:fldCharType="begin"/>
      </w:r>
      <w:r>
        <w:instrText xml:space="preserve"> PAGEREF _Toc23535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E7B834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_Toc26495 </w:instrText>
      </w:r>
      <w:r>
        <w:fldChar w:fldCharType="separate"/>
      </w:r>
      <w:r>
        <w:rPr>
          <w:rFonts w:hint="eastAsia"/>
          <w:lang w:eastAsia="zh-CN"/>
        </w:rPr>
        <w:t xml:space="preserve">5. </w:t>
      </w:r>
      <w:r>
        <w:t>技术架构与数据设计</w:t>
      </w:r>
      <w:r>
        <w:tab/>
      </w:r>
      <w:r>
        <w:fldChar w:fldCharType="begin"/>
      </w:r>
      <w:r>
        <w:instrText xml:space="preserve"> PAGEREF _Toc26495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1B70613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_Toc27847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总体架构</w:t>
      </w:r>
      <w:r>
        <w:tab/>
      </w:r>
      <w:r>
        <w:fldChar w:fldCharType="begin"/>
      </w:r>
      <w:r>
        <w:instrText xml:space="preserve"> PAGEREF _Toc27847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C1AFA6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_Toc30390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核心数据对象</w:t>
      </w:r>
      <w:r>
        <w:tab/>
      </w:r>
      <w:r>
        <w:fldChar w:fldCharType="begin"/>
      </w:r>
      <w:r>
        <w:instrText xml:space="preserve"> PAGEREF _Toc30390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DD379A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_Toc5765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接口与前后端协作</w:t>
      </w:r>
      <w:r>
        <w:tab/>
      </w:r>
      <w:r>
        <w:fldChar w:fldCharType="begin"/>
      </w:r>
      <w:r>
        <w:instrText xml:space="preserve"> PAGEREF _Toc5765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0D7294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_Toc7535 </w:instrText>
      </w:r>
      <w:r>
        <w:fldChar w:fldCharType="separate"/>
      </w:r>
      <w:r>
        <w:rPr>
          <w:rFonts w:hint="eastAsia"/>
          <w:lang w:eastAsia="zh-CN"/>
        </w:rPr>
        <w:t xml:space="preserve">6. </w:t>
      </w:r>
      <w:r>
        <w:t>安全、可靠性与运维</w:t>
      </w:r>
      <w:r>
        <w:tab/>
      </w:r>
      <w:r>
        <w:fldChar w:fldCharType="begin"/>
      </w:r>
      <w:r>
        <w:instrText xml:space="preserve"> PAGEREF _Toc7535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37D205B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_Toc14367 </w:instrText>
      </w:r>
      <w:r>
        <w:fldChar w:fldCharType="separate"/>
      </w:r>
      <w:r>
        <w:rPr>
          <w:rFonts w:hint="eastAsia"/>
          <w:lang w:eastAsia="zh-CN"/>
        </w:rPr>
        <w:t xml:space="preserve">7. </w:t>
      </w:r>
      <w:r>
        <w:t>部署、运行与演示指引</w:t>
      </w:r>
      <w:r>
        <w:tab/>
      </w:r>
      <w:r>
        <w:fldChar w:fldCharType="begin"/>
      </w:r>
      <w:r>
        <w:instrText xml:space="preserve"> PAGEREF _Toc14367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59FE21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_Toc29301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部署结构</w:t>
      </w:r>
      <w:r>
        <w:tab/>
      </w:r>
      <w:r>
        <w:fldChar w:fldCharType="begin"/>
      </w:r>
      <w:r>
        <w:instrText xml:space="preserve"> PAGEREF _Toc29301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CF8A677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_Toc6708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建议的验收顺序</w:t>
      </w:r>
      <w:r>
        <w:tab/>
      </w:r>
      <w:r>
        <w:fldChar w:fldCharType="begin"/>
      </w:r>
      <w:r>
        <w:instrText xml:space="preserve"> PAGEREF _Toc6708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0DBE29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_Toc31970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竞赛演示建议（3—5 分钟）</w:t>
      </w:r>
      <w:r>
        <w:tab/>
      </w:r>
      <w:r>
        <w:fldChar w:fldCharType="begin"/>
      </w:r>
      <w:r>
        <w:instrText xml:space="preserve"> PAGEREF _Toc31970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9938460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_Toc27784 </w:instrText>
      </w:r>
      <w:r>
        <w:fldChar w:fldCharType="separate"/>
      </w:r>
      <w:r>
        <w:rPr>
          <w:rFonts w:hint="eastAsia"/>
          <w:lang w:eastAsia="zh-CN"/>
        </w:rPr>
        <w:t xml:space="preserve">8. </w:t>
      </w:r>
      <w:r>
        <w:t>比赛展示要点与边界说明</w:t>
      </w:r>
      <w:r>
        <w:tab/>
      </w:r>
      <w:r>
        <w:fldChar w:fldCharType="begin"/>
      </w:r>
      <w:r>
        <w:instrText xml:space="preserve"> PAGEREF _Toc27784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C32AF5F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_Toc9781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可重点强调的创新点</w:t>
      </w:r>
      <w:r>
        <w:tab/>
      </w:r>
      <w:r>
        <w:fldChar w:fldCharType="begin"/>
      </w:r>
      <w:r>
        <w:instrText xml:space="preserve"> PAGEREF _Toc9781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7EC669">
      <w:pPr>
        <w:pStyle w:val="30"/>
        <w:tabs>
          <w:tab w:val="right" w:leader="dot" w:pos="9688"/>
        </w:tabs>
      </w:pPr>
      <w:r>
        <w:fldChar w:fldCharType="begin"/>
      </w:r>
      <w:r>
        <w:instrText xml:space="preserve"> HYPERLINK \l _Toc12353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事实边界（答辩时建议如实说明）</w:t>
      </w:r>
      <w:r>
        <w:tab/>
      </w:r>
      <w:r>
        <w:fldChar w:fldCharType="begin"/>
      </w:r>
      <w:r>
        <w:instrText xml:space="preserve"> PAGEREF _Toc12353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1B1BDBB">
      <w:pPr>
        <w:pStyle w:val="27"/>
        <w:tabs>
          <w:tab w:val="right" w:leader="dot" w:pos="9688"/>
        </w:tabs>
      </w:pPr>
      <w:r>
        <w:fldChar w:fldCharType="begin"/>
      </w:r>
      <w:r>
        <w:instrText xml:space="preserve"> HYPERLINK \l _Toc14873 </w:instrText>
      </w:r>
      <w:r>
        <w:fldChar w:fldCharType="separate"/>
      </w:r>
      <w:r>
        <w:t>结</w:t>
      </w:r>
      <w:r>
        <w:rPr>
          <w:rFonts w:hint="eastAsia"/>
          <w:lang w:eastAsia="zh-CN"/>
        </w:rPr>
        <w:t xml:space="preserve">  </w:t>
      </w:r>
      <w:r>
        <w:t>语</w:t>
      </w:r>
      <w:r>
        <w:tab/>
      </w:r>
      <w:r>
        <w:fldChar w:fldCharType="begin"/>
      </w:r>
      <w:r>
        <w:instrText xml:space="preserve"> PAGEREF _Toc14873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A080AD3">
      <w:r>
        <w:fldChar w:fldCharType="end"/>
      </w:r>
    </w:p>
    <w:p w14:paraId="082A1131"/>
    <w:p w14:paraId="6EE415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639B431A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" w:name="_Toc16668"/>
      <w:r>
        <w:rPr>
          <w:rFonts w:hint="eastAsia"/>
          <w:lang w:eastAsia="zh-CN"/>
        </w:rPr>
        <w:t xml:space="preserve">1. </w:t>
      </w:r>
      <w:r>
        <w:t>项目概述与建设价值</w:t>
      </w:r>
      <w:bookmarkEnd w:id="1"/>
    </w:p>
    <w:p w14:paraId="18A5397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" w:name="_Toc4148"/>
      <w:r>
        <w:rPr>
          <w:rFonts w:hint="eastAsia"/>
          <w:lang w:eastAsia="zh-CN"/>
        </w:rPr>
        <w:t xml:space="preserve">1.1 </w:t>
      </w:r>
      <w:r>
        <w:t>项目背景</w:t>
      </w:r>
      <w:bookmarkEnd w:id="2"/>
    </w:p>
    <w:p w14:paraId="040691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跨境电商商品在上架或广告投放前，需要准备标题、卖点、详情文案、图片等多种素材，并针对不同平台、市场和品类完成合规与本地化核查。传统工作通常依赖多人在线沟通和人工经验，容易出现素材不完整、绝对化表达、敏感词、图片不足、审核留痕缺失等问题。</w:t>
      </w:r>
    </w:p>
    <w:p w14:paraId="6A0F6A7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" w:name="_Toc4293"/>
      <w:r>
        <w:rPr>
          <w:rFonts w:hint="eastAsia"/>
          <w:lang w:eastAsia="zh-CN"/>
        </w:rPr>
        <w:t xml:space="preserve">1.2 </w:t>
      </w:r>
      <w:r>
        <w:t>系统定位</w:t>
      </w:r>
      <w:bookmarkEnd w:id="3"/>
    </w:p>
    <w:p w14:paraId="4B493ED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智选优发不是通用内容生成工具，而是面向高频上新的跨境电商团队的“发布前审校、优化、复核、审批与结果追踪”工作台：以商品任务为载体，汇集素材、执行检测、形成风险结论、必要时流转人工复核，并输出可追溯的发布决策与报告。它把经验型的发布前检查转化为可复用、可协作、可审计的数字化流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118"/>
      </w:tblGrid>
      <w:tr w14:paraId="30B1A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3A74ADF8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建设目标</w:t>
            </w:r>
          </w:p>
        </w:tc>
        <w:tc>
          <w:tcPr>
            <w:tcW w:w="368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30A1C95C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系统实现方式</w:t>
            </w:r>
          </w:p>
        </w:tc>
        <w:tc>
          <w:tcPr>
            <w:tcW w:w="311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30B62A99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预期价值</w:t>
            </w:r>
          </w:p>
        </w:tc>
      </w:tr>
      <w:tr w14:paraId="6045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D9A84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减少发布风险</w:t>
            </w:r>
          </w:p>
        </w:tc>
        <w:tc>
          <w:tcPr>
            <w:tcW w:w="368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2805DB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在发布前对文本、图片数量、图片命名和市场表达进行检测</w:t>
            </w:r>
          </w:p>
        </w:tc>
        <w:tc>
          <w:tcPr>
            <w:tcW w:w="311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A28761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尽早发现高风险项，降低返工与违规概率</w:t>
            </w:r>
          </w:p>
        </w:tc>
      </w:tr>
      <w:tr w14:paraId="5610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59510E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统一工作标准</w:t>
            </w:r>
          </w:p>
        </w:tc>
        <w:tc>
          <w:tcPr>
            <w:tcW w:w="368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F48852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通过任务字段、规则库、检测维度与报告模板固化检查口径</w:t>
            </w:r>
          </w:p>
        </w:tc>
        <w:tc>
          <w:tcPr>
            <w:tcW w:w="311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A82A92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不同成员按同一标准协同</w:t>
            </w:r>
          </w:p>
        </w:tc>
      </w:tr>
      <w:tr w14:paraId="3E09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644605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提升协作效率</w:t>
            </w:r>
          </w:p>
        </w:tc>
        <w:tc>
          <w:tcPr>
            <w:tcW w:w="368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7B20BC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支持运营、设计、复核、管理等角色的分工与状态流转</w:t>
            </w:r>
          </w:p>
        </w:tc>
        <w:tc>
          <w:tcPr>
            <w:tcW w:w="311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BC72F8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减少线下反复确认</w:t>
            </w:r>
          </w:p>
        </w:tc>
      </w:tr>
      <w:tr w14:paraId="222B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E898DA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保留过程证据</w:t>
            </w:r>
          </w:p>
        </w:tc>
        <w:tc>
          <w:tcPr>
            <w:tcW w:w="368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974D5B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记录任务、检测结果、复核结论、报告与操作日志</w:t>
            </w:r>
          </w:p>
        </w:tc>
        <w:tc>
          <w:tcPr>
            <w:tcW w:w="311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33CDE9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支撑复盘、教学和管理</w:t>
            </w:r>
          </w:p>
        </w:tc>
      </w:tr>
    </w:tbl>
    <w:p w14:paraId="2502826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" w:name="_Toc31730"/>
      <w:r>
        <w:rPr>
          <w:rFonts w:hint="eastAsia"/>
          <w:lang w:eastAsia="zh-CN"/>
        </w:rPr>
        <w:t xml:space="preserve">1.3 </w:t>
      </w:r>
      <w:r>
        <w:t>主要应用场景</w:t>
      </w:r>
      <w:bookmarkEnd w:id="4"/>
    </w:p>
    <w:p w14:paraId="63476ACF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新品上架前审核：创建商品任务，补充文案与图像，完成检测后再进入发布。</w:t>
      </w:r>
    </w:p>
    <w:p w14:paraId="601C130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多平台/多市场发布：针对 Amazon、TikTok Shop、Shopee、Lazada、独立站等目标平台与欧美、中东、东南亚、日本等市场建立任务。</w:t>
      </w:r>
    </w:p>
    <w:p w14:paraId="33C6A6D3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广告与活动素材复审：对广告语、详情页和既有素材开展二次检查，形成优化建议。</w:t>
      </w:r>
    </w:p>
    <w:p w14:paraId="1FAD2FAF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企业或教学团队协作：将高风险任务转交复核人员，管理者通过看板、报告和日志了解处理情况。</w:t>
      </w:r>
    </w:p>
    <w:p w14:paraId="63C8B04C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4222"/>
      <w:r>
        <w:rPr>
          <w:rFonts w:hint="eastAsia"/>
          <w:lang w:eastAsia="zh-CN"/>
        </w:rPr>
        <w:t xml:space="preserve">2. </w:t>
      </w:r>
      <w:r>
        <w:t>用户对象、角色与权限</w:t>
      </w:r>
      <w:bookmarkEnd w:id="5"/>
    </w:p>
    <w:p w14:paraId="2A60284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系统采用登录后访问模式。前端路由和后端接口均对敏感操作进行身份校验；用户可见菜单会随角色变化。比赛演示时，可突出“分角色、分权限、可留痕”的企业级协同设计。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252"/>
      </w:tblGrid>
      <w:tr w14:paraId="1EA5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3AE53909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563485FA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01B833B4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可使用的代表功能</w:t>
            </w:r>
          </w:p>
        </w:tc>
      </w:tr>
      <w:tr w14:paraId="0313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9894C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企业管理员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21E4C8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组织与业务配置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96CFB8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企业、成员、客户、规则、用户、日志、报告模板</w:t>
            </w:r>
          </w:p>
        </w:tc>
      </w:tr>
      <w:tr w14:paraId="7BC2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6BC7BB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运营人员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591D59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创建和处理发布任务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A0B227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任务创建、图片上传、检测、结果查看、报告</w:t>
            </w:r>
          </w:p>
        </w:tc>
      </w:tr>
      <w:tr w14:paraId="3CD4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B3602C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设计人员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32AA18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准备视觉与商品素材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A758E0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任务、素材关联、检测结果查看</w:t>
            </w:r>
          </w:p>
        </w:tc>
      </w:tr>
      <w:tr w14:paraId="2233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953AD1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复核人员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4CE70C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处理需要人工判断的任务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C88405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人工复核台、结论提交、报告查看</w:t>
            </w:r>
          </w:p>
        </w:tc>
      </w:tr>
      <w:tr w14:paraId="5C78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F20DBD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管理人员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7C94F8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了解运行与风险情况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E28D46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数据看板、企业/客户、报告、操作日志</w:t>
            </w:r>
          </w:p>
        </w:tc>
      </w:tr>
      <w:tr w14:paraId="7F9E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A65967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系统管理员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12CA0A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平台级维护与全量管理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9F3FB1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全部模块、权限与规则维护</w:t>
            </w:r>
          </w:p>
        </w:tc>
      </w:tr>
      <w:tr w14:paraId="626B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2ED7B3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客户查看员</w:t>
            </w:r>
          </w:p>
        </w:tc>
        <w:tc>
          <w:tcPr>
            <w:tcW w:w="255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250ECB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查看授权范围内的信息</w:t>
            </w:r>
          </w:p>
        </w:tc>
        <w:tc>
          <w:tcPr>
            <w:tcW w:w="425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942FCB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套餐、报告、数据看板</w:t>
            </w:r>
          </w:p>
        </w:tc>
      </w:tr>
    </w:tbl>
    <w:p w14:paraId="67D7E2C5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" w:name="_Toc14996"/>
      <w:r>
        <w:rPr>
          <w:rFonts w:hint="eastAsia"/>
          <w:lang w:eastAsia="zh-CN"/>
        </w:rPr>
        <w:t xml:space="preserve">3. </w:t>
      </w:r>
      <w:r>
        <w:t>功能说明与业务闭环</w:t>
      </w:r>
      <w:bookmarkEnd w:id="6"/>
    </w:p>
    <w:p w14:paraId="195B0D2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" w:name="_Toc1873"/>
      <w:r>
        <w:rPr>
          <w:rFonts w:hint="eastAsia"/>
          <w:lang w:eastAsia="zh-CN"/>
        </w:rPr>
        <w:t xml:space="preserve">3.1 </w:t>
      </w:r>
      <w:r>
        <w:t>一条完整的业务流程</w:t>
      </w:r>
      <w:bookmarkEnd w:id="7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14:paraId="51C1E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129B87A1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创建任务</w:t>
            </w:r>
            <w:r>
              <w:t xml:space="preserve">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EDF5FF"/>
            <w:vAlign w:val="center"/>
          </w:tcPr>
          <w:p w14:paraId="05B283CB">
            <w:pPr>
              <w:spacing w:after="0" w:line="264" w:lineRule="auto"/>
            </w:pPr>
            <w:r>
              <w:t>生成或导入素材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733AE1E9">
            <w:pPr>
              <w:spacing w:after="0" w:line="264" w:lineRule="auto"/>
            </w:pPr>
            <w:r>
              <w:t>发布前审校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EDF5FF"/>
            <w:vAlign w:val="center"/>
          </w:tcPr>
          <w:p w14:paraId="26E2118E">
            <w:pPr>
              <w:spacing w:after="0" w:line="264" w:lineRule="auto"/>
            </w:pPr>
            <w:r>
              <w:t>修改与复核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EDF5FF"/>
            <w:vAlign w:val="center"/>
          </w:tcPr>
          <w:p w14:paraId="6F7D2F9F">
            <w:pPr>
              <w:spacing w:after="0" w:line="264" w:lineRule="auto"/>
            </w:pPr>
            <w:r>
              <w:t>发布决策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EDF5FF"/>
            <w:vAlign w:val="center"/>
          </w:tcPr>
          <w:p w14:paraId="051F79C3">
            <w:pPr>
              <w:spacing w:after="0" w:line="264" w:lineRule="auto"/>
            </w:pPr>
            <w:r>
              <w:t>结果回填  →</w:t>
            </w:r>
          </w:p>
        </w:tc>
        <w:tc>
          <w:tcPr>
            <w:tcW w:w="1384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061D4310">
            <w:pPr>
              <w:spacing w:after="0" w:line="264" w:lineRule="auto"/>
            </w:pPr>
            <w:r>
              <w:t>报告与分析</w:t>
            </w:r>
          </w:p>
        </w:tc>
      </w:tr>
    </w:tbl>
    <w:p w14:paraId="3BD980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一条完整的业务流程为“选择发布场景—导入或生成商品素材—发布前审校—采用修改或人工复核—发布决策—发布结果回填”。任务可经历草稿、待检测、检测中、已完成、待复核、已出报告和暂缓发布等阶段，使处理过程可回看、可解释。</w:t>
      </w:r>
    </w:p>
    <w:p w14:paraId="0BFECCD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" w:name="_Toc31115"/>
      <w:r>
        <w:rPr>
          <w:rFonts w:hint="eastAsia"/>
          <w:lang w:eastAsia="zh-CN"/>
        </w:rPr>
        <w:t xml:space="preserve">3.2 </w:t>
      </w:r>
      <w:r>
        <w:t>任务与素材管理</w:t>
      </w:r>
      <w:bookmarkEnd w:id="8"/>
    </w:p>
    <w:p w14:paraId="31DA0A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用户可在“生成跨境素材”中按商品名称、品类、平台、国家/站点、目标语言和核心卖点生成可编辑的标题、卖点、详情文案、广告语与图片提示词，也可在“创建审校任务”中直接填写或批量导入 SKU、商品名称、品类、目标平台、目标市场和发布目的。素材包括标题、卖点、详情文案、广告语、视频脚本、主图和场景图 URL；本地图片可上传并与当前任务绑定。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FCF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0790121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功能点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57319B24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2E94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038308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草稿保存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FBADE0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必填字段完整后可保存任务与素材，便于分阶段准备。</w:t>
            </w:r>
          </w:p>
        </w:tc>
      </w:tr>
      <w:tr w14:paraId="11B01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122044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图片上传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E6CC4B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后端校验 JPEG/PNG/WebP 文件签名、扩展名与 MIME 类型，单文件上限为 10MB；文件进入受控对象存储。</w:t>
            </w:r>
          </w:p>
        </w:tc>
      </w:tr>
      <w:tr w14:paraId="3280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95342D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素材版本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44C049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数据库支持记录任务素材版本及分数/风险快照，为后续迭代与复盘预留基础。</w:t>
            </w:r>
          </w:p>
        </w:tc>
      </w:tr>
      <w:tr w14:paraId="3A27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9FB83E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客户与企业关联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E57599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任务可关联企业和客户，为企业服务、代运营场景提供数据归属依据。</w:t>
            </w:r>
          </w:p>
        </w:tc>
      </w:tr>
      <w:tr>
        <w:tc>
          <w:tcPr>
            <w:tcW w:type="dxa" w:w="2268"/>
          </w:tcPr>
          <w:p>
            <w:pPr/>
            <w:r>
              <w:t>生成跨境素材</w:t>
            </w:r>
          </w:p>
        </w:tc>
        <w:tc>
          <w:tcPr>
            <w:tcW w:type="dxa" w:w="6236"/>
          </w:tcPr>
          <w:p>
            <w:pPr/>
            <w:r>
              <w:t>按平台、国家/站点、语言、品类和卖点生成可编辑 Listing 初稿，并可直接带入发布前审校任务。</w:t>
            </w:r>
          </w:p>
        </w:tc>
      </w:tr>
    </w:tbl>
    <w:p w14:paraId="1DD2549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11579"/>
      <w:r>
        <w:rPr>
          <w:rFonts w:hint="eastAsia"/>
          <w:lang w:eastAsia="zh-CN"/>
        </w:rPr>
        <w:t xml:space="preserve">3.3 </w:t>
      </w:r>
      <w:r>
        <w:t>智能检测与结果中心</w:t>
      </w:r>
      <w:bookmarkEnd w:id="9"/>
    </w:p>
    <w:p w14:paraId="597C7F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用户点击“提交发布前审校”后，系统读取任务与素材，输出综合评分、完整性评分、合规性评分、本地化评分、风险等级、发布决策、问题定位、规则依据与优化建议。结果中心按任务展示结论，支持采用修改、标记已修复、忽略并说明、提交人工复核和生成报告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82A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733C06E1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输出项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16869E2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面向用户的含义</w:t>
            </w:r>
          </w:p>
        </w:tc>
      </w:tr>
      <w:tr w14:paraId="48D3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1E61FB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综合评分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5BF264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反映当前素材的整体发布准备度。</w:t>
            </w:r>
          </w:p>
        </w:tc>
      </w:tr>
      <w:tr w14:paraId="4512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1474871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维度分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5253CD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从完整性、合规性、本地化三个角度指出短板。</w:t>
            </w:r>
          </w:p>
        </w:tc>
      </w:tr>
      <w:tr w14:paraId="5F3C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600666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风险等级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A09A3A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低风险、中风险、高风险、严重风险。</w:t>
            </w:r>
          </w:p>
        </w:tc>
      </w:tr>
      <w:tr w14:paraId="3A9A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B0A65E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发布决策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54AC7D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可发布、优化后发布、人工复核、暂缓发布。</w:t>
            </w:r>
          </w:p>
        </w:tc>
      </w:tr>
      <w:tr w14:paraId="07CC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16173D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问题定位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B66BBB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指出风险出现的素材位置、类型、命中内容和说明。</w:t>
            </w:r>
          </w:p>
        </w:tc>
      </w:tr>
      <w:tr w14:paraId="60D8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6C6298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优化建议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6185A1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给出修改方向；部分风险附带建议替代表达。</w:t>
            </w:r>
          </w:p>
        </w:tc>
      </w:tr>
    </w:tbl>
    <w:p w14:paraId="6B48550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" w:name="_Toc30726"/>
      <w:r>
        <w:rPr>
          <w:rFonts w:hint="eastAsia"/>
          <w:lang w:eastAsia="zh-CN"/>
        </w:rPr>
        <w:t xml:space="preserve">3.4 </w:t>
      </w:r>
      <w:r>
        <w:t>人工复核、报告与管理功能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289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69521B6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4E9C71E5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已实现功能</w:t>
            </w:r>
          </w:p>
        </w:tc>
      </w:tr>
      <w:tr w14:paraId="7BB8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F5D705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人工复核台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67DC44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高风险/严重风险检测结果自动创建或更新复核任务；复核人员可开始复核并提交最终决策。</w:t>
            </w:r>
          </w:p>
        </w:tc>
      </w:tr>
      <w:tr w14:paraId="59AC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B7CC3F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规则库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577722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维护平台、市场文化、敏感词、品类等规则；支持启停、版本快照和版本克隆。</w:t>
            </w:r>
          </w:p>
        </w:tc>
      </w:tr>
      <w:tr w14:paraId="09BD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3C7CF4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报告中心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63E66A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基于检测结果生成报告；支持列表筛选、查看、删除与导出。当前导出实现以 PDF/JSON 为主。</w:t>
            </w:r>
          </w:p>
        </w:tc>
      </w:tr>
      <w:tr w14:paraId="64A6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0939BE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批量检测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15D2D8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专业套餐及以上可建立批量任务并逐项执行检测，统计成功与失败数量。</w:t>
            </w:r>
          </w:p>
        </w:tc>
      </w:tr>
      <w:tr w14:paraId="672C3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885E10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数据看板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9A7625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展示当日任务数、待复核数、高风险数、报告数和高风险任务列表。</w:t>
            </w:r>
          </w:p>
        </w:tc>
      </w:tr>
      <w:tr w14:paraId="1FB2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110DAF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套餐与开放能力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AA6CCC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管理检测额度、导出权限、批量检测、API、私有部署、规则和模板等权益。</w:t>
            </w:r>
          </w:p>
        </w:tc>
      </w:tr>
      <w:tr w14:paraId="3969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EB6272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操作日志与通知</w:t>
            </w:r>
          </w:p>
        </w:tc>
        <w:tc>
          <w:tcPr>
            <w:tcW w:w="6236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E73EEA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记录关键业务动作；通知模型用于后续任务提醒与消息闭环。</w:t>
            </w:r>
          </w:p>
        </w:tc>
      </w:tr>
      <w:tr>
        <w:tc>
          <w:tcPr>
            <w:tcW w:type="dxa" w:w="2268"/>
          </w:tcPr>
          <w:p>
            <w:pPr/>
            <w:r>
              <w:t>生成路径与结果回填</w:t>
            </w:r>
          </w:p>
        </w:tc>
        <w:tc>
          <w:tcPr>
            <w:tcW w:type="dxa" w:w="6236"/>
          </w:tcPr>
          <w:p>
            <w:pPr/>
            <w:r>
              <w:t>素材生成页提供标题、卖点、详情、广告语和图片提示词初稿；发布结果可登记平台 Listing ID、首发是否通过及驳回原因。</w:t>
            </w:r>
          </w:p>
        </w:tc>
      </w:tr>
    </w:tbl>
    <w:p w14:paraId="430F58FD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" w:name="_Toc5956"/>
      <w:r>
        <w:rPr>
          <w:rFonts w:hint="eastAsia"/>
          <w:lang w:eastAsia="zh-CN"/>
        </w:rPr>
        <w:t xml:space="preserve">4. </w:t>
      </w:r>
      <w:r>
        <w:t>核心检测机制</w:t>
      </w:r>
      <w:bookmarkEnd w:id="11"/>
    </w:p>
    <w:p w14:paraId="4F320321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" w:name="_Toc26392"/>
      <w:r>
        <w:rPr>
          <w:rFonts w:hint="eastAsia"/>
          <w:lang w:eastAsia="zh-CN"/>
        </w:rPr>
        <w:t xml:space="preserve">4.1 </w:t>
      </w:r>
      <w:r>
        <w:t>可解释的规则检测</w:t>
      </w:r>
      <w:bookmarkEnd w:id="12"/>
    </w:p>
    <w:p w14:paraId="50AC16A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系统内置确定性检测逻辑，优先保障结果可解释、可演示。它会扫描标题、卖点、详情文案和广告语中的风险关键词；检查图片是否缺失、数量是否不足、文件名是否含高风险词；并按目标市场识别本地化表达问题。检测结果以问题清单和建议清单返回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268"/>
      </w:tblGrid>
      <w:tr w14:paraId="5298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7CBA1ACE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检测维度</w:t>
            </w:r>
          </w:p>
        </w:tc>
        <w:tc>
          <w:tcPr>
            <w:tcW w:w="3969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6852C3C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检查示例</w:t>
            </w:r>
          </w:p>
        </w:tc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27F78250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处理结果</w:t>
            </w:r>
          </w:p>
        </w:tc>
      </w:tr>
      <w:tr w14:paraId="5790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1BA9C4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完整性</w:t>
            </w:r>
          </w:p>
        </w:tc>
        <w:tc>
          <w:tcPr>
            <w:tcW w:w="3969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B441CD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标题、卖点、详情是否完整；是否存在主图；图片数量是否不足</w:t>
            </w:r>
          </w:p>
        </w:tc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3B26D3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降低完整性评分并提示补充素材</w:t>
            </w:r>
          </w:p>
        </w:tc>
      </w:tr>
      <w:tr w14:paraId="10FC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7A17AB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合规性</w:t>
            </w:r>
          </w:p>
        </w:tc>
        <w:tc>
          <w:tcPr>
            <w:tcW w:w="3969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5F1F0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绝对化、夸大承诺、敏感或平台风险表达</w:t>
            </w:r>
          </w:p>
        </w:tc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302414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定位命中内容，提供客观、可验证的修改方向</w:t>
            </w:r>
          </w:p>
        </w:tc>
      </w:tr>
      <w:tr w14:paraId="5F88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0F8A4F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图片风险</w:t>
            </w:r>
          </w:p>
        </w:tc>
        <w:tc>
          <w:tcPr>
            <w:tcW w:w="3969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CCEE5F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无图、少图、图片文件名命中高风险词</w:t>
            </w:r>
          </w:p>
        </w:tc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3B8324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提示补充主图/场景图或规范命名</w:t>
            </w:r>
          </w:p>
        </w:tc>
      </w:tr>
      <w:tr w14:paraId="244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26EECE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本地化</w:t>
            </w:r>
          </w:p>
        </w:tc>
        <w:tc>
          <w:tcPr>
            <w:tcW w:w="3969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E5B058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目标市场与文本表述不匹配的文化或表达问题</w:t>
            </w:r>
          </w:p>
        </w:tc>
        <w:tc>
          <w:tcPr>
            <w:tcW w:w="226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54C3D2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提示按市场文化及平台规范调整</w:t>
            </w:r>
          </w:p>
        </w:tc>
      </w:tr>
    </w:tbl>
    <w:p w14:paraId="704C5A10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3" w:name="_Toc10656"/>
      <w:r>
        <w:rPr>
          <w:rFonts w:hint="eastAsia"/>
          <w:lang w:eastAsia="zh-CN"/>
        </w:rPr>
        <w:t xml:space="preserve">4.2 </w:t>
      </w:r>
      <w:r>
        <w:t>评分与决策逻辑</w:t>
      </w:r>
      <w:bookmarkEnd w:id="13"/>
    </w:p>
    <w:p w14:paraId="3D1776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当前默认评分由完整性、合规性、本地化三项加权形成，其中完整性占 35%，合规性占 35%，本地化占 30%。系统依据综合分和命中问题计算风险等级与发布决策；当结果为高风险或严重风险时，自动流转至人工复核。该机制兼顾自动化效率与人工兜底。</w:t>
      </w:r>
    </w:p>
    <w:p w14:paraId="7F50CCA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" w:name="_Toc23535"/>
      <w:r>
        <w:rPr>
          <w:rFonts w:hint="eastAsia"/>
          <w:lang w:eastAsia="zh-CN"/>
        </w:rPr>
        <w:t xml:space="preserve">4.3 </w:t>
      </w:r>
      <w:r>
        <w:t>可选模型增强</w:t>
      </w:r>
      <w:bookmarkEnd w:id="14"/>
    </w:p>
    <w:p w14:paraId="58A908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系统提供模型配置模块，支持 OpenAI、Claude、Gemini、DeepSeek、Kimi、MiniMax、通义千问、智谱、Groq、Mistral、OpenRouter 与自定义供应商。管理员可在具备合法 API 地址、密钥和模型标识的前提下验证连接并进行增强分析；页面使用“供应商当前可用模型”表述，避免前端固化过期模型版本。若模型配置缺失、调用失败或返回结果不合规，系统自动回退到本地规则检测，确保核心流程不中断。模型调用参数不应硬编码或提交到代码仓库。</w:t>
      </w:r>
    </w:p>
    <w:p w14:paraId="00A7B453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" w:name="_Toc26495"/>
      <w:r>
        <w:rPr>
          <w:rFonts w:hint="eastAsia"/>
          <w:lang w:eastAsia="zh-CN"/>
        </w:rPr>
        <w:t xml:space="preserve">5. </w:t>
      </w:r>
      <w:r>
        <w:t>技术架构与数据设计</w:t>
      </w:r>
      <w:bookmarkEnd w:id="15"/>
    </w:p>
    <w:p w14:paraId="735DFF0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" w:name="_Toc27847"/>
      <w:r>
        <w:rPr>
          <w:rFonts w:hint="eastAsia"/>
          <w:lang w:eastAsia="zh-CN"/>
        </w:rPr>
        <w:t xml:space="preserve">5.1 </w:t>
      </w:r>
      <w:r>
        <w:t>总体架构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0886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1563133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70062F2C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技术选型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51E8D68B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 w14:paraId="33B2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3D0662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表现层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2054BC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Vue 3、TypeScript、Vite、Vue Router、ECharts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056B71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任务录入、结果呈现、角色菜单、数据看板与公共展示页</w:t>
            </w:r>
          </w:p>
        </w:tc>
      </w:tr>
      <w:tr w14:paraId="2D93B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9DF63D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服务层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04254C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NestJS、TypeScript、JWT/Passport、class-validator、Helmet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833AE4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REST API、身份认证、权限校验、业务编排、输入校验与安全响应头</w:t>
            </w:r>
          </w:p>
        </w:tc>
      </w:tr>
      <w:tr w14:paraId="2F4E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83B08B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数据访问层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7F026A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Prisma ORM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9BE960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统一管理模型、关联关系、事务与 PostgreSQL 访问</w:t>
            </w:r>
          </w:p>
        </w:tc>
      </w:tr>
      <w:tr w14:paraId="6399C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FC737D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数据与文件层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1E6A95D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PostgreSQL（可部署于 Supabase）、Supabase Storage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325E76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保存业务数据与受控图片；文件通过签名 URL 访问</w:t>
            </w:r>
          </w:p>
        </w:tc>
      </w:tr>
      <w:tr w14:paraId="0611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3490D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部署层</w:t>
            </w:r>
          </w:p>
        </w:tc>
        <w:tc>
          <w:tcPr>
            <w:tcW w:w="2835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500576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Vercel + 前后端分离部署</w:t>
            </w:r>
          </w:p>
        </w:tc>
        <w:tc>
          <w:tcPr>
            <w:tcW w:w="3402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998B89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前端静态托管、后端服务部署、环境变量管理</w:t>
            </w:r>
          </w:p>
        </w:tc>
      </w:tr>
    </w:tbl>
    <w:p w14:paraId="2493405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" w:name="_Toc30390"/>
      <w:r>
        <w:rPr>
          <w:rFonts w:hint="eastAsia"/>
          <w:lang w:eastAsia="zh-CN"/>
        </w:rPr>
        <w:t xml:space="preserve">5.2 </w:t>
      </w:r>
      <w:r>
        <w:t>核心数据对象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061"/>
        <w:gridCol w:w="2948"/>
      </w:tblGrid>
      <w:tr w14:paraId="5E96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4318882D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数据对象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106FF612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14A09197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关系作用</w:t>
            </w:r>
          </w:p>
        </w:tc>
      </w:tr>
      <w:tr w14:paraId="212B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DAE99A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用户 User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505323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账号、密码哈希、角色、企业信息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326981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权限与操作主体</w:t>
            </w:r>
          </w:p>
        </w:tc>
      </w:tr>
      <w:tr w14:paraId="779B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8FA761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 MaterialTask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C5C7B1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SKU、商品、品类、平台、市场、用途、状态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1EBC1B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业务主线；关联素材、结果、报告、复核、文件</w:t>
            </w:r>
          </w:p>
        </w:tc>
      </w:tr>
      <w:tr w14:paraId="4AA5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D195D1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素材 MaterialContent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F2CE5F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标题、卖点、详情、广告语、图片 URL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6EEB28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承载发布前检查对象</w:t>
            </w:r>
          </w:p>
        </w:tc>
      </w:tr>
      <w:tr w14:paraId="0132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FD0DD3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检测结果 DetectionResult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E9D38E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三维评分、总分、风险、决策、问题、建议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8F5C88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形成自动结论</w:t>
            </w:r>
          </w:p>
        </w:tc>
      </w:tr>
      <w:tr w14:paraId="46EA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74A63C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规则 Rule/RuleVersion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B4E219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规则分类、关键词、建议、版本快照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089197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沉淀检查口径</w:t>
            </w:r>
          </w:p>
        </w:tc>
      </w:tr>
      <w:tr w14:paraId="40B2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19E994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复核任务 ReviewTask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43D192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系统结论、最终结论、原因、历史、复核人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58C281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实现人机协同与责任留痕</w:t>
            </w:r>
          </w:p>
        </w:tc>
      </w:tr>
      <w:tr w14:paraId="3AE0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6D1626D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报告 Report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740631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编号、摘要、内容、模板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A95119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形成可交付成果</w:t>
            </w:r>
          </w:p>
        </w:tc>
      </w:tr>
      <w:tr w14:paraId="5A08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4A5191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操作日志 OperationLog</w:t>
            </w:r>
          </w:p>
        </w:tc>
        <w:tc>
          <w:tcPr>
            <w:tcW w:w="306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55D299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操作人、动作、对象、详情、时间、IP</w:t>
            </w:r>
          </w:p>
        </w:tc>
        <w:tc>
          <w:tcPr>
            <w:tcW w:w="2948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220F1C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支撑审计与复盘</w:t>
            </w:r>
          </w:p>
        </w:tc>
      </w:tr>
      <w:tr>
        <w:tc>
          <w:tcPr>
            <w:tcW w:type="dxa" w:w="1928"/>
          </w:tcPr>
          <w:p>
            <w:pPr/>
            <w:r>
              <w:t>发布结果 PublicationOutcome</w:t>
            </w:r>
          </w:p>
        </w:tc>
        <w:tc>
          <w:tcPr>
            <w:tcW w:type="dxa" w:w="3061"/>
          </w:tcPr>
          <w:p>
            <w:pPr/>
            <w:r>
              <w:t>发布状态、发布时间、平台 Listing ID、首发结果、驳回原因</w:t>
            </w:r>
          </w:p>
        </w:tc>
        <w:tc>
          <w:tcPr>
            <w:tcW w:type="dxa" w:w="2948"/>
          </w:tcPr>
          <w:p>
            <w:pPr/>
            <w:r>
              <w:t>连接发布决策与后续成效分析，支撑闭环复盘</w:t>
            </w:r>
          </w:p>
        </w:tc>
      </w:tr>
    </w:tbl>
    <w:p w14:paraId="34F286D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" w:name="_Toc5765"/>
      <w:r>
        <w:rPr>
          <w:rFonts w:hint="eastAsia"/>
          <w:lang w:eastAsia="zh-CN"/>
        </w:rPr>
        <w:t xml:space="preserve">5.3 </w:t>
      </w:r>
      <w:r>
        <w:t>接口与前后端协作</w:t>
      </w:r>
      <w:bookmarkEnd w:id="18"/>
    </w:p>
    <w:p w14:paraId="0D9BB2A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后端按业务域划分认证、任务、素材、检测、发布结果、报告、规则、复核、文件、企业、客户、套餐、批处理、模型配置、通知等模块。前端通过统一 API 封装访问 REST 接口，并在路由层按角色拦截页面；发布结果可记录发布时间、平台 Listing ID、首发是否通过和驳回原因，为成效分析预留数据基础。</w:t>
      </w:r>
    </w:p>
    <w:p w14:paraId="17107E68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9" w:name="_Toc7535"/>
      <w:r>
        <w:rPr>
          <w:rFonts w:hint="eastAsia"/>
          <w:lang w:eastAsia="zh-CN"/>
        </w:rPr>
        <w:t xml:space="preserve">6. </w:t>
      </w:r>
      <w:r>
        <w:t>安全、可靠性与运维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783"/>
      </w:tblGrid>
      <w:tr w14:paraId="333C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2A23D625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方面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57800AB6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当前设计</w:t>
            </w:r>
          </w:p>
        </w:tc>
      </w:tr>
      <w:tr w14:paraId="663EF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24E5EC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认证与授权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E2FF4C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登录签发 JWT；受保护接口使用 JWT 守卫；复核等敏感操作叠加角色守卫。</w:t>
            </w:r>
          </w:p>
        </w:tc>
      </w:tr>
      <w:tr w14:paraId="2AE3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B9153E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数据隔离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C752D6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查询任务、结果、报告等资源时按系统管理员、企业归属或用户归属构造数据范围。</w:t>
            </w:r>
          </w:p>
        </w:tc>
      </w:tr>
      <w:tr w14:paraId="4903B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DD45C08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密码与密钥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117A14E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密码采用 bcryptjs 哈希；API 密钥、数据库连接和对象存储凭据通过环境变量配置，不提交至仓库。</w:t>
            </w:r>
          </w:p>
        </w:tc>
      </w:tr>
      <w:tr w14:paraId="5EDA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61A4C2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文件安全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437CD886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校验上传文件大小、真实文件头、扩展名和 MIME 类型；使用对象存储与签名访问链接。</w:t>
            </w:r>
          </w:p>
        </w:tc>
      </w:tr>
      <w:tr w14:paraId="40D5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0BCF8EF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异常与恢复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7C466F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检测服务在模型不可用时回退至规则检测；批量任务逐项捕获失败并返回成功/失败统计。</w:t>
            </w:r>
          </w:p>
        </w:tc>
      </w:tr>
      <w:tr w14:paraId="0A028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0FAD750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数据演进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D89D47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Prisma migration 管理数据库结构变更；关键数据对象带创建/更新时间和索引。</w:t>
            </w:r>
          </w:p>
        </w:tc>
      </w:tr>
      <w:tr w14:paraId="4885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AB30C0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审计与可追溯</w:t>
            </w:r>
          </w:p>
        </w:tc>
        <w:tc>
          <w:tcPr>
            <w:tcW w:w="578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4CD2A342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任务、检测、复核、报告、规则版本及操作日志共同构成证据链。</w:t>
            </w:r>
          </w:p>
        </w:tc>
      </w:tr>
    </w:tbl>
    <w:p w14:paraId="3185F710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0" w:name="_Toc14367"/>
      <w:r>
        <w:rPr>
          <w:rFonts w:hint="eastAsia"/>
          <w:lang w:eastAsia="zh-CN"/>
        </w:rPr>
        <w:t xml:space="preserve">7. </w:t>
      </w:r>
      <w:r>
        <w:t>部署、运行与演示指引</w:t>
      </w:r>
      <w:bookmarkEnd w:id="20"/>
    </w:p>
    <w:p w14:paraId="7D1AEA3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1" w:name="_Toc29301"/>
      <w:r>
        <w:rPr>
          <w:rFonts w:hint="eastAsia"/>
          <w:lang w:eastAsia="zh-CN"/>
        </w:rPr>
        <w:t xml:space="preserve">7.1 </w:t>
      </w:r>
      <w:r>
        <w:t>部署结构</w:t>
      </w:r>
      <w:bookmarkEnd w:id="21"/>
    </w:p>
    <w:p w14:paraId="11A3D89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项目采用前后端分离结构：frontend+ 为 Vue 前端工程，backend 为 NestJS 后端工程。当前生产前端部署于 https://www.paperhelper.fun，后端服务部署于 https://api.paperhelper.fun；PostgreSQL 与对象存储可采用 Supabase。所有生产配置由部署平台的环境变量统一管理。</w:t>
      </w:r>
    </w:p>
    <w:p w14:paraId="4E14156B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22" w:name="_Toc6708"/>
      <w:r>
        <w:rPr>
          <w:rFonts w:hint="eastAsia"/>
          <w:lang w:eastAsia="zh-CN"/>
        </w:rPr>
        <w:t xml:space="preserve">7.2 </w:t>
      </w:r>
      <w:r>
        <w:t>建议的验收顺序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463"/>
      </w:tblGrid>
      <w:tr w14:paraId="2BF5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500DCEA0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1455DB"/>
            <w:vAlign w:val="center"/>
          </w:tcPr>
          <w:p w14:paraId="0743B424"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检查要点</w:t>
            </w:r>
          </w:p>
        </w:tc>
      </w:tr>
      <w:tr w14:paraId="521D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FA18AE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1. 账户与权限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309DAF05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完成注册/登录，分别验证运营、复核和管理角色可见菜单。</w:t>
            </w:r>
          </w:p>
        </w:tc>
      </w:tr>
      <w:tr w14:paraId="4B8F2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54B7A5C9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2. 创建任务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7BBCF85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填写商品基础信息与素材，保存草稿；上传 JPG/PNG/WebP 图片。</w:t>
            </w:r>
          </w:p>
        </w:tc>
      </w:tr>
      <w:tr w14:paraId="4ED0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2821ADC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3. 执行检测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56D05AEC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确认评分、风险等级、问题定位和优化建议能正常显示。</w:t>
            </w:r>
          </w:p>
        </w:tc>
      </w:tr>
      <w:tr w14:paraId="6EFB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326030A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4. 高风险闭环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549410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构造高风险样例，确认任务进入人工复核；由复核人员提交结论。</w:t>
            </w:r>
          </w:p>
        </w:tc>
      </w:tr>
      <w:tr w14:paraId="57B4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E2D1E94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5. 报告与看板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vAlign w:val="center"/>
          </w:tcPr>
          <w:p w14:paraId="746D871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生成报告，检查报告列表、导出限制和管理端统计。</w:t>
            </w:r>
          </w:p>
        </w:tc>
      </w:tr>
      <w:tr w14:paraId="6FC3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229B40D0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6. 部署前检查</w:t>
            </w:r>
          </w:p>
        </w:tc>
        <w:tc>
          <w:tcPr>
            <w:tcW w:w="6463" w:type="dxa"/>
            <w:tcBorders>
              <w:top w:val="single" w:color="D7E3F4" w:sz="6" w:space="0"/>
              <w:left w:val="single" w:color="D7E3F4" w:sz="6" w:space="0"/>
              <w:bottom w:val="single" w:color="D7E3F4" w:sz="6" w:space="0"/>
              <w:right w:val="single" w:color="D7E3F4" w:sz="6" w:space="0"/>
            </w:tcBorders>
            <w:shd w:val="clear" w:color="auto" w:fill="F7FAFE"/>
            <w:vAlign w:val="center"/>
          </w:tcPr>
          <w:p w14:paraId="60863E3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0A1D40"/>
                <w:sz w:val="18"/>
              </w:rPr>
              <w:t>执行前端构建、后端测试、数据库迁移验证，并检查环境变量配置。</w:t>
            </w:r>
          </w:p>
        </w:tc>
      </w:tr>
      <w:tr>
        <w:tc>
          <w:tcPr>
            <w:tcW w:type="dxa" w:w="1701"/>
          </w:tcPr>
          <w:p>
            <w:pPr/>
            <w:r>
              <w:t>7. 公开网站与适配</w:t>
            </w:r>
          </w:p>
        </w:tc>
        <w:tc>
          <w:tcPr>
            <w:tcW w:type="dxa" w:w="6463"/>
          </w:tcPr>
          <w:p>
            <w:pPr/>
            <w:r>
              <w:t>检查首页、产品能力、适用平台、解决方案、套餐价格和关于项目在桌面端、iPad 端、移动端的导航、表单、焦点与页面布局。</w:t>
            </w:r>
          </w:p>
        </w:tc>
      </w:tr>
    </w:tbl>
    <w:p w14:paraId="00E9BD3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3" w:name="_Toc31970"/>
      <w:r>
        <w:rPr>
          <w:rFonts w:hint="eastAsia"/>
          <w:lang w:eastAsia="zh-CN"/>
        </w:rPr>
        <w:t xml:space="preserve">7.3 </w:t>
      </w:r>
      <w:r>
        <w:t>竞赛演示建议（3—5 分钟）</w:t>
      </w:r>
      <w:bookmarkEnd w:id="23"/>
    </w:p>
    <w:p w14:paraId="2A982E4E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用一个“海外新品上架前审核”故事开场：运营人员需在短时间内判断素材是否适合进入发布流程。</w:t>
      </w:r>
    </w:p>
    <w:p w14:paraId="6C8F42FF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先进入“生成跨境素材”，填写目标平台、国家/站点、语言和商品卖点，展示生成初稿可一键带入审校任务。</w:t>
      </w:r>
    </w:p>
    <w:p w14:paraId="2BC13D5D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再触发发布前审校，展示评分、风险等级、命中位置、规则依据与可执行建议。</w:t>
      </w:r>
    </w:p>
    <w:p w14:paraId="09445A8B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展示高风险任务进入人工复核，再由复核人员给出最终决策并保留审批历史。</w:t>
      </w:r>
    </w:p>
    <w:p w14:paraId="64B0A4B8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t>进入报告、发布结果回填和看板，强调全过程留痕、团队协同和可复制的规则沉淀。</w:t>
      </w:r>
    </w:p>
    <w:p w14:paraId="2652ED63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4" w:name="_Toc27784"/>
      <w:r>
        <w:rPr>
          <w:rFonts w:hint="eastAsia"/>
          <w:lang w:eastAsia="zh-CN"/>
        </w:rPr>
        <w:t xml:space="preserve">8. </w:t>
      </w:r>
      <w:r>
        <w:t>比赛展示要点与边界说明</w:t>
      </w:r>
      <w:bookmarkEnd w:id="24"/>
    </w:p>
    <w:p w14:paraId="3BB1C70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5" w:name="_Toc9781"/>
      <w:r>
        <w:rPr>
          <w:rFonts w:hint="eastAsia"/>
          <w:lang w:eastAsia="zh-CN"/>
        </w:rPr>
        <w:t xml:space="preserve">8.1 </w:t>
      </w:r>
      <w:r>
        <w:t>可重点强调的创新点</w:t>
      </w:r>
      <w:bookmarkEnd w:id="25"/>
    </w:p>
    <w:p w14:paraId="6B80A894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从“内容生成”转向“发布前决策”：聚焦跨境电商最接近业务结果的上架准备环节。</w:t>
      </w:r>
    </w:p>
    <w:p w14:paraId="6E07E52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规则检测、可选模型增强与人工复核协同：既追求自动化，也保留高风险场景的人为判断。</w:t>
      </w:r>
    </w:p>
    <w:p w14:paraId="09878565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以任务为主线的闭环治理：素材—检测—复核—报告—日志，形成可追溯链路。</w:t>
      </w:r>
    </w:p>
    <w:p w14:paraId="1306E251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面向企业实际使用：具备角色权限、企业/客户、套餐额度、批量检测、API 和模板等扩展接口。</w:t>
      </w:r>
    </w:p>
    <w:p w14:paraId="2AA2F70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6" w:name="_Toc12353"/>
      <w:r>
        <w:rPr>
          <w:rFonts w:hint="eastAsia"/>
          <w:lang w:eastAsia="zh-CN"/>
        </w:rPr>
        <w:t xml:space="preserve">8.2 </w:t>
      </w:r>
      <w:r>
        <w:t>事实边界（答辩时建议如实说明）</w:t>
      </w:r>
      <w:bookmarkEnd w:id="26"/>
    </w:p>
    <w:p w14:paraId="5658B10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t>当前系统的基础检测主要由内置规则完成；模型增强属于可配置能力，实际效果取决于外部模型服务配置和规则库质量。生成跨境素材当前提供可编辑初稿，接入模型后可进一步增强；OCR 与图片生成功能尚未启用，答辩时应说明其需要配置视觉/图像模型服务。平台规则和市场规则需要持续由业务专家维护、版本化更新；系统提供的是辅助决策与过程治理能力，不替代平台官方审核或人工合规判断。</w:t>
      </w:r>
    </w:p>
    <w:p w14:paraId="5218D9F5">
      <w:r>
        <w:br w:type="page"/>
      </w:r>
    </w:p>
    <w:p w14:paraId="6C39EDE3">
      <w:pPr>
        <w:pStyle w:val="168"/>
        <w:keepNext/>
        <w:pageBreakBefore/>
        <w:widowControl/>
      </w:pPr>
      <w:bookmarkStart w:id="27" w:name="_Toc14873"/>
      <w:r>
        <w:t>结</w:t>
      </w:r>
      <w:r>
        <w:rPr>
          <w:rFonts w:hint="eastAsia"/>
          <w:lang w:eastAsia="zh-CN"/>
        </w:rPr>
        <w:t xml:space="preserve">  </w:t>
      </w:r>
      <w:r>
        <w:t>语</w:t>
      </w:r>
      <w:bookmarkEnd w:id="27"/>
    </w:p>
    <w:p w14:paraId="1DE19E0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A1D40"/>
          <w:sz w:val="24"/>
          <w:szCs w:val="24"/>
        </w:rPr>
        <w:t>智选优发将跨境商品发布前的“素材检查”转化为一套可执行、可解释、可协作、可追溯的数字化流程。对于参赛队员，它是可演示的完整互联网应用成果；对于指导老师，它体现了明确的痛点定位、业务闭环、技术架构和后续商业化扩展路径。</w:t>
      </w:r>
    </w:p>
    <w:sectPr>
      <w:headerReference r:id="rId5" w:type="default"/>
      <w:footerReference r:id="rId6" w:type="default"/>
      <w:pgSz w:w="12240" w:h="15840"/>
      <w:pgMar w:top="1247" w:right="1276" w:bottom="1134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13862">
    <w:pPr>
      <w:pStyle w:val="25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21D11">
    <w:pPr>
      <w:pStyle w:val="26"/>
      <w:jc w:val="right"/>
    </w:pPr>
    <w:r>
      <w:rPr>
        <w:rFonts w:ascii="微软雅黑" w:hAnsi="微软雅黑" w:eastAsia="微软雅黑"/>
        <w:color w:val="5A6B85"/>
        <w:sz w:val="17"/>
      </w:rPr>
      <w:t>智选优发｜系统技术与功能说明书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4A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rbel" w:hAnsi="Corbel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168">
    <w:name w:val="结语标题"/>
    <w:next w:val="1"/>
    <w:uiPriority w:val="0"/>
    <w:pPr>
      <w:adjustRightInd w:val="0"/>
      <w:spacing w:beforeLines="100" w:afterLines="100" w:line="24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1386</Words>
  <Characters>1431</Characters>
  <Lines>0</Lines>
  <Paragraphs>0</Paragraphs>
  <TotalTime>1</TotalTime>
  <ScaleCrop>false</ScaleCrop>
  <LinksUpToDate>false</LinksUpToDate>
  <CharactersWithSpaces>1460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智选优发项目组</dc:creator>
  <dc:description>generated by python-docx</dc:description>
  <cp:lastModifiedBy>林深见鹿</cp:lastModifiedBy>
  <dcterms:modified xsi:type="dcterms:W3CDTF">2026-07-25T11:46:38Z</dcterms:modified>
  <dc:subject>互联网+比赛系统成果说明</dc:subject>
  <dc:title>智选优发系统技术与功能说明书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eyJoZGlkIjoiZjZiNzUyOWYzZWNlMGNlZmNlZmVkZDc3MjAzMzM0YjQiLCJ1c2VySWQiOiIxOTc2ODU5NzcifQ==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369186C862AF48F2A67F18E2D975B5A5_12</vt:lpwstr>
  </property>
</Properties>
</file>