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TECHNICAL BUILD BLUEPRINT  /  VERSION 0.2</w:t>
      </w:r>
    </w:p>
    <w:p>
      <w:pPr>
        <w:pStyle w:val="Title"/>
      </w:pPr>
      <w:r>
        <w:t>Lapidus</w:t>
        <w:br/>
        <w:t>Vault Systems</w:t>
      </w:r>
    </w:p>
    <w:p>
      <w:pPr>
        <w:pStyle w:val="Deck"/>
      </w:pPr>
      <w:r>
        <w:t>Autonomous Morpho vault allocation, quantitative risk controls, and reliable execution</w:t>
      </w:r>
    </w:p>
    <w:p/>
    <w:p/>
    <w:tbl>
      <w:tblPr>
        <w:tblW w:type="auto" w:w="0"/>
        <w:tblLook w:firstColumn="1" w:firstRow="1" w:lastColumn="0" w:lastRow="0" w:noHBand="0" w:noVBand="1" w:val="04A0"/>
      </w:tblPr>
      <w:tblGrid>
        <w:gridCol w:w="9907"/>
      </w:tblGrid>
      <w:tr>
        <w:trPr>
          <w:cantSplit/>
        </w:trPr>
        <w:tc>
          <w:tcPr>
            <w:tcW w:type="dxa" w:w="9907"/>
            <w:shd w:fill="EDF5F7"/>
            <w:tcMar>
              <w:top w:w="140" w:type="dxa"/>
              <w:start w:w="180" w:type="dxa"/>
              <w:bottom w:w="140" w:type="dxa"/>
              <w:end w:w="160" w:type="dxa"/>
            </w:tcMar>
          </w:tcPr>
          <w:p>
            <w:r>
              <w:rPr>
                <w:b/>
                <w:color w:val="007E8F"/>
                <w:sz w:val="16"/>
              </w:rPr>
              <w:t>CORE THESIS</w:t>
            </w:r>
          </w:p>
          <w:p>
            <w:pPr>
              <w:spacing w:after="0" w:line="264" w:lineRule="auto"/>
            </w:pPr>
            <w:r>
              <w:t>Build a capital allocator that actually runs: gather live Morpho data, estimate portfolio risk, select target vault weights, execute permitted actions, and safely reconcile every transaction. Quantitative intelligence supports automated decisions; commercialization is not an MVP objective.</w:t>
            </w:r>
          </w:p>
        </w:tc>
      </w:tr>
    </w:tbl>
    <w:p>
      <w:pPr>
        <w:spacing w:after="0"/>
      </w:pPr>
    </w:p>
    <w:p/>
    <w:tbl>
      <w:tblPr>
        <w:tblStyle w:val="TableGrid"/>
        <w:tblW w:type="auto" w:w="0"/>
        <w:jc w:val="center"/>
        <w:tblLayout w:type="fixed"/>
        <w:tblLook w:firstColumn="1" w:firstRow="1" w:lastColumn="0" w:lastRow="0" w:noHBand="0" w:noVBand="1" w:val="04A0"/>
      </w:tblPr>
      <w:tblGrid>
        <w:gridCol w:w="3302"/>
        <w:gridCol w:w="3302"/>
        <w:gridCol w:w="3302"/>
      </w:tblGrid>
      <w:tr>
        <w:trPr>
          <w:cantSplit/>
        </w:trPr>
        <w:tc>
          <w:tcPr>
            <w:tcW w:type="dxa" w:w="3168"/>
            <w:shd w:fill="DDEBF0"/>
            <w:tcMar>
              <w:top w:w="85" w:type="dxa"/>
              <w:start w:w="110" w:type="dxa"/>
              <w:bottom w:w="85" w:type="dxa"/>
              <w:end w:w="110" w:type="dxa"/>
            </w:tcMar>
            <w:vAlign w:val="center"/>
          </w:tcPr>
          <w:p>
            <w:r>
              <w:rPr>
                <w:b/>
                <w:color w:val="142539"/>
                <w:sz w:val="18"/>
              </w:rPr>
              <w:t>PRIMARY USE CASE</w:t>
            </w:r>
          </w:p>
        </w:tc>
        <w:tc>
          <w:tcPr>
            <w:tcW w:type="dxa" w:w="3744"/>
            <w:shd w:fill="DDEBF0"/>
            <w:tcMar>
              <w:top w:w="85" w:type="dxa"/>
              <w:start w:w="110" w:type="dxa"/>
              <w:bottom w:w="85" w:type="dxa"/>
              <w:end w:w="110" w:type="dxa"/>
            </w:tcMar>
            <w:vAlign w:val="center"/>
          </w:tcPr>
          <w:p>
            <w:r>
              <w:rPr>
                <w:b/>
                <w:color w:val="142539"/>
                <w:sz w:val="18"/>
              </w:rPr>
              <w:t>ENGINEERING THESIS</w:t>
            </w:r>
          </w:p>
        </w:tc>
        <w:tc>
          <w:tcPr>
            <w:tcW w:type="dxa" w:w="3240"/>
            <w:shd w:fill="DDEBF0"/>
            <w:tcMar>
              <w:top w:w="85" w:type="dxa"/>
              <w:start w:w="110" w:type="dxa"/>
              <w:bottom w:w="85" w:type="dxa"/>
              <w:end w:w="110" w:type="dxa"/>
            </w:tcMar>
            <w:vAlign w:val="center"/>
          </w:tcPr>
          <w:p>
            <w:r>
              <w:rPr>
                <w:b/>
                <w:color w:val="142539"/>
                <w:sz w:val="18"/>
              </w:rPr>
              <w:t>FIRST END-TO-END PROOF</w:t>
            </w:r>
          </w:p>
        </w:tc>
      </w:tr>
      <w:tr>
        <w:trPr>
          <w:cantSplit/>
        </w:trPr>
        <w:tc>
          <w:tcPr>
            <w:tcW w:type="dxa" w:w="3168"/>
            <w:tcMar>
              <w:top w:w="85" w:type="dxa"/>
              <w:start w:w="110" w:type="dxa"/>
              <w:bottom w:w="85" w:type="dxa"/>
              <w:end w:w="110" w:type="dxa"/>
            </w:tcMar>
            <w:vAlign w:val="center"/>
          </w:tcPr>
          <w:p>
            <w:pPr>
              <w:spacing w:after="0" w:line="259" w:lineRule="auto"/>
            </w:pPr>
            <w:r>
              <w:rPr>
                <w:color w:val="24323F"/>
                <w:sz w:val="18"/>
              </w:rPr>
              <w:t>Personal USDC allocation across Morpho V2 vaults</w:t>
            </w:r>
          </w:p>
        </w:tc>
        <w:tc>
          <w:tcPr>
            <w:tcW w:type="dxa" w:w="3744"/>
            <w:tcMar>
              <w:top w:w="85" w:type="dxa"/>
              <w:start w:w="110" w:type="dxa"/>
              <w:bottom w:w="85" w:type="dxa"/>
              <w:end w:w="110" w:type="dxa"/>
            </w:tcMar>
            <w:vAlign w:val="center"/>
          </w:tcPr>
          <w:p>
            <w:pPr>
              <w:spacing w:after="0" w:line="259" w:lineRule="auto"/>
            </w:pPr>
            <w:r>
              <w:rPr>
                <w:color w:val="24323F"/>
                <w:sz w:val="18"/>
              </w:rPr>
              <w:t>Python risk/optimizer + Rust RPC and execution runtime</w:t>
            </w:r>
          </w:p>
        </w:tc>
        <w:tc>
          <w:tcPr>
            <w:tcW w:type="dxa" w:w="3240"/>
            <w:tcMar>
              <w:top w:w="85" w:type="dxa"/>
              <w:start w:w="110" w:type="dxa"/>
              <w:bottom w:w="85" w:type="dxa"/>
              <w:end w:w="110" w:type="dxa"/>
            </w:tcMar>
            <w:vAlign w:val="center"/>
          </w:tcPr>
          <w:p>
            <w:pPr>
              <w:spacing w:after="0" w:line="259" w:lineRule="auto"/>
            </w:pPr>
            <w:r>
              <w:rPr>
                <w:color w:val="24323F"/>
                <w:sz w:val="18"/>
              </w:rPr>
              <w:t>Paper rebalance with verified transaction plan, followed by small live deposit/redeem</w:t>
            </w:r>
          </w:p>
        </w:tc>
      </w:tr>
    </w:tbl>
    <w:p>
      <w:pPr>
        <w:spacing w:after="0"/>
      </w:pPr>
    </w:p>
    <w:p/>
    <w:p>
      <w:pPr>
        <w:pStyle w:val="Small"/>
      </w:pPr>
      <w:r>
        <w:t>Revised build specification   •   22 October 2026</w:t>
      </w:r>
    </w:p>
    <w:p>
      <w:pPr>
        <w:pStyle w:val="Small"/>
      </w:pPr>
      <w:r>
        <w:t>Primary goal: a functioning, risk-aware system that can autonomously allocate a dedicated portfolio among existing Morpho vaults. No commercial product requirements in the MVP.</w:t>
      </w:r>
    </w:p>
    <w:p>
      <w:r>
        <w:br w:type="page"/>
      </w:r>
    </w:p>
    <w:p>
      <w:pPr>
        <w:pStyle w:val="Heading1"/>
      </w:pPr>
      <w:r>
        <w:t>01  Executive decision</w:t>
      </w:r>
    </w:p>
    <w:p>
      <w:r>
        <w:t>Lapidus Vault Systems (LVS) is a personal-capital management system that monitors eligible Morpho vaults, evaluates yield versus risk and cost, and automatically deposits, withdraws, and reallocates funds between vaults according to explicit portfolio rules. It combines a Python quantitative decision layer with Rust infrastructure and transaction operations. The deliverable is a genuinely operating allocator, not merely a risk dashboard or another simulation.</w:t>
      </w:r>
    </w:p>
    <w:p>
      <w:r>
        <w:t>Recommendation: start with one chain, one stablecoin, and 3–5 eligible Morpho Vault V2s. Build the data pipeline, portfolio decision engine, and paper execution before enabling tightly constrained live transactions. In the final MVP, the unattended allocator should be capable of placing trades on its own, with hard risk limits, audit logs, monitoring, and an immediate shutdown path. Curator-facing analytics are an optional future application of the same infrastructure—not the design driver.</w:t>
      </w:r>
    </w:p>
    <w:p>
      <w:pPr>
        <w:pStyle w:val="Heading2"/>
      </w:pPr>
      <w:r>
        <w:t>Success means the system can</w:t>
      </w:r>
    </w:p>
    <w:p>
      <w:pPr>
        <w:pStyle w:val="ListBullet"/>
      </w:pPr>
      <w:r>
        <w:t>Observe its own vault share balances, available idle USDC, vault states, estimated net yield, and underlying exposures with timestamps and provenance.</w:t>
      </w:r>
    </w:p>
    <w:p>
      <w:pPr>
        <w:pStyle w:val="ListBullet"/>
      </w:pPr>
      <w:r>
        <w:t>Compute explicit target weights using portfolio constraints, liquidity conditions, modeled stress, and transaction costs; show why weights change.</w:t>
      </w:r>
    </w:p>
    <w:p>
      <w:pPr>
        <w:pStyle w:val="ListBullet"/>
      </w:pPr>
      <w:r>
        <w:t>Generate and execute safe deposits, redemptions, and vault-to-vault reallocations, after transaction simulation, preflight validation, and appropriate rollout testing.</w:t>
      </w:r>
    </w:p>
    <w:p>
      <w:pPr>
        <w:pStyle w:val="ListBullet"/>
      </w:pPr>
      <w:r>
        <w:t>Run unattended within configured limits, with persisted intents, receipts, balance reconciliation, error recovery, alerts, and a kill switch.</w:t>
      </w:r>
    </w:p>
    <w:p>
      <w:pPr>
        <w:pStyle w:val="ListBullet"/>
      </w:pPr>
      <w:r>
        <w:t>Produce a reproducible live operational record that demonstrates quantitative modeling plus production-like engineering.</w:t>
      </w:r>
    </w:p>
    <w:p>
      <w:pPr>
        <w:pStyle w:val="Heading2"/>
      </w:pPr>
      <w:r>
        <w:t>Explicit initial non-goals</w:t>
      </w:r>
    </w:p>
    <w:p>
      <w:pPr>
        <w:pStyle w:val="ListBullet"/>
      </w:pPr>
      <w:r>
        <w:t>No custody of other users’ assets, new vault deployment, delegated curator permissions, or automated in-vault allocator writes.</w:t>
      </w:r>
    </w:p>
    <w:p>
      <w:pPr>
        <w:pStyle w:val="ListBullet"/>
      </w:pPr>
      <w:r>
        <w:t>No cross-chain bridging, leverage, borrowing, derivatives, complex routing, or multi-protocol support in the first live version.</w:t>
      </w:r>
    </w:p>
    <w:p>
      <w:pPr>
        <w:pStyle w:val="ListBullet"/>
      </w:pPr>
      <w:r>
        <w:t>No aggressive APY chasing, guarantees of yield, assumptions of immediate liquidity, or unsupervised main-wallet access.</w:t>
      </w:r>
    </w:p>
    <w:p>
      <w:pPr>
        <w:pStyle w:val="ListBullet"/>
      </w:pPr>
      <w:r>
        <w:t>No commercial commitments, premature front-end polish, or rewriting the quantitative Python core in Rust.</w:t>
      </w:r>
    </w:p>
    <w:p>
      <w:pPr>
        <w:pStyle w:val="Heading1"/>
      </w:pPr>
      <w:r>
        <w:t>02  Two distinct products — do not conflate them</w:t>
      </w:r>
    </w:p>
    <w:tbl>
      <w:tblPr>
        <w:tblStyle w:val="TableGrid"/>
        <w:tblW w:type="auto" w:w="0"/>
        <w:jc w:val="center"/>
        <w:tblLayout w:type="fixed"/>
        <w:tblLook w:firstColumn="1" w:firstRow="1" w:lastColumn="0" w:lastRow="0" w:noHBand="0" w:noVBand="1" w:val="04A0"/>
      </w:tblPr>
      <w:tblGrid>
        <w:gridCol w:w="3302"/>
        <w:gridCol w:w="3302"/>
        <w:gridCol w:w="3302"/>
      </w:tblGrid>
      <w:tr>
        <w:trPr>
          <w:cantSplit/>
        </w:trPr>
        <w:tc>
          <w:tcPr>
            <w:tcW w:type="dxa" w:w="1757"/>
            <w:shd w:fill="DDEBF0"/>
            <w:tcMar>
              <w:top w:w="85" w:type="dxa"/>
              <w:start w:w="110" w:type="dxa"/>
              <w:bottom w:w="85" w:type="dxa"/>
              <w:end w:w="110" w:type="dxa"/>
            </w:tcMar>
            <w:vAlign w:val="center"/>
          </w:tcPr>
          <w:p>
            <w:r>
              <w:rPr>
                <w:b/>
                <w:color w:val="142539"/>
                <w:sz w:val="16"/>
              </w:rPr>
              <w:t>DIMENSION</w:t>
            </w:r>
          </w:p>
        </w:tc>
        <w:tc>
          <w:tcPr>
            <w:tcW w:type="dxa" w:w="4118"/>
            <w:shd w:fill="DDEBF0"/>
            <w:tcMar>
              <w:top w:w="85" w:type="dxa"/>
              <w:start w:w="110" w:type="dxa"/>
              <w:bottom w:w="85" w:type="dxa"/>
              <w:end w:w="110" w:type="dxa"/>
            </w:tcMar>
            <w:vAlign w:val="center"/>
          </w:tcPr>
          <w:p>
            <w:r>
              <w:rPr>
                <w:b/>
                <w:color w:val="142539"/>
                <w:sz w:val="16"/>
              </w:rPr>
              <w:t>A — DEPOSITOR PORTFOLIO</w:t>
            </w:r>
          </w:p>
        </w:tc>
        <w:tc>
          <w:tcPr>
            <w:tcW w:type="dxa" w:w="4277"/>
            <w:shd w:fill="DDEBF0"/>
            <w:tcMar>
              <w:top w:w="85" w:type="dxa"/>
              <w:start w:w="110" w:type="dxa"/>
              <w:bottom w:w="85" w:type="dxa"/>
              <w:end w:w="110" w:type="dxa"/>
            </w:tcMar>
            <w:vAlign w:val="center"/>
          </w:tcPr>
          <w:p>
            <w:r>
              <w:rPr>
                <w:b/>
                <w:color w:val="142539"/>
                <w:sz w:val="16"/>
              </w:rPr>
              <w:t>B — CURATOR / ALLOCATOR TOOLING</w:t>
            </w:r>
          </w:p>
        </w:tc>
      </w:tr>
      <w:tr>
        <w:trPr>
          <w:cantSplit/>
        </w:trPr>
        <w:tc>
          <w:tcPr>
            <w:tcW w:type="dxa" w:w="1757"/>
            <w:tcMar>
              <w:top w:w="85" w:type="dxa"/>
              <w:start w:w="110" w:type="dxa"/>
              <w:bottom w:w="85" w:type="dxa"/>
              <w:end w:w="110" w:type="dxa"/>
            </w:tcMar>
            <w:vAlign w:val="center"/>
          </w:tcPr>
          <w:p>
            <w:pPr>
              <w:spacing w:after="0" w:line="259" w:lineRule="auto"/>
            </w:pPr>
            <w:r>
              <w:rPr>
                <w:color w:val="24323F"/>
                <w:sz w:val="16"/>
              </w:rPr>
              <w:t>The client</w:t>
            </w:r>
          </w:p>
        </w:tc>
        <w:tc>
          <w:tcPr>
            <w:tcW w:type="dxa" w:w="4118"/>
            <w:tcMar>
              <w:top w:w="85" w:type="dxa"/>
              <w:start w:w="110" w:type="dxa"/>
              <w:bottom w:w="85" w:type="dxa"/>
              <w:end w:w="110" w:type="dxa"/>
            </w:tcMar>
            <w:vAlign w:val="center"/>
          </w:tcPr>
          <w:p>
            <w:pPr>
              <w:spacing w:after="0" w:line="259" w:lineRule="auto"/>
            </w:pPr>
            <w:r>
              <w:rPr>
                <w:color w:val="24323F"/>
                <w:sz w:val="16"/>
              </w:rPr>
              <w:t>Dedicated user wallet managing positions in existing vaults</w:t>
            </w:r>
          </w:p>
        </w:tc>
        <w:tc>
          <w:tcPr>
            <w:tcW w:type="dxa" w:w="4277"/>
            <w:tcMar>
              <w:top w:w="85" w:type="dxa"/>
              <w:start w:w="110" w:type="dxa"/>
              <w:bottom w:w="85" w:type="dxa"/>
              <w:end w:w="110" w:type="dxa"/>
            </w:tcMar>
            <w:vAlign w:val="center"/>
          </w:tcPr>
          <w:p>
            <w:pPr>
              <w:spacing w:after="0" w:line="259" w:lineRule="auto"/>
            </w:pPr>
            <w:r>
              <w:rPr>
                <w:color w:val="24323F"/>
                <w:sz w:val="16"/>
              </w:rPr>
              <w:t>Curator or authorized allocator operating inside one vault</w:t>
            </w:r>
          </w:p>
        </w:tc>
      </w:tr>
      <w:tr>
        <w:trPr>
          <w:cantSplit/>
        </w:trPr>
        <w:tc>
          <w:tcPr>
            <w:tcW w:type="dxa" w:w="1757"/>
            <w:tcMar>
              <w:top w:w="85" w:type="dxa"/>
              <w:start w:w="110" w:type="dxa"/>
              <w:bottom w:w="85" w:type="dxa"/>
              <w:end w:w="110" w:type="dxa"/>
            </w:tcMar>
            <w:vAlign w:val="center"/>
            <w:shd w:fill="F4F7F9"/>
          </w:tcPr>
          <w:p>
            <w:pPr>
              <w:spacing w:after="0" w:line="259" w:lineRule="auto"/>
            </w:pPr>
            <w:r>
              <w:rPr>
                <w:color w:val="24323F"/>
                <w:sz w:val="16"/>
              </w:rPr>
              <w:t>What moves</w:t>
            </w:r>
          </w:p>
        </w:tc>
        <w:tc>
          <w:tcPr>
            <w:tcW w:type="dxa" w:w="4118"/>
            <w:tcMar>
              <w:top w:w="85" w:type="dxa"/>
              <w:start w:w="110" w:type="dxa"/>
              <w:bottom w:w="85" w:type="dxa"/>
              <w:end w:w="110" w:type="dxa"/>
            </w:tcMar>
            <w:vAlign w:val="center"/>
            <w:shd w:fill="F4F7F9"/>
          </w:tcPr>
          <w:p>
            <w:pPr>
              <w:spacing w:after="0" w:line="259" w:lineRule="auto"/>
            </w:pPr>
            <w:r>
              <w:rPr>
                <w:color w:val="24323F"/>
                <w:sz w:val="16"/>
              </w:rPr>
              <w:t>Own wallet: deposits / redeems / reallocates across vaults</w:t>
            </w:r>
          </w:p>
        </w:tc>
        <w:tc>
          <w:tcPr>
            <w:tcW w:type="dxa" w:w="4277"/>
            <w:tcMar>
              <w:top w:w="85" w:type="dxa"/>
              <w:start w:w="110" w:type="dxa"/>
              <w:bottom w:w="85" w:type="dxa"/>
              <w:end w:w="110" w:type="dxa"/>
            </w:tcMar>
            <w:vAlign w:val="center"/>
            <w:shd w:fill="F4F7F9"/>
          </w:tcPr>
          <w:p>
            <w:pPr>
              <w:spacing w:after="0" w:line="259" w:lineRule="auto"/>
            </w:pPr>
            <w:r>
              <w:rPr>
                <w:color w:val="24323F"/>
                <w:sz w:val="16"/>
              </w:rPr>
              <w:t>In-vault: moves vault capital among adapters and markets</w:t>
            </w:r>
          </w:p>
        </w:tc>
      </w:tr>
      <w:tr>
        <w:trPr>
          <w:cantSplit/>
        </w:trPr>
        <w:tc>
          <w:tcPr>
            <w:tcW w:type="dxa" w:w="1757"/>
            <w:tcMar>
              <w:top w:w="85" w:type="dxa"/>
              <w:start w:w="110" w:type="dxa"/>
              <w:bottom w:w="85" w:type="dxa"/>
              <w:end w:w="110" w:type="dxa"/>
            </w:tcMar>
            <w:vAlign w:val="center"/>
          </w:tcPr>
          <w:p>
            <w:pPr>
              <w:spacing w:after="0" w:line="259" w:lineRule="auto"/>
            </w:pPr>
            <w:r>
              <w:rPr>
                <w:color w:val="24323F"/>
                <w:sz w:val="16"/>
              </w:rPr>
              <w:t>Authority</w:t>
            </w:r>
          </w:p>
        </w:tc>
        <w:tc>
          <w:tcPr>
            <w:tcW w:type="dxa" w:w="4118"/>
            <w:tcMar>
              <w:top w:w="85" w:type="dxa"/>
              <w:start w:w="110" w:type="dxa"/>
              <w:bottom w:w="85" w:type="dxa"/>
              <w:end w:w="110" w:type="dxa"/>
            </w:tcMar>
            <w:vAlign w:val="center"/>
          </w:tcPr>
          <w:p>
            <w:pPr>
              <w:spacing w:after="0" w:line="259" w:lineRule="auto"/>
            </w:pPr>
            <w:r>
              <w:rPr>
                <w:color w:val="24323F"/>
                <w:sz w:val="16"/>
              </w:rPr>
              <w:t>Depositor needs no curator role (normal access/gates still apply)</w:t>
            </w:r>
          </w:p>
        </w:tc>
        <w:tc>
          <w:tcPr>
            <w:tcW w:type="dxa" w:w="4277"/>
            <w:tcMar>
              <w:top w:w="85" w:type="dxa"/>
              <w:start w:w="110" w:type="dxa"/>
              <w:bottom w:w="85" w:type="dxa"/>
              <w:end w:w="110" w:type="dxa"/>
            </w:tcMar>
            <w:vAlign w:val="center"/>
          </w:tcPr>
          <w:p>
            <w:pPr>
              <w:spacing w:after="0" w:line="259" w:lineRule="auto"/>
            </w:pPr>
            <w:r>
              <w:rPr>
                <w:color w:val="24323F"/>
                <w:sz w:val="16"/>
              </w:rPr>
              <w:t>Allocator role required to make in-vault allocation writes</w:t>
            </w:r>
          </w:p>
        </w:tc>
      </w:tr>
      <w:tr>
        <w:trPr>
          <w:cantSplit/>
        </w:trPr>
        <w:tc>
          <w:tcPr>
            <w:tcW w:type="dxa" w:w="1757"/>
            <w:tcMar>
              <w:top w:w="85" w:type="dxa"/>
              <w:start w:w="110" w:type="dxa"/>
              <w:bottom w:w="85" w:type="dxa"/>
              <w:end w:w="110" w:type="dxa"/>
            </w:tcMar>
            <w:vAlign w:val="center"/>
            <w:shd w:fill="F4F7F9"/>
          </w:tcPr>
          <w:p>
            <w:pPr>
              <w:spacing w:after="0" w:line="259" w:lineRule="auto"/>
            </w:pPr>
            <w:r>
              <w:rPr>
                <w:color w:val="24323F"/>
                <w:sz w:val="16"/>
              </w:rPr>
              <w:t>MVP value</w:t>
            </w:r>
          </w:p>
        </w:tc>
        <w:tc>
          <w:tcPr>
            <w:tcW w:type="dxa" w:w="4118"/>
            <w:tcMar>
              <w:top w:w="85" w:type="dxa"/>
              <w:start w:w="110" w:type="dxa"/>
              <w:bottom w:w="85" w:type="dxa"/>
              <w:end w:w="110" w:type="dxa"/>
            </w:tcMar>
            <w:vAlign w:val="center"/>
            <w:shd w:fill="F4F7F9"/>
          </w:tcPr>
          <w:p>
            <w:pPr>
              <w:spacing w:after="0" w:line="259" w:lineRule="auto"/>
            </w:pPr>
            <w:r>
              <w:rPr>
                <w:color w:val="24323F"/>
                <w:sz w:val="16"/>
              </w:rPr>
              <w:t>Autonomous portfolio optimization and execution</w:t>
            </w:r>
          </w:p>
        </w:tc>
        <w:tc>
          <w:tcPr>
            <w:tcW w:type="dxa" w:w="4277"/>
            <w:tcMar>
              <w:top w:w="85" w:type="dxa"/>
              <w:start w:w="110" w:type="dxa"/>
              <w:bottom w:w="85" w:type="dxa"/>
              <w:end w:w="110" w:type="dxa"/>
            </w:tcMar>
            <w:vAlign w:val="center"/>
            <w:shd w:fill="F4F7F9"/>
          </w:tcPr>
          <w:p>
            <w:pPr>
              <w:spacing w:after="0" w:line="259" w:lineRule="auto"/>
            </w:pPr>
            <w:r>
              <w:rPr>
                <w:color w:val="24323F"/>
                <w:sz w:val="16"/>
              </w:rPr>
              <w:t>Risk and liquidity monitoring; optional allocator operations</w:t>
            </w:r>
          </w:p>
        </w:tc>
      </w:tr>
      <w:tr>
        <w:trPr>
          <w:cantSplit/>
        </w:trPr>
        <w:tc>
          <w:tcPr>
            <w:tcW w:type="dxa" w:w="1757"/>
            <w:tcMar>
              <w:top w:w="85" w:type="dxa"/>
              <w:start w:w="110" w:type="dxa"/>
              <w:bottom w:w="85" w:type="dxa"/>
              <w:end w:w="110" w:type="dxa"/>
            </w:tcMar>
            <w:vAlign w:val="center"/>
          </w:tcPr>
          <w:p>
            <w:pPr>
              <w:spacing w:after="0" w:line="259" w:lineRule="auto"/>
            </w:pPr>
            <w:r>
              <w:rPr>
                <w:color w:val="24323F"/>
                <w:sz w:val="16"/>
              </w:rPr>
              <w:t>Commercial path</w:t>
            </w:r>
          </w:p>
        </w:tc>
        <w:tc>
          <w:tcPr>
            <w:tcW w:type="dxa" w:w="4118"/>
            <w:tcMar>
              <w:top w:w="85" w:type="dxa"/>
              <w:start w:w="110" w:type="dxa"/>
              <w:bottom w:w="85" w:type="dxa"/>
              <w:end w:w="110" w:type="dxa"/>
            </w:tcMar>
            <w:vAlign w:val="center"/>
          </w:tcPr>
          <w:p>
            <w:pPr>
              <w:spacing w:after="0" w:line="259" w:lineRule="auto"/>
            </w:pPr>
            <w:r>
              <w:rPr>
                <w:color w:val="24323F"/>
                <w:sz w:val="16"/>
              </w:rPr>
              <w:t>No outside customers required</w:t>
            </w:r>
          </w:p>
        </w:tc>
        <w:tc>
          <w:tcPr>
            <w:tcW w:type="dxa" w:w="4277"/>
            <w:tcMar>
              <w:top w:w="85" w:type="dxa"/>
              <w:start w:w="110" w:type="dxa"/>
              <w:bottom w:w="85" w:type="dxa"/>
              <w:end w:w="110" w:type="dxa"/>
            </w:tcMar>
            <w:vAlign w:val="center"/>
          </w:tcPr>
          <w:p>
            <w:pPr>
              <w:spacing w:after="0" w:line="259" w:lineRule="auto"/>
            </w:pPr>
            <w:r>
              <w:rPr>
                <w:color w:val="24323F"/>
                <w:sz w:val="16"/>
              </w:rPr>
              <w:t>Potential later business or specialized operator tool</w:t>
            </w:r>
          </w:p>
        </w:tc>
      </w:tr>
      <w:tr>
        <w:trPr>
          <w:cantSplit/>
        </w:trPr>
        <w:tc>
          <w:tcPr>
            <w:tcW w:type="dxa" w:w="1757"/>
            <w:tcMar>
              <w:top w:w="85" w:type="dxa"/>
              <w:start w:w="110" w:type="dxa"/>
              <w:bottom w:w="85" w:type="dxa"/>
              <w:end w:w="110" w:type="dxa"/>
            </w:tcMar>
            <w:vAlign w:val="center"/>
            <w:shd w:fill="F4F7F9"/>
          </w:tcPr>
          <w:p>
            <w:pPr>
              <w:spacing w:after="0" w:line="259" w:lineRule="auto"/>
            </w:pPr>
            <w:r>
              <w:rPr>
                <w:color w:val="24323F"/>
                <w:sz w:val="16"/>
              </w:rPr>
              <w:t>Primary constraint</w:t>
            </w:r>
          </w:p>
        </w:tc>
        <w:tc>
          <w:tcPr>
            <w:tcW w:type="dxa" w:w="4118"/>
            <w:tcMar>
              <w:top w:w="85" w:type="dxa"/>
              <w:start w:w="110" w:type="dxa"/>
              <w:bottom w:w="85" w:type="dxa"/>
              <w:end w:w="110" w:type="dxa"/>
            </w:tcMar>
            <w:vAlign w:val="center"/>
            <w:shd w:fill="F4F7F9"/>
          </w:tcPr>
          <w:p>
            <w:pPr>
              <w:spacing w:after="0" w:line="259" w:lineRule="auto"/>
            </w:pPr>
            <w:r>
              <w:rPr>
                <w:color w:val="24323F"/>
                <w:sz w:val="16"/>
              </w:rPr>
              <w:t>Withdrawal liquidity, wallet security, execution reliability, costs</w:t>
            </w:r>
          </w:p>
        </w:tc>
        <w:tc>
          <w:tcPr>
            <w:tcW w:type="dxa" w:w="4277"/>
            <w:tcMar>
              <w:top w:w="85" w:type="dxa"/>
              <w:start w:w="110" w:type="dxa"/>
              <w:bottom w:w="85" w:type="dxa"/>
              <w:end w:w="110" w:type="dxa"/>
            </w:tcMar>
            <w:vAlign w:val="center"/>
            <w:shd w:fill="F4F7F9"/>
          </w:tcPr>
          <w:p>
            <w:pPr>
              <w:spacing w:after="0" w:line="259" w:lineRule="auto"/>
            </w:pPr>
            <w:r>
              <w:rPr>
                <w:color w:val="24323F"/>
                <w:sz w:val="16"/>
              </w:rPr>
              <w:t>Delegated authority, vault policies, market limits, institutional trust</w:t>
            </w:r>
          </w:p>
        </w:tc>
      </w:tr>
    </w:tbl>
    <w:p>
      <w:pPr>
        <w:spacing w:after="0"/>
      </w:pPr>
    </w:p>
    <w:tbl>
      <w:tblPr>
        <w:tblW w:type="auto" w:w="0"/>
        <w:tblLook w:firstColumn="1" w:firstRow="1" w:lastColumn="0" w:lastRow="0" w:noHBand="0" w:noVBand="1" w:val="04A0"/>
      </w:tblPr>
      <w:tblGrid>
        <w:gridCol w:w="9907"/>
      </w:tblGrid>
      <w:tr>
        <w:trPr>
          <w:cantSplit/>
        </w:trPr>
        <w:tc>
          <w:tcPr>
            <w:tcW w:type="dxa" w:w="9907"/>
            <w:shd w:fill="EDF5F7"/>
            <w:tcMar>
              <w:top w:w="140" w:type="dxa"/>
              <w:start w:w="180" w:type="dxa"/>
              <w:bottom w:w="140" w:type="dxa"/>
              <w:end w:w="160" w:type="dxa"/>
            </w:tcMar>
          </w:tcPr>
          <w:p>
            <w:r>
              <w:rPr>
                <w:b/>
                <w:color w:val="007E8F"/>
                <w:sz w:val="16"/>
              </w:rPr>
              <w:t>SCOPE DECISION</w:t>
            </w:r>
          </w:p>
          <w:p>
            <w:pPr>
              <w:spacing w:after="0" w:line="264" w:lineRule="auto"/>
            </w:pPr>
            <w:r>
              <w:t>A is the project: an autonomous depositor portfolio manager that controls only its own funds. B is distinct: a curator/allocator system that manages allocations inside a vault, with role-based permissions. Build A fully before considering B. Reuse read-only risk analytics later if useful; do not design around selling services.</w:t>
            </w:r>
          </w:p>
        </w:tc>
      </w:tr>
    </w:tbl>
    <w:p>
      <w:pPr>
        <w:spacing w:after="0"/>
      </w:pPr>
    </w:p>
    <w:p>
      <w:pPr>
        <w:pStyle w:val="Heading1"/>
      </w:pPr>
      <w:r>
        <w:t>03  Morpho domain model and scope</w:t>
      </w:r>
    </w:p>
    <w:p>
      <w:r>
        <w:t>Initial protocol scope: Morpho Vault V2, whose adapters invest vault assets in underlying positions. A Morpho Blue lending market is one possible underlying exposure; owning shares in a V2 vault does not grant control over its internal allocation. LVS will hold vault shares using an independent depositor wallet and manage weights across vaults via deposits/redemptions. Curator and Allocator roles concern in-vault operations and are outside the initial execution perimeter [1–3].</w:t>
      </w:r>
    </w:p>
    <w:p>
      <w:pPr>
        <w:pStyle w:val="Heading2"/>
      </w:pPr>
      <w:r>
        <w:t>Practical permissions</w:t>
      </w:r>
    </w:p>
    <w:tbl>
      <w:tblPr>
        <w:tblStyle w:val="TableGrid"/>
        <w:tblW w:type="auto" w:w="0"/>
        <w:jc w:val="center"/>
        <w:tblLayout w:type="fixed"/>
        <w:tblLook w:firstColumn="1" w:firstRow="1" w:lastColumn="0" w:lastRow="0" w:noHBand="0" w:noVBand="1" w:val="04A0"/>
      </w:tblPr>
      <w:tblGrid>
        <w:gridCol w:w="3302"/>
        <w:gridCol w:w="3302"/>
        <w:gridCol w:w="3302"/>
      </w:tblGrid>
      <w:tr>
        <w:trPr>
          <w:cantSplit/>
        </w:trPr>
        <w:tc>
          <w:tcPr>
            <w:tcW w:type="dxa" w:w="1512"/>
            <w:shd w:fill="DDEBF0"/>
            <w:tcMar>
              <w:top w:w="85" w:type="dxa"/>
              <w:start w:w="110" w:type="dxa"/>
              <w:bottom w:w="85" w:type="dxa"/>
              <w:end w:w="110" w:type="dxa"/>
            </w:tcMar>
            <w:vAlign w:val="center"/>
          </w:tcPr>
          <w:p>
            <w:r>
              <w:rPr>
                <w:b/>
                <w:color w:val="142539"/>
                <w:sz w:val="16"/>
              </w:rPr>
              <w:t>ACTOR</w:t>
            </w:r>
          </w:p>
        </w:tc>
        <w:tc>
          <w:tcPr>
            <w:tcW w:type="dxa" w:w="4104"/>
            <w:shd w:fill="DDEBF0"/>
            <w:tcMar>
              <w:top w:w="85" w:type="dxa"/>
              <w:start w:w="110" w:type="dxa"/>
              <w:bottom w:w="85" w:type="dxa"/>
              <w:end w:w="110" w:type="dxa"/>
            </w:tcMar>
            <w:vAlign w:val="center"/>
          </w:tcPr>
          <w:p>
            <w:r>
              <w:rPr>
                <w:b/>
                <w:color w:val="142539"/>
                <w:sz w:val="16"/>
              </w:rPr>
              <w:t>CAN DO</w:t>
            </w:r>
          </w:p>
        </w:tc>
        <w:tc>
          <w:tcPr>
            <w:tcW w:type="dxa" w:w="4536"/>
            <w:shd w:fill="DDEBF0"/>
            <w:tcMar>
              <w:top w:w="85" w:type="dxa"/>
              <w:start w:w="110" w:type="dxa"/>
              <w:bottom w:w="85" w:type="dxa"/>
              <w:end w:w="110" w:type="dxa"/>
            </w:tcMar>
            <w:vAlign w:val="center"/>
          </w:tcPr>
          <w:p>
            <w:r>
              <w:rPr>
                <w:b/>
                <w:color w:val="142539"/>
                <w:sz w:val="16"/>
              </w:rPr>
              <w:t>ROLE OF LVS IN VERSION 1</w:t>
            </w:r>
          </w:p>
        </w:tc>
      </w:tr>
      <w:tr>
        <w:trPr>
          <w:cantSplit/>
        </w:trPr>
        <w:tc>
          <w:tcPr>
            <w:tcW w:type="dxa" w:w="1512"/>
            <w:tcMar>
              <w:top w:w="85" w:type="dxa"/>
              <w:start w:w="110" w:type="dxa"/>
              <w:bottom w:w="85" w:type="dxa"/>
              <w:end w:w="110" w:type="dxa"/>
            </w:tcMar>
            <w:vAlign w:val="center"/>
          </w:tcPr>
          <w:p>
            <w:pPr>
              <w:spacing w:after="0" w:line="259" w:lineRule="auto"/>
            </w:pPr>
            <w:r>
              <w:rPr>
                <w:color w:val="24323F"/>
                <w:sz w:val="16"/>
              </w:rPr>
              <w:t>Depositor</w:t>
            </w:r>
          </w:p>
        </w:tc>
        <w:tc>
          <w:tcPr>
            <w:tcW w:type="dxa" w:w="4104"/>
            <w:tcMar>
              <w:top w:w="85" w:type="dxa"/>
              <w:start w:w="110" w:type="dxa"/>
              <w:bottom w:w="85" w:type="dxa"/>
              <w:end w:w="110" w:type="dxa"/>
            </w:tcMar>
            <w:vAlign w:val="center"/>
          </w:tcPr>
          <w:p>
            <w:pPr>
              <w:spacing w:after="0" w:line="259" w:lineRule="auto"/>
            </w:pPr>
            <w:r>
              <w:rPr>
                <w:color w:val="24323F"/>
                <w:sz w:val="16"/>
              </w:rPr>
              <w:t>Own wallet may deposit / redeem subject to gates and practical limits</w:t>
            </w:r>
          </w:p>
        </w:tc>
        <w:tc>
          <w:tcPr>
            <w:tcW w:type="dxa" w:w="4536"/>
            <w:tcMar>
              <w:top w:w="85" w:type="dxa"/>
              <w:start w:w="110" w:type="dxa"/>
              <w:bottom w:w="85" w:type="dxa"/>
              <w:end w:w="110" w:type="dxa"/>
            </w:tcMar>
            <w:vAlign w:val="center"/>
          </w:tcPr>
          <w:p>
            <w:pPr>
              <w:spacing w:after="0" w:line="259" w:lineRule="auto"/>
            </w:pPr>
            <w:r>
              <w:rPr>
                <w:color w:val="24323F"/>
                <w:sz w:val="16"/>
              </w:rPr>
              <w:t>Manage its own wallet’s deposits, vault shares, withdrawals, and cross-vault portfolio target weights.</w:t>
            </w:r>
          </w:p>
        </w:tc>
      </w:tr>
      <w:tr>
        <w:trPr>
          <w:cantSplit/>
        </w:trPr>
        <w:tc>
          <w:tcPr>
            <w:tcW w:type="dxa" w:w="1512"/>
            <w:tcMar>
              <w:top w:w="85" w:type="dxa"/>
              <w:start w:w="110" w:type="dxa"/>
              <w:bottom w:w="85" w:type="dxa"/>
              <w:end w:w="110" w:type="dxa"/>
            </w:tcMar>
            <w:vAlign w:val="center"/>
            <w:shd w:fill="F4F7F9"/>
          </w:tcPr>
          <w:p>
            <w:pPr>
              <w:spacing w:after="0" w:line="259" w:lineRule="auto"/>
            </w:pPr>
            <w:r>
              <w:rPr>
                <w:color w:val="24323F"/>
                <w:sz w:val="16"/>
              </w:rPr>
              <w:t>Curator</w:t>
            </w:r>
          </w:p>
        </w:tc>
        <w:tc>
          <w:tcPr>
            <w:tcW w:type="dxa" w:w="4104"/>
            <w:tcMar>
              <w:top w:w="85" w:type="dxa"/>
              <w:start w:w="110" w:type="dxa"/>
              <w:bottom w:w="85" w:type="dxa"/>
              <w:end w:w="110" w:type="dxa"/>
            </w:tcMar>
            <w:vAlign w:val="center"/>
            <w:shd w:fill="F4F7F9"/>
          </w:tcPr>
          <w:p>
            <w:pPr>
              <w:spacing w:after="0" w:line="259" w:lineRule="auto"/>
            </w:pPr>
            <w:r>
              <w:rPr>
                <w:color w:val="24323F"/>
                <w:sz w:val="16"/>
              </w:rPr>
              <w:t>Control risk limits and adapters, generally under timelocks</w:t>
            </w:r>
          </w:p>
        </w:tc>
        <w:tc>
          <w:tcPr>
            <w:tcW w:type="dxa" w:w="4536"/>
            <w:tcMar>
              <w:top w:w="85" w:type="dxa"/>
              <w:start w:w="110" w:type="dxa"/>
              <w:bottom w:w="85" w:type="dxa"/>
              <w:end w:w="110" w:type="dxa"/>
            </w:tcMar>
            <w:vAlign w:val="center"/>
            <w:shd w:fill="F4F7F9"/>
          </w:tcPr>
          <w:p>
            <w:pPr>
              <w:spacing w:after="0" w:line="259" w:lineRule="auto"/>
            </w:pPr>
            <w:r>
              <w:rPr>
                <w:color w:val="24323F"/>
                <w:sz w:val="16"/>
              </w:rPr>
              <w:t>Observe risk parameters and changes; no curator writes.</w:t>
            </w:r>
          </w:p>
        </w:tc>
      </w:tr>
      <w:tr>
        <w:trPr>
          <w:cantSplit/>
        </w:trPr>
        <w:tc>
          <w:tcPr>
            <w:tcW w:type="dxa" w:w="1512"/>
            <w:tcMar>
              <w:top w:w="85" w:type="dxa"/>
              <w:start w:w="110" w:type="dxa"/>
              <w:bottom w:w="85" w:type="dxa"/>
              <w:end w:w="110" w:type="dxa"/>
            </w:tcMar>
            <w:vAlign w:val="center"/>
          </w:tcPr>
          <w:p>
            <w:pPr>
              <w:spacing w:after="0" w:line="259" w:lineRule="auto"/>
            </w:pPr>
            <w:r>
              <w:rPr>
                <w:color w:val="24323F"/>
                <w:sz w:val="16"/>
              </w:rPr>
              <w:t>Allocator</w:t>
            </w:r>
          </w:p>
        </w:tc>
        <w:tc>
          <w:tcPr>
            <w:tcW w:type="dxa" w:w="4104"/>
            <w:tcMar>
              <w:top w:w="85" w:type="dxa"/>
              <w:start w:w="110" w:type="dxa"/>
              <w:bottom w:w="85" w:type="dxa"/>
              <w:end w:w="110" w:type="dxa"/>
            </w:tcMar>
            <w:vAlign w:val="center"/>
          </w:tcPr>
          <w:p>
            <w:pPr>
              <w:spacing w:after="0" w:line="259" w:lineRule="auto"/>
            </w:pPr>
            <w:r>
              <w:rPr>
                <w:color w:val="24323F"/>
                <w:sz w:val="16"/>
              </w:rPr>
              <w:t>Move vault funds among already enabled adapters; manage liquidity source</w:t>
            </w:r>
          </w:p>
        </w:tc>
        <w:tc>
          <w:tcPr>
            <w:tcW w:type="dxa" w:w="4536"/>
            <w:tcMar>
              <w:top w:w="85" w:type="dxa"/>
              <w:start w:w="110" w:type="dxa"/>
              <w:bottom w:w="85" w:type="dxa"/>
              <w:end w:w="110" w:type="dxa"/>
            </w:tcMar>
            <w:vAlign w:val="center"/>
          </w:tcPr>
          <w:p>
            <w:pPr>
              <w:spacing w:after="0" w:line="259" w:lineRule="auto"/>
            </w:pPr>
            <w:r>
              <w:rPr>
                <w:color w:val="24323F"/>
                <w:sz w:val="16"/>
              </w:rPr>
              <w:t>Observe underlying allocations; do not call vault allocate/deallocate without an assigned role.</w:t>
            </w:r>
          </w:p>
        </w:tc>
      </w:tr>
      <w:tr>
        <w:trPr>
          <w:cantSplit/>
        </w:trPr>
        <w:tc>
          <w:tcPr>
            <w:tcW w:type="dxa" w:w="1512"/>
            <w:tcMar>
              <w:top w:w="85" w:type="dxa"/>
              <w:start w:w="110" w:type="dxa"/>
              <w:bottom w:w="85" w:type="dxa"/>
              <w:end w:w="110" w:type="dxa"/>
            </w:tcMar>
            <w:vAlign w:val="center"/>
            <w:shd w:fill="F4F7F9"/>
          </w:tcPr>
          <w:p>
            <w:pPr>
              <w:spacing w:after="0" w:line="259" w:lineRule="auto"/>
            </w:pPr>
            <w:r>
              <w:rPr>
                <w:color w:val="24323F"/>
                <w:sz w:val="16"/>
              </w:rPr>
              <w:t>Sentinel</w:t>
            </w:r>
          </w:p>
        </w:tc>
        <w:tc>
          <w:tcPr>
            <w:tcW w:type="dxa" w:w="4104"/>
            <w:tcMar>
              <w:top w:w="85" w:type="dxa"/>
              <w:start w:w="110" w:type="dxa"/>
              <w:bottom w:w="85" w:type="dxa"/>
              <w:end w:w="110" w:type="dxa"/>
            </w:tcMar>
            <w:vAlign w:val="center"/>
            <w:shd w:fill="F4F7F9"/>
          </w:tcPr>
          <w:p>
            <w:pPr>
              <w:spacing w:after="0" w:line="259" w:lineRule="auto"/>
            </w:pPr>
            <w:r>
              <w:rPr>
                <w:color w:val="24323F"/>
                <w:sz w:val="16"/>
              </w:rPr>
              <w:t>Reduce risk, revoke pending changes, deallocate</w:t>
            </w:r>
          </w:p>
        </w:tc>
        <w:tc>
          <w:tcPr>
            <w:tcW w:type="dxa" w:w="4536"/>
            <w:tcMar>
              <w:top w:w="85" w:type="dxa"/>
              <w:start w:w="110" w:type="dxa"/>
              <w:bottom w:w="85" w:type="dxa"/>
              <w:end w:w="110" w:type="dxa"/>
            </w:tcMar>
            <w:vAlign w:val="center"/>
            <w:shd w:fill="F4F7F9"/>
          </w:tcPr>
          <w:p>
            <w:pPr>
              <w:spacing w:after="0" w:line="259" w:lineRule="auto"/>
            </w:pPr>
            <w:r>
              <w:rPr>
                <w:color w:val="24323F"/>
                <w:sz w:val="16"/>
              </w:rPr>
              <w:t>Observe alerts and risk restrictions; no sentinel permissions.</w:t>
            </w:r>
          </w:p>
        </w:tc>
      </w:tr>
    </w:tbl>
    <w:p>
      <w:pPr>
        <w:spacing w:after="0"/>
      </w:pPr>
    </w:p>
    <w:p>
      <w:r>
        <w:t>V2 integration caveat: maxDeposit/maxMint/maxWithdraw/maxRedeem may return zero by design. Use the documented Morpho V2 SDK/state-based deposit and withdrawal limit computations, inspect gate restrictions, bound share prices and slippage, and simulate every real transaction before signing [2, 5].</w:t>
      </w:r>
    </w:p>
    <w:p>
      <w:r>
        <w:t>Withdrawals use idle assets and designated liquidity adapter capacity; other positions may require force-deallocation, in-kind redemption, or other complex exits. Those alternatives are deliberately out of scope for the first automatic executor. The portfolio policy must account for assets that cannot be exited immediately and never assume full vault TVL is liquid [3–4].</w:t>
      </w:r>
    </w:p>
    <w:p>
      <w:pPr>
        <w:pStyle w:val="Heading1"/>
      </w:pPr>
      <w:r>
        <w:t>04  Architecture and responsibility split</w:t>
      </w:r>
    </w:p>
    <w:p>
      <w:r>
        <w:t>Architecture must lead to autonomous action while remaining maintainable. Use a single Python research/decision service and a Rust RPC/execution worker; avoid premature microservices. Initially commands are simulated; after release gates they are signed and broadcast by the limited-purpose execution identity.</w:t>
      </w:r>
    </w:p>
    <w:tbl>
      <w:tblPr>
        <w:tblStyle w:val="TableGrid"/>
        <w:tblW w:type="auto" w:w="0"/>
        <w:jc w:val="center"/>
        <w:tblLayout w:type="fixed"/>
        <w:tblLook w:firstColumn="1" w:firstRow="1" w:lastColumn="0" w:lastRow="0" w:noHBand="0" w:noVBand="1" w:val="04A0"/>
      </w:tblPr>
      <w:tblGrid>
        <w:gridCol w:w="3302"/>
        <w:gridCol w:w="3302"/>
        <w:gridCol w:w="3302"/>
      </w:tblGrid>
      <w:tr>
        <w:trPr>
          <w:cantSplit/>
        </w:trPr>
        <w:tc>
          <w:tcPr>
            <w:tcW w:type="dxa" w:w="1944"/>
            <w:shd w:fill="DDEBF0"/>
            <w:tcMar>
              <w:top w:w="85" w:type="dxa"/>
              <w:start w:w="110" w:type="dxa"/>
              <w:bottom w:w="85" w:type="dxa"/>
              <w:end w:w="110" w:type="dxa"/>
            </w:tcMar>
            <w:vAlign w:val="center"/>
          </w:tcPr>
          <w:p>
            <w:r>
              <w:rPr>
                <w:b/>
                <w:color w:val="142539"/>
                <w:sz w:val="16"/>
              </w:rPr>
              <w:t>COMPONENT</w:t>
            </w:r>
          </w:p>
        </w:tc>
        <w:tc>
          <w:tcPr>
            <w:tcW w:type="dxa" w:w="2534"/>
            <w:shd w:fill="DDEBF0"/>
            <w:tcMar>
              <w:top w:w="85" w:type="dxa"/>
              <w:start w:w="110" w:type="dxa"/>
              <w:bottom w:w="85" w:type="dxa"/>
              <w:end w:w="110" w:type="dxa"/>
            </w:tcMar>
            <w:vAlign w:val="center"/>
          </w:tcPr>
          <w:p>
            <w:r>
              <w:rPr>
                <w:b/>
                <w:color w:val="142539"/>
                <w:sz w:val="16"/>
              </w:rPr>
              <w:t>IMPLEMENTATION</w:t>
            </w:r>
          </w:p>
        </w:tc>
        <w:tc>
          <w:tcPr>
            <w:tcW w:type="dxa" w:w="5674"/>
            <w:shd w:fill="DDEBF0"/>
            <w:tcMar>
              <w:top w:w="85" w:type="dxa"/>
              <w:start w:w="110" w:type="dxa"/>
              <w:bottom w:w="85" w:type="dxa"/>
              <w:end w:w="110" w:type="dxa"/>
            </w:tcMar>
            <w:vAlign w:val="center"/>
          </w:tcPr>
          <w:p>
            <w:r>
              <w:rPr>
                <w:b/>
                <w:color w:val="142539"/>
                <w:sz w:val="16"/>
              </w:rPr>
              <w:t>CORE RESPONSIBILITY</w:t>
            </w:r>
          </w:p>
        </w:tc>
      </w:tr>
      <w:tr>
        <w:trPr>
          <w:cantSplit/>
        </w:trPr>
        <w:tc>
          <w:tcPr>
            <w:tcW w:type="dxa" w:w="1944"/>
            <w:tcMar>
              <w:top w:w="85" w:type="dxa"/>
              <w:start w:w="110" w:type="dxa"/>
              <w:bottom w:w="85" w:type="dxa"/>
              <w:end w:w="110" w:type="dxa"/>
            </w:tcMar>
            <w:vAlign w:val="center"/>
          </w:tcPr>
          <w:p>
            <w:pPr>
              <w:spacing w:after="0" w:line="259" w:lineRule="auto"/>
            </w:pPr>
            <w:r>
              <w:rPr>
                <w:color w:val="24323F"/>
                <w:sz w:val="16"/>
              </w:rPr>
              <w:t>Morpho adapter</w:t>
            </w:r>
          </w:p>
        </w:tc>
        <w:tc>
          <w:tcPr>
            <w:tcW w:type="dxa" w:w="2534"/>
            <w:tcMar>
              <w:top w:w="85" w:type="dxa"/>
              <w:start w:w="110" w:type="dxa"/>
              <w:bottom w:w="85" w:type="dxa"/>
              <w:end w:w="110" w:type="dxa"/>
            </w:tcMar>
            <w:vAlign w:val="center"/>
          </w:tcPr>
          <w:p>
            <w:pPr>
              <w:spacing w:after="0" w:line="259" w:lineRule="auto"/>
            </w:pPr>
            <w:r>
              <w:rPr>
                <w:color w:val="24323F"/>
                <w:sz w:val="16"/>
              </w:rPr>
              <w:t>Python HTTPX initially</w:t>
            </w:r>
          </w:p>
        </w:tc>
        <w:tc>
          <w:tcPr>
            <w:tcW w:type="dxa" w:w="5674"/>
            <w:tcMar>
              <w:top w:w="85" w:type="dxa"/>
              <w:start w:w="110" w:type="dxa"/>
              <w:bottom w:w="85" w:type="dxa"/>
              <w:end w:w="110" w:type="dxa"/>
            </w:tcMar>
            <w:vAlign w:val="center"/>
          </w:tcPr>
          <w:p>
            <w:pPr>
              <w:spacing w:after="0" w:line="259" w:lineRule="auto"/>
            </w:pPr>
            <w:r>
              <w:rPr>
                <w:color w:val="24323F"/>
                <w:sz w:val="16"/>
              </w:rPr>
              <w:t>Vault discovery/config/state/positions/APY; token decimals; indexed block age</w:t>
            </w:r>
          </w:p>
        </w:tc>
      </w:tr>
      <w:tr>
        <w:trPr>
          <w:cantSplit/>
        </w:trPr>
        <w:tc>
          <w:tcPr>
            <w:tcW w:type="dxa" w:w="1944"/>
            <w:tcMar>
              <w:top w:w="85" w:type="dxa"/>
              <w:start w:w="110" w:type="dxa"/>
              <w:bottom w:w="85" w:type="dxa"/>
              <w:end w:w="110" w:type="dxa"/>
            </w:tcMar>
            <w:vAlign w:val="center"/>
            <w:shd w:fill="F4F7F9"/>
          </w:tcPr>
          <w:p>
            <w:pPr>
              <w:spacing w:after="0" w:line="259" w:lineRule="auto"/>
            </w:pPr>
            <w:r>
              <w:rPr>
                <w:color w:val="24323F"/>
                <w:sz w:val="16"/>
              </w:rPr>
              <w:t>Chain verification</w:t>
            </w:r>
          </w:p>
        </w:tc>
        <w:tc>
          <w:tcPr>
            <w:tcW w:type="dxa" w:w="2534"/>
            <w:tcMar>
              <w:top w:w="85" w:type="dxa"/>
              <w:start w:w="110" w:type="dxa"/>
              <w:bottom w:w="85" w:type="dxa"/>
              <w:end w:w="110" w:type="dxa"/>
            </w:tcMar>
            <w:vAlign w:val="center"/>
            <w:shd w:fill="F4F7F9"/>
          </w:tcPr>
          <w:p>
            <w:pPr>
              <w:spacing w:after="0" w:line="259" w:lineRule="auto"/>
            </w:pPr>
            <w:r>
              <w:rPr>
                <w:color w:val="24323F"/>
                <w:sz w:val="16"/>
              </w:rPr>
              <w:t>Rust + Alloy + Tokio (introduced early)</w:t>
            </w:r>
          </w:p>
        </w:tc>
        <w:tc>
          <w:tcPr>
            <w:tcW w:type="dxa" w:w="5674"/>
            <w:tcMar>
              <w:top w:w="85" w:type="dxa"/>
              <w:start w:w="110" w:type="dxa"/>
              <w:bottom w:w="85" w:type="dxa"/>
              <w:end w:w="110" w:type="dxa"/>
            </w:tcMar>
            <w:vAlign w:val="center"/>
            <w:shd w:fill="F4F7F9"/>
          </w:tcPr>
          <w:p>
            <w:pPr>
              <w:spacing w:after="0" w:line="259" w:lineRule="auto"/>
            </w:pPr>
            <w:r>
              <w:rPr>
                <w:color w:val="24323F"/>
                <w:sz w:val="16"/>
              </w:rPr>
              <w:t>RPC provider health, on-chain verification, contract calls and reconnect/retry</w:t>
            </w:r>
          </w:p>
        </w:tc>
      </w:tr>
      <w:tr>
        <w:trPr>
          <w:cantSplit/>
        </w:trPr>
        <w:tc>
          <w:tcPr>
            <w:tcW w:type="dxa" w:w="1944"/>
            <w:tcMar>
              <w:top w:w="85" w:type="dxa"/>
              <w:start w:w="110" w:type="dxa"/>
              <w:bottom w:w="85" w:type="dxa"/>
              <w:end w:w="110" w:type="dxa"/>
            </w:tcMar>
            <w:vAlign w:val="center"/>
          </w:tcPr>
          <w:p>
            <w:pPr>
              <w:spacing w:after="0" w:line="259" w:lineRule="auto"/>
            </w:pPr>
            <w:r>
              <w:rPr>
                <w:color w:val="24323F"/>
                <w:sz w:val="16"/>
              </w:rPr>
              <w:t>Persistence</w:t>
            </w:r>
          </w:p>
        </w:tc>
        <w:tc>
          <w:tcPr>
            <w:tcW w:type="dxa" w:w="2534"/>
            <w:tcMar>
              <w:top w:w="85" w:type="dxa"/>
              <w:start w:w="110" w:type="dxa"/>
              <w:bottom w:w="85" w:type="dxa"/>
              <w:end w:w="110" w:type="dxa"/>
            </w:tcMar>
            <w:vAlign w:val="center"/>
          </w:tcPr>
          <w:p>
            <w:pPr>
              <w:spacing w:after="0" w:line="259" w:lineRule="auto"/>
            </w:pPr>
            <w:r>
              <w:rPr>
                <w:color w:val="24323F"/>
                <w:sz w:val="16"/>
              </w:rPr>
              <w:t>SQLite, replaceable by PostgreSQL</w:t>
            </w:r>
          </w:p>
        </w:tc>
        <w:tc>
          <w:tcPr>
            <w:tcW w:type="dxa" w:w="5674"/>
            <w:tcMar>
              <w:top w:w="85" w:type="dxa"/>
              <w:start w:w="110" w:type="dxa"/>
              <w:bottom w:w="85" w:type="dxa"/>
              <w:end w:w="110" w:type="dxa"/>
            </w:tcMar>
            <w:vAlign w:val="center"/>
          </w:tcPr>
          <w:p>
            <w:pPr>
              <w:spacing w:after="0" w:line="259" w:lineRule="auto"/>
            </w:pPr>
            <w:r>
              <w:rPr>
                <w:color w:val="24323F"/>
                <w:sz w:val="16"/>
              </w:rPr>
              <w:t>Snapshots, own share balances, targets, intents, simulations, receipts, reconciliations</w:t>
            </w:r>
          </w:p>
        </w:tc>
      </w:tr>
      <w:tr>
        <w:trPr>
          <w:cantSplit/>
        </w:trPr>
        <w:tc>
          <w:tcPr>
            <w:tcW w:type="dxa" w:w="1944"/>
            <w:tcMar>
              <w:top w:w="85" w:type="dxa"/>
              <w:start w:w="110" w:type="dxa"/>
              <w:bottom w:w="85" w:type="dxa"/>
              <w:end w:w="110" w:type="dxa"/>
            </w:tcMar>
            <w:vAlign w:val="center"/>
            <w:shd w:fill="F4F7F9"/>
          </w:tcPr>
          <w:p>
            <w:pPr>
              <w:spacing w:after="0" w:line="259" w:lineRule="auto"/>
            </w:pPr>
            <w:r>
              <w:rPr>
                <w:color w:val="24323F"/>
                <w:sz w:val="16"/>
              </w:rPr>
              <w:t>Risk engine</w:t>
            </w:r>
          </w:p>
        </w:tc>
        <w:tc>
          <w:tcPr>
            <w:tcW w:type="dxa" w:w="2534"/>
            <w:tcMar>
              <w:top w:w="85" w:type="dxa"/>
              <w:start w:w="110" w:type="dxa"/>
              <w:bottom w:w="85" w:type="dxa"/>
              <w:end w:w="110" w:type="dxa"/>
            </w:tcMar>
            <w:vAlign w:val="center"/>
            <w:shd w:fill="F4F7F9"/>
          </w:tcPr>
          <w:p>
            <w:pPr>
              <w:spacing w:after="0" w:line="259" w:lineRule="auto"/>
            </w:pPr>
            <w:r>
              <w:rPr>
                <w:color w:val="24323F"/>
                <w:sz w:val="16"/>
              </w:rPr>
              <w:t>Python / NumPy / pandas</w:t>
            </w:r>
          </w:p>
        </w:tc>
        <w:tc>
          <w:tcPr>
            <w:tcW w:type="dxa" w:w="5674"/>
            <w:tcMar>
              <w:top w:w="85" w:type="dxa"/>
              <w:start w:w="110" w:type="dxa"/>
              <w:bottom w:w="85" w:type="dxa"/>
              <w:end w:w="110" w:type="dxa"/>
            </w:tcMar>
            <w:vAlign w:val="center"/>
            <w:shd w:fill="F4F7F9"/>
          </w:tcPr>
          <w:p>
            <w:pPr>
              <w:spacing w:after="0" w:line="259" w:lineRule="auto"/>
            </w:pPr>
            <w:r>
              <w:rPr>
                <w:color w:val="24323F"/>
                <w:sz w:val="16"/>
              </w:rPr>
              <w:t>Risk exposure, stress tests, liquidity haircut and yield estimates</w:t>
            </w:r>
          </w:p>
        </w:tc>
      </w:tr>
      <w:tr>
        <w:trPr>
          <w:cantSplit/>
        </w:trPr>
        <w:tc>
          <w:tcPr>
            <w:tcW w:type="dxa" w:w="1944"/>
            <w:tcMar>
              <w:top w:w="85" w:type="dxa"/>
              <w:start w:w="110" w:type="dxa"/>
              <w:bottom w:w="85" w:type="dxa"/>
              <w:end w:w="110" w:type="dxa"/>
            </w:tcMar>
            <w:vAlign w:val="center"/>
          </w:tcPr>
          <w:p>
            <w:pPr>
              <w:spacing w:after="0" w:line="259" w:lineRule="auto"/>
            </w:pPr>
            <w:r>
              <w:rPr>
                <w:color w:val="24323F"/>
                <w:sz w:val="16"/>
              </w:rPr>
              <w:t>Decision policy</w:t>
            </w:r>
          </w:p>
        </w:tc>
        <w:tc>
          <w:tcPr>
            <w:tcW w:type="dxa" w:w="2534"/>
            <w:tcMar>
              <w:top w:w="85" w:type="dxa"/>
              <w:start w:w="110" w:type="dxa"/>
              <w:bottom w:w="85" w:type="dxa"/>
              <w:end w:w="110" w:type="dxa"/>
            </w:tcMar>
            <w:vAlign w:val="center"/>
          </w:tcPr>
          <w:p>
            <w:pPr>
              <w:spacing w:after="0" w:line="259" w:lineRule="auto"/>
            </w:pPr>
            <w:r>
              <w:rPr>
                <w:color w:val="24323F"/>
                <w:sz w:val="16"/>
              </w:rPr>
              <w:t>Python deterministic module</w:t>
            </w:r>
          </w:p>
        </w:tc>
        <w:tc>
          <w:tcPr>
            <w:tcW w:type="dxa" w:w="5674"/>
            <w:tcMar>
              <w:top w:w="85" w:type="dxa"/>
              <w:start w:w="110" w:type="dxa"/>
              <w:bottom w:w="85" w:type="dxa"/>
              <w:end w:w="110" w:type="dxa"/>
            </w:tcMar>
            <w:vAlign w:val="center"/>
          </w:tcPr>
          <w:p>
            <w:pPr>
              <w:spacing w:after="0" w:line="259" w:lineRule="auto"/>
            </w:pPr>
            <w:r>
              <w:rPr>
                <w:color w:val="24323F"/>
                <w:sz w:val="16"/>
              </w:rPr>
              <w:t>Deterministic portfolio constraints, rebalance trigger, cash reserve and target weights</w:t>
            </w:r>
          </w:p>
        </w:tc>
      </w:tr>
      <w:tr>
        <w:trPr>
          <w:cantSplit/>
        </w:trPr>
        <w:tc>
          <w:tcPr>
            <w:tcW w:type="dxa" w:w="1944"/>
            <w:tcMar>
              <w:top w:w="85" w:type="dxa"/>
              <w:start w:w="110" w:type="dxa"/>
              <w:bottom w:w="85" w:type="dxa"/>
              <w:end w:w="110" w:type="dxa"/>
            </w:tcMar>
            <w:vAlign w:val="center"/>
            <w:shd w:fill="F4F7F9"/>
          </w:tcPr>
          <w:p>
            <w:pPr>
              <w:spacing w:after="0" w:line="259" w:lineRule="auto"/>
            </w:pPr>
            <w:r>
              <w:rPr>
                <w:color w:val="24323F"/>
                <w:sz w:val="16"/>
              </w:rPr>
              <w:t>Execution module</w:t>
            </w:r>
          </w:p>
        </w:tc>
        <w:tc>
          <w:tcPr>
            <w:tcW w:type="dxa" w:w="2534"/>
            <w:tcMar>
              <w:top w:w="85" w:type="dxa"/>
              <w:start w:w="110" w:type="dxa"/>
              <w:bottom w:w="85" w:type="dxa"/>
              <w:end w:w="110" w:type="dxa"/>
            </w:tcMar>
            <w:vAlign w:val="center"/>
            <w:shd w:fill="F4F7F9"/>
          </w:tcPr>
          <w:p>
            <w:pPr>
              <w:spacing w:after="0" w:line="259" w:lineRule="auto"/>
            </w:pPr>
            <w:r>
              <w:rPr>
                <w:color w:val="24323F"/>
                <w:sz w:val="16"/>
              </w:rPr>
              <w:t>Rust; disabled by default</w:t>
            </w:r>
          </w:p>
        </w:tc>
        <w:tc>
          <w:tcPr>
            <w:tcW w:type="dxa" w:w="5674"/>
            <w:tcMar>
              <w:top w:w="85" w:type="dxa"/>
              <w:start w:w="110" w:type="dxa"/>
              <w:bottom w:w="85" w:type="dxa"/>
              <w:end w:w="110" w:type="dxa"/>
            </w:tcMar>
            <w:vAlign w:val="center"/>
            <w:shd w:fill="F4F7F9"/>
          </w:tcPr>
          <w:p>
            <w:pPr>
              <w:spacing w:after="0" w:line="259" w:lineRule="auto"/>
            </w:pPr>
            <w:r>
              <w:rPr>
                <w:color w:val="24323F"/>
                <w:sz w:val="16"/>
              </w:rPr>
              <w:t>Preflight simulation, restricted signing and tx submission, nonce/receipt monitoring</w:t>
            </w:r>
          </w:p>
        </w:tc>
      </w:tr>
      <w:tr>
        <w:trPr>
          <w:cantSplit/>
        </w:trPr>
        <w:tc>
          <w:tcPr>
            <w:tcW w:type="dxa" w:w="1944"/>
            <w:tcMar>
              <w:top w:w="85" w:type="dxa"/>
              <w:start w:w="110" w:type="dxa"/>
              <w:bottom w:w="85" w:type="dxa"/>
              <w:end w:w="110" w:type="dxa"/>
            </w:tcMar>
            <w:vAlign w:val="center"/>
          </w:tcPr>
          <w:p>
            <w:pPr>
              <w:spacing w:after="0" w:line="259" w:lineRule="auto"/>
            </w:pPr>
            <w:r>
              <w:rPr>
                <w:color w:val="24323F"/>
                <w:sz w:val="16"/>
              </w:rPr>
              <w:t>Visibility</w:t>
            </w:r>
          </w:p>
        </w:tc>
        <w:tc>
          <w:tcPr>
            <w:tcW w:type="dxa" w:w="2534"/>
            <w:tcMar>
              <w:top w:w="85" w:type="dxa"/>
              <w:start w:w="110" w:type="dxa"/>
              <w:bottom w:w="85" w:type="dxa"/>
              <w:end w:w="110" w:type="dxa"/>
            </w:tcMar>
            <w:vAlign w:val="center"/>
          </w:tcPr>
          <w:p>
            <w:pPr>
              <w:spacing w:after="0" w:line="259" w:lineRule="auto"/>
            </w:pPr>
            <w:r>
              <w:rPr>
                <w:color w:val="24323F"/>
                <w:sz w:val="16"/>
              </w:rPr>
              <w:t>CLI + reports; dashboard only as needed</w:t>
            </w:r>
          </w:p>
        </w:tc>
        <w:tc>
          <w:tcPr>
            <w:tcW w:type="dxa" w:w="5674"/>
            <w:tcMar>
              <w:top w:w="85" w:type="dxa"/>
              <w:start w:w="110" w:type="dxa"/>
              <w:bottom w:w="85" w:type="dxa"/>
              <w:end w:w="110" w:type="dxa"/>
            </w:tcMar>
            <w:vAlign w:val="center"/>
          </w:tcPr>
          <w:p>
            <w:pPr>
              <w:spacing w:after="0" w:line="259" w:lineRule="auto"/>
            </w:pPr>
            <w:r>
              <w:rPr>
                <w:color w:val="24323F"/>
                <w:sz w:val="16"/>
              </w:rPr>
              <w:t>Current portfolio, target vs actual weights, last decision, stop reasons, system health</w:t>
            </w:r>
          </w:p>
        </w:tc>
      </w:tr>
    </w:tbl>
    <w:p>
      <w:pPr>
        <w:spacing w:after="0"/>
      </w:pPr>
    </w:p>
    <w:p>
      <w:r>
        <w:t>Decision/execution contract: every decision references a coherent, timestamped snapshot; the optimizer proposes target weights; a deterministic policy engine converts targets into allowed orders. The Rust worker verifies chain, contract and signer allowlists, balances, share price, permissions, execution simulation, nonce, rate limits and exposure caps. It persists intents before broadcasting and reconciles actual state after confirmation.</w:t>
      </w:r>
    </w:p>
    <w:p>
      <w:pPr>
        <w:pStyle w:val="Heading2"/>
      </w:pPr>
      <w:r>
        <w:t>Minimal event / state flow</w:t>
      </w:r>
    </w:p>
    <w:p>
      <w:r>
        <w:t>Morpho API + RPC + own-wallet balances  →  validated snapshots  →  SQLite  →  risk/yield model  →  target weights  →  action planner  →  safety gate  →  simulate  →  sign/broadcast (when enabled)  →  reconcile / alert</w:t>
      </w:r>
    </w:p>
    <w:p>
      <w:pPr>
        <w:pStyle w:val="Heading1"/>
      </w:pPr>
      <w:r>
        <w:t>05  Data model and sourcing</w:t>
      </w:r>
    </w:p>
    <w:p>
      <w:pPr>
        <w:pStyle w:val="Heading2"/>
      </w:pPr>
      <w:r>
        <w:t>Canonical records</w:t>
      </w:r>
    </w:p>
    <w:tbl>
      <w:tblPr>
        <w:tblStyle w:val="TableGrid"/>
        <w:tblW w:type="auto" w:w="0"/>
        <w:jc w:val="center"/>
        <w:tblLayout w:type="fixed"/>
        <w:tblLook w:firstColumn="1" w:firstRow="1" w:lastColumn="0" w:lastRow="0" w:noHBand="0" w:noVBand="1" w:val="04A0"/>
      </w:tblPr>
      <w:tblGrid>
        <w:gridCol w:w="4953"/>
        <w:gridCol w:w="4953"/>
      </w:tblGrid>
      <w:tr>
        <w:trPr>
          <w:cantSplit/>
          <w:cantSplit/>
        </w:trPr>
        <w:tc>
          <w:tcPr>
            <w:tcW w:type="dxa" w:w="2232"/>
            <w:shd w:fill="DDEBF0"/>
            <w:tcMar>
              <w:top w:w="85" w:type="dxa"/>
              <w:start w:w="110" w:type="dxa"/>
              <w:bottom w:w="85" w:type="dxa"/>
              <w:end w:w="110" w:type="dxa"/>
            </w:tcMar>
            <w:vAlign w:val="center"/>
          </w:tcPr>
          <w:p>
            <w:pPr>
              <w:keepNext/>
            </w:pPr>
            <w:r>
              <w:rPr>
                <w:b/>
                <w:color w:val="142539"/>
                <w:sz w:val="16"/>
              </w:rPr>
              <w:t>RECORD</w:t>
            </w:r>
          </w:p>
        </w:tc>
        <w:tc>
          <w:tcPr>
            <w:tcW w:type="dxa" w:w="7920"/>
            <w:shd w:fill="DDEBF0"/>
            <w:tcMar>
              <w:top w:w="85" w:type="dxa"/>
              <w:start w:w="110" w:type="dxa"/>
              <w:bottom w:w="85" w:type="dxa"/>
              <w:end w:w="110" w:type="dxa"/>
            </w:tcMar>
            <w:vAlign w:val="center"/>
          </w:tcPr>
          <w:p>
            <w:pPr>
              <w:keepNext/>
            </w:pPr>
            <w:r>
              <w:rPr>
                <w:b/>
                <w:color w:val="142539"/>
                <w:sz w:val="16"/>
              </w:rPr>
              <w:t>REQUIRED FIELDS</w:t>
            </w:r>
          </w:p>
        </w:tc>
      </w:tr>
      <w:tr>
        <w:trPr>
          <w:cantSplit/>
          <w:cantSplit/>
        </w:trPr>
        <w:tc>
          <w:tcPr>
            <w:tcW w:type="dxa" w:w="2232"/>
            <w:tcMar>
              <w:top w:w="85" w:type="dxa"/>
              <w:start w:w="110" w:type="dxa"/>
              <w:bottom w:w="85" w:type="dxa"/>
              <w:end w:w="110" w:type="dxa"/>
            </w:tcMar>
            <w:vAlign w:val="center"/>
          </w:tcPr>
          <w:p>
            <w:pPr>
              <w:keepNext/>
              <w:spacing w:after="0" w:line="259" w:lineRule="auto"/>
            </w:pPr>
            <w:r>
              <w:rPr>
                <w:color w:val="24323F"/>
                <w:sz w:val="16"/>
              </w:rPr>
              <w:t>Vault</w:t>
            </w:r>
          </w:p>
        </w:tc>
        <w:tc>
          <w:tcPr>
            <w:tcW w:type="dxa" w:w="7920"/>
            <w:tcMar>
              <w:top w:w="85" w:type="dxa"/>
              <w:start w:w="110" w:type="dxa"/>
              <w:bottom w:w="85" w:type="dxa"/>
              <w:end w:w="110" w:type="dxa"/>
            </w:tcMar>
            <w:vAlign w:val="center"/>
          </w:tcPr>
          <w:p>
            <w:pPr>
              <w:keepNext/>
              <w:spacing w:after="0" w:line="259" w:lineRule="auto"/>
            </w:pPr>
            <w:r>
              <w:rPr>
                <w:color w:val="24323F"/>
                <w:sz w:val="16"/>
              </w:rPr>
              <w:t>chain_id, address, version, asset, decimals, owner, curator, fee config, adapter registry</w:t>
            </w:r>
          </w:p>
        </w:tc>
      </w:tr>
      <w:tr>
        <w:trPr>
          <w:cantSplit/>
          <w:cantSplit/>
        </w:trPr>
        <w:tc>
          <w:tcPr>
            <w:tcW w:type="dxa" w:w="2232"/>
            <w:tcMar>
              <w:top w:w="85" w:type="dxa"/>
              <w:start w:w="110" w:type="dxa"/>
              <w:bottom w:w="85" w:type="dxa"/>
              <w:end w:w="110" w:type="dxa"/>
            </w:tcMar>
            <w:vAlign w:val="center"/>
            <w:shd w:fill="F4F7F9"/>
          </w:tcPr>
          <w:p>
            <w:pPr>
              <w:keepNext/>
              <w:spacing w:after="0" w:line="259" w:lineRule="auto"/>
            </w:pPr>
            <w:r>
              <w:rPr>
                <w:color w:val="24323F"/>
                <w:sz w:val="16"/>
              </w:rPr>
              <w:t>VaultSnapshot</w:t>
            </w:r>
          </w:p>
        </w:tc>
        <w:tc>
          <w:tcPr>
            <w:tcW w:type="dxa" w:w="7920"/>
            <w:tcMar>
              <w:top w:w="85" w:type="dxa"/>
              <w:start w:w="110" w:type="dxa"/>
              <w:bottom w:w="85" w:type="dxa"/>
              <w:end w:w="110" w:type="dxa"/>
            </w:tcMar>
            <w:vAlign w:val="center"/>
            <w:shd w:fill="F4F7F9"/>
          </w:tcPr>
          <w:p>
            <w:pPr>
              <w:keepNext/>
              <w:spacing w:after="0" w:line="259" w:lineRule="auto"/>
            </w:pPr>
            <w:r>
              <w:rPr>
                <w:color w:val="24323F"/>
                <w:sz w:val="16"/>
              </w:rPr>
              <w:t>observed_at, source_block, last_indexed_block, total/allocated/idle/withdrawable raw assets, share price</w:t>
            </w:r>
          </w:p>
        </w:tc>
      </w:tr>
      <w:tr>
        <w:trPr>
          <w:cantSplit/>
          <w:cantSplit/>
        </w:trPr>
        <w:tc>
          <w:tcPr>
            <w:tcW w:type="dxa" w:w="2232"/>
            <w:tcMar>
              <w:top w:w="85" w:type="dxa"/>
              <w:start w:w="110" w:type="dxa"/>
              <w:bottom w:w="85" w:type="dxa"/>
              <w:end w:w="110" w:type="dxa"/>
            </w:tcMar>
            <w:vAlign w:val="center"/>
          </w:tcPr>
          <w:p>
            <w:pPr>
              <w:keepNext/>
              <w:spacing w:after="0" w:line="259" w:lineRule="auto"/>
            </w:pPr>
            <w:r>
              <w:rPr>
                <w:color w:val="24323F"/>
                <w:sz w:val="16"/>
              </w:rPr>
              <w:t>Allocation</w:t>
            </w:r>
          </w:p>
        </w:tc>
        <w:tc>
          <w:tcPr>
            <w:tcW w:type="dxa" w:w="7920"/>
            <w:tcMar>
              <w:top w:w="85" w:type="dxa"/>
              <w:start w:w="110" w:type="dxa"/>
              <w:bottom w:w="85" w:type="dxa"/>
              <w:end w:w="110" w:type="dxa"/>
            </w:tcMar>
            <w:vAlign w:val="center"/>
          </w:tcPr>
          <w:p>
            <w:pPr>
              <w:keepNext/>
              <w:spacing w:after="0" w:line="259" w:lineRule="auto"/>
            </w:pPr>
            <w:r>
              <w:rPr>
                <w:color w:val="24323F"/>
                <w:sz w:val="16"/>
              </w:rPr>
              <w:t>vault, adapter, market/position identity, amount, matched risk IDs and caps</w:t>
            </w:r>
          </w:p>
        </w:tc>
      </w:tr>
      <w:tr>
        <w:trPr>
          <w:cantSplit/>
          <w:cantSplit/>
        </w:trPr>
        <w:tc>
          <w:tcPr>
            <w:tcW w:type="dxa" w:w="2232"/>
            <w:tcMar>
              <w:top w:w="85" w:type="dxa"/>
              <w:start w:w="110" w:type="dxa"/>
              <w:bottom w:w="85" w:type="dxa"/>
              <w:end w:w="110" w:type="dxa"/>
            </w:tcMar>
            <w:vAlign w:val="center"/>
            <w:shd w:fill="F4F7F9"/>
          </w:tcPr>
          <w:p>
            <w:pPr>
              <w:keepNext/>
              <w:spacing w:after="0" w:line="259" w:lineRule="auto"/>
            </w:pPr>
            <w:r>
              <w:rPr>
                <w:color w:val="24323F"/>
                <w:sz w:val="16"/>
              </w:rPr>
              <w:t>MarketRisk</w:t>
            </w:r>
          </w:p>
        </w:tc>
        <w:tc>
          <w:tcPr>
            <w:tcW w:type="dxa" w:w="7920"/>
            <w:tcMar>
              <w:top w:w="85" w:type="dxa"/>
              <w:start w:w="110" w:type="dxa"/>
              <w:bottom w:w="85" w:type="dxa"/>
              <w:end w:w="110" w:type="dxa"/>
            </w:tcMar>
            <w:vAlign w:val="center"/>
            <w:shd w:fill="F4F7F9"/>
          </w:tcPr>
          <w:p>
            <w:pPr>
              <w:keepNext/>
              <w:spacing w:after="0" w:line="259" w:lineRule="auto"/>
            </w:pPr>
            <w:r>
              <w:rPr>
                <w:color w:val="24323F"/>
                <w:sz w:val="16"/>
              </w:rPr>
              <w:t>collateral/loan asset, oracle, LLTV, liquidity, utilization, borrower distribution where available</w:t>
            </w:r>
          </w:p>
        </w:tc>
      </w:tr>
      <w:tr>
        <w:trPr>
          <w:cantSplit/>
          <w:cantSplit/>
        </w:trPr>
        <w:tc>
          <w:tcPr>
            <w:tcW w:type="dxa" w:w="2232"/>
            <w:tcMar>
              <w:top w:w="85" w:type="dxa"/>
              <w:start w:w="110" w:type="dxa"/>
              <w:bottom w:w="85" w:type="dxa"/>
              <w:end w:w="110" w:type="dxa"/>
            </w:tcMar>
            <w:vAlign w:val="center"/>
          </w:tcPr>
          <w:p>
            <w:pPr>
              <w:keepNext/>
              <w:spacing w:after="0" w:line="259" w:lineRule="auto"/>
            </w:pPr>
            <w:r>
              <w:rPr>
                <w:color w:val="24323F"/>
                <w:sz w:val="16"/>
              </w:rPr>
              <w:t>RiskRun</w:t>
            </w:r>
          </w:p>
        </w:tc>
        <w:tc>
          <w:tcPr>
            <w:tcW w:type="dxa" w:w="7920"/>
            <w:tcMar>
              <w:top w:w="85" w:type="dxa"/>
              <w:start w:w="110" w:type="dxa"/>
              <w:bottom w:w="85" w:type="dxa"/>
              <w:end w:w="110" w:type="dxa"/>
            </w:tcMar>
            <w:vAlign w:val="center"/>
          </w:tcPr>
          <w:p>
            <w:pPr>
              <w:keepNext/>
              <w:spacing w:after="0" w:line="259" w:lineRule="auto"/>
            </w:pPr>
            <w:r>
              <w:rPr>
                <w:color w:val="24323F"/>
                <w:sz w:val="16"/>
              </w:rPr>
              <w:t>input snapshot IDs, model version, scenario set, assumptions, outputs, warnings</w:t>
            </w:r>
          </w:p>
        </w:tc>
      </w:tr>
      <w:tr>
        <w:trPr>
          <w:cantSplit/>
          <w:cantSplit/>
        </w:trPr>
        <w:tc>
          <w:tcPr>
            <w:tcW w:type="dxa" w:w="2232"/>
            <w:tcMar>
              <w:top w:w="85" w:type="dxa"/>
              <w:start w:w="110" w:type="dxa"/>
              <w:bottom w:w="85" w:type="dxa"/>
              <w:end w:w="110" w:type="dxa"/>
            </w:tcMar>
            <w:vAlign w:val="center"/>
            <w:shd w:fill="F4F7F9"/>
          </w:tcPr>
          <w:p>
            <w:pPr>
              <w:spacing w:after="0" w:line="259" w:lineRule="auto"/>
            </w:pPr>
            <w:r>
              <w:rPr>
                <w:color w:val="24323F"/>
                <w:sz w:val="16"/>
              </w:rPr>
              <w:t>PortfolioAction</w:t>
            </w:r>
          </w:p>
        </w:tc>
        <w:tc>
          <w:tcPr>
            <w:tcW w:type="dxa" w:w="7920"/>
            <w:tcMar>
              <w:top w:w="85" w:type="dxa"/>
              <w:start w:w="110" w:type="dxa"/>
              <w:bottom w:w="85" w:type="dxa"/>
              <w:end w:w="110" w:type="dxa"/>
            </w:tcMar>
            <w:vAlign w:val="center"/>
            <w:shd w:fill="F4F7F9"/>
          </w:tcPr>
          <w:p>
            <w:pPr>
              <w:spacing w:after="0" w:line="259" w:lineRule="auto"/>
            </w:pPr>
            <w:r>
              <w:rPr>
                <w:color w:val="24323F"/>
                <w:sz w:val="16"/>
              </w:rPr>
              <w:t>policy version, snapshot hash, wallet, chain, vault, action, raw units, slippage/shares bounds, simulation, intent ID, tx/receipt</w:t>
            </w:r>
          </w:p>
        </w:tc>
      </w:tr>
    </w:tbl>
    <w:p>
      <w:pPr>
        <w:spacing w:after="0"/>
      </w:pPr>
    </w:p>
    <w:p>
      <w:r>
        <w:t>Source hierarchy: public Morpho REST endpoints for simple live V2 records; GraphQL for richer relationships and USD/rewards fields; RPC reads for critical state and verification; historical chain/log data for calibration. Morpho lists REST endpoints for V2 discovery (/v0/vaults-v2) and state (/v1/vaults-v2/{chainId}:{address}/state), along with allocations, withdrawal options, APY and pending governance actions [1,5].</w:t>
      </w:r>
    </w:p>
    <w:p>
      <w:pPr>
        <w:pStyle w:val="Heading2"/>
      </w:pPr>
      <w:r>
        <w:t>Ingestion quality rules</w:t>
      </w:r>
    </w:p>
    <w:p>
      <w:pPr>
        <w:pStyle w:val="ListBullet"/>
      </w:pPr>
      <w:r>
        <w:t>Use fixed-point integers / Decimal for token balances and WAD/RAY values; never calculate money using binary floating point in ingestion or execution.</w:t>
      </w:r>
    </w:p>
    <w:p>
      <w:pPr>
        <w:pStyle w:val="ListBullet"/>
      </w:pPr>
      <w:r>
        <w:t>Store raw responses and canonical normalized data. Associate a snapshot with chain, block/indexing freshness, and ingestion timestamp.</w:t>
      </w:r>
    </w:p>
    <w:p>
      <w:pPr>
        <w:pStyle w:val="ListBullet"/>
      </w:pPr>
      <w:r>
        <w:t>Treat an API snapshot as stale when its indexed block lags chain head beyond a configured threshold; do not mix incompatible block heights in action decisions.</w:t>
      </w:r>
    </w:p>
    <w:p>
      <w:pPr>
        <w:pStyle w:val="ListBullet"/>
      </w:pPr>
      <w:r>
        <w:t>Rate-limit and retry transient failures with bounded exponential backoff; never silently replace missing data with zeros.</w:t>
      </w:r>
    </w:p>
    <w:p>
      <w:pPr>
        <w:pStyle w:val="ListBullet"/>
      </w:pPr>
      <w:r>
        <w:t>Begin with three to five eligible V2 vaults sharing the same token and chain (USDC tentatively), plus an explicit idle-cash bucket. Choose addresses from live discovery only after confirming deposits, withdrawals, cap/gate behavior, and data quality.</w:t>
      </w:r>
    </w:p>
    <w:p>
      <w:pPr>
        <w:pStyle w:val="Heading1"/>
      </w:pPr>
      <w:r>
        <w:t>06  Risk research and analytical outputs</w:t>
      </w:r>
    </w:p>
    <w:p>
      <w:pPr>
        <w:pStyle w:val="Heading2"/>
      </w:pPr>
      <w:r>
        <w:t>Version 0: observe risk, cost and current portfolio</w:t>
      </w:r>
    </w:p>
    <w:p>
      <w:pPr>
        <w:pStyle w:val="ListBullet"/>
      </w:pPr>
      <w:r>
        <w:t>Per vault: share balance, redeemable value, gross/net APY components, fees, idle and immediately withdrawable assets, limits, gate status, and observation age.</w:t>
      </w:r>
    </w:p>
    <w:p>
      <w:pPr>
        <w:pStyle w:val="ListBullet"/>
      </w:pPr>
      <w:r>
        <w:t>Underlying exposure: vault and market concentrations, collateral, oracle, adapter, risk IDs/caps, curator and smart-contract dependencies, including correlated overlap between vaults.</w:t>
      </w:r>
    </w:p>
    <w:p>
      <w:pPr>
        <w:pStyle w:val="ListBullet"/>
      </w:pPr>
      <w:r>
        <w:t>Execution-aware flags: stale prices, deposits gated/capped, liquidity squeeze, abnormal change in share price, oracle concentration, chain/RPC disagreement.</w:t>
      </w:r>
    </w:p>
    <w:p>
      <w:pPr>
        <w:pStyle w:val="ListBullet"/>
      </w:pPr>
      <w:r>
        <w:t>Portfolio facts: current and proposed weights, realized transaction costs, stablecoin held idle, contributions, vault returns, and marked-to-vault-share values.</w:t>
      </w:r>
    </w:p>
    <w:p>
      <w:pPr>
        <w:pStyle w:val="Heading2"/>
      </w:pPr>
      <w:r>
        <w:t>Version 1: controlled scenario engine</w:t>
      </w:r>
    </w:p>
    <w:p>
      <w:r>
        <w:t>Start with transparent, deterministic stress scenarios: correlated volatile-collateral drawdown, isolated severe collateral impairment, oracle divergence, withdrawal rush, stablecoin deviation, or adapter/market dysfunction. Include clearly stated assumptions and uncertainty; do not interpret scenario outcomes as measured probabilities.</w:t>
      </w:r>
    </w:p>
    <w:p>
      <w:r>
        <w:t>Estimate capital-at-risk, redemption constraints and overlap of risk across vaults, not just an isolated per-vault score. Model how stressed underlying losses might affect vault share value, using the relevant protocol loss mechanics. If necessary state that an important exposure cannot be observed accurately instead of inventing borrower or liquidity data.</w:t>
      </w:r>
    </w:p>
    <w:p>
      <w:pPr>
        <w:pStyle w:val="Heading2"/>
      </w:pPr>
      <w:r>
        <w:t>Research maturity ladder</w:t>
      </w:r>
    </w:p>
    <w:tbl>
      <w:tblPr>
        <w:tblStyle w:val="TableGrid"/>
        <w:tblW w:type="auto" w:w="0"/>
        <w:jc w:val="center"/>
        <w:tblLayout w:type="fixed"/>
        <w:tblLook w:firstColumn="1" w:firstRow="1" w:lastColumn="0" w:lastRow="0" w:noHBand="0" w:noVBand="1" w:val="04A0"/>
      </w:tblPr>
      <w:tblGrid>
        <w:gridCol w:w="3302"/>
        <w:gridCol w:w="3302"/>
        <w:gridCol w:w="3302"/>
      </w:tblGrid>
      <w:tr>
        <w:trPr>
          <w:cantSplit/>
        </w:trPr>
        <w:tc>
          <w:tcPr>
            <w:tcW w:type="dxa" w:w="2232"/>
            <w:shd w:fill="DDEBF0"/>
            <w:tcMar>
              <w:top w:w="85" w:type="dxa"/>
              <w:start w:w="110" w:type="dxa"/>
              <w:bottom w:w="85" w:type="dxa"/>
              <w:end w:w="110" w:type="dxa"/>
            </w:tcMar>
            <w:vAlign w:val="center"/>
          </w:tcPr>
          <w:p>
            <w:r>
              <w:rPr>
                <w:b/>
                <w:color w:val="142539"/>
                <w:sz w:val="16"/>
              </w:rPr>
              <w:t>LEVEL</w:t>
            </w:r>
          </w:p>
        </w:tc>
        <w:tc>
          <w:tcPr>
            <w:tcW w:type="dxa" w:w="3240"/>
            <w:shd w:fill="DDEBF0"/>
            <w:tcMar>
              <w:top w:w="85" w:type="dxa"/>
              <w:start w:w="110" w:type="dxa"/>
              <w:bottom w:w="85" w:type="dxa"/>
              <w:end w:w="110" w:type="dxa"/>
            </w:tcMar>
            <w:vAlign w:val="center"/>
          </w:tcPr>
          <w:p>
            <w:r>
              <w:rPr>
                <w:b/>
                <w:color w:val="142539"/>
                <w:sz w:val="16"/>
              </w:rPr>
              <w:t>OUTPUT</w:t>
            </w:r>
          </w:p>
        </w:tc>
        <w:tc>
          <w:tcPr>
            <w:tcW w:type="dxa" w:w="4680"/>
            <w:shd w:fill="DDEBF0"/>
            <w:tcMar>
              <w:top w:w="85" w:type="dxa"/>
              <w:start w:w="110" w:type="dxa"/>
              <w:bottom w:w="85" w:type="dxa"/>
              <w:end w:w="110" w:type="dxa"/>
            </w:tcMar>
            <w:vAlign w:val="center"/>
          </w:tcPr>
          <w:p>
            <w:r>
              <w:rPr>
                <w:b/>
                <w:color w:val="142539"/>
                <w:sz w:val="16"/>
              </w:rPr>
              <w:t>CLAIM YOU MAY MAKE</w:t>
            </w:r>
          </w:p>
        </w:tc>
      </w:tr>
      <w:tr>
        <w:trPr>
          <w:cantSplit/>
        </w:trPr>
        <w:tc>
          <w:tcPr>
            <w:tcW w:type="dxa" w:w="2232"/>
            <w:tcMar>
              <w:top w:w="85" w:type="dxa"/>
              <w:start w:w="110" w:type="dxa"/>
              <w:bottom w:w="85" w:type="dxa"/>
              <w:end w:w="110" w:type="dxa"/>
            </w:tcMar>
            <w:vAlign w:val="center"/>
          </w:tcPr>
          <w:p>
            <w:pPr>
              <w:spacing w:after="0" w:line="259" w:lineRule="auto"/>
            </w:pPr>
            <w:r>
              <w:rPr>
                <w:color w:val="24323F"/>
                <w:sz w:val="16"/>
              </w:rPr>
              <w:t>Deterministic checks</w:t>
            </w:r>
          </w:p>
        </w:tc>
        <w:tc>
          <w:tcPr>
            <w:tcW w:type="dxa" w:w="3240"/>
            <w:tcMar>
              <w:top w:w="85" w:type="dxa"/>
              <w:start w:w="110" w:type="dxa"/>
              <w:bottom w:w="85" w:type="dxa"/>
              <w:end w:w="110" w:type="dxa"/>
            </w:tcMar>
            <w:vAlign w:val="center"/>
          </w:tcPr>
          <w:p>
            <w:pPr>
              <w:spacing w:after="0" w:line="259" w:lineRule="auto"/>
            </w:pPr>
            <w:r>
              <w:rPr>
                <w:color w:val="24323F"/>
                <w:sz w:val="16"/>
              </w:rPr>
              <w:t>Concentration/cap/liquidity breaches</w:t>
            </w:r>
          </w:p>
        </w:tc>
        <w:tc>
          <w:tcPr>
            <w:tcW w:type="dxa" w:w="4680"/>
            <w:tcMar>
              <w:top w:w="85" w:type="dxa"/>
              <w:start w:w="110" w:type="dxa"/>
              <w:bottom w:w="85" w:type="dxa"/>
              <w:end w:w="110" w:type="dxa"/>
            </w:tcMar>
            <w:vAlign w:val="center"/>
          </w:tcPr>
          <w:p>
            <w:pPr>
              <w:spacing w:after="0" w:line="259" w:lineRule="auto"/>
            </w:pPr>
            <w:r>
              <w:rPr>
                <w:color w:val="24323F"/>
                <w:sz w:val="16"/>
              </w:rPr>
              <w:t>Factual threshold violation, with source and timestamp</w:t>
            </w:r>
          </w:p>
        </w:tc>
      </w:tr>
      <w:tr>
        <w:trPr>
          <w:cantSplit/>
        </w:trPr>
        <w:tc>
          <w:tcPr>
            <w:tcW w:type="dxa" w:w="2232"/>
            <w:tcMar>
              <w:top w:w="85" w:type="dxa"/>
              <w:start w:w="110" w:type="dxa"/>
              <w:bottom w:w="85" w:type="dxa"/>
              <w:end w:w="110" w:type="dxa"/>
            </w:tcMar>
            <w:vAlign w:val="center"/>
            <w:shd w:fill="F4F7F9"/>
          </w:tcPr>
          <w:p>
            <w:pPr>
              <w:spacing w:after="0" w:line="259" w:lineRule="auto"/>
            </w:pPr>
            <w:r>
              <w:rPr>
                <w:color w:val="24323F"/>
                <w:sz w:val="16"/>
              </w:rPr>
              <w:t>Named stress tests</w:t>
            </w:r>
          </w:p>
        </w:tc>
        <w:tc>
          <w:tcPr>
            <w:tcW w:type="dxa" w:w="3240"/>
            <w:tcMar>
              <w:top w:w="85" w:type="dxa"/>
              <w:start w:w="110" w:type="dxa"/>
              <w:bottom w:w="85" w:type="dxa"/>
              <w:end w:w="110" w:type="dxa"/>
            </w:tcMar>
            <w:vAlign w:val="center"/>
            <w:shd w:fill="F4F7F9"/>
          </w:tcPr>
          <w:p>
            <w:pPr>
              <w:spacing w:after="0" w:line="259" w:lineRule="auto"/>
            </w:pPr>
            <w:r>
              <w:rPr>
                <w:color w:val="24323F"/>
                <w:sz w:val="16"/>
              </w:rPr>
              <w:t>Capital loss / exit shortfall under specified assumptions</w:t>
            </w:r>
          </w:p>
        </w:tc>
        <w:tc>
          <w:tcPr>
            <w:tcW w:type="dxa" w:w="4680"/>
            <w:tcMar>
              <w:top w:w="85" w:type="dxa"/>
              <w:start w:w="110" w:type="dxa"/>
              <w:bottom w:w="85" w:type="dxa"/>
              <w:end w:w="110" w:type="dxa"/>
            </w:tcMar>
            <w:vAlign w:val="center"/>
            <w:shd w:fill="F4F7F9"/>
          </w:tcPr>
          <w:p>
            <w:pPr>
              <w:spacing w:after="0" w:line="259" w:lineRule="auto"/>
            </w:pPr>
            <w:r>
              <w:rPr>
                <w:color w:val="24323F"/>
                <w:sz w:val="16"/>
              </w:rPr>
              <w:t>Conditional scenario estimate; not a probability</w:t>
            </w:r>
          </w:p>
        </w:tc>
      </w:tr>
      <w:tr>
        <w:trPr>
          <w:cantSplit/>
        </w:trPr>
        <w:tc>
          <w:tcPr>
            <w:tcW w:type="dxa" w:w="2232"/>
            <w:tcMar>
              <w:top w:w="85" w:type="dxa"/>
              <w:start w:w="110" w:type="dxa"/>
              <w:bottom w:w="85" w:type="dxa"/>
              <w:end w:w="110" w:type="dxa"/>
            </w:tcMar>
            <w:vAlign w:val="center"/>
          </w:tcPr>
          <w:p>
            <w:pPr>
              <w:spacing w:after="0" w:line="259" w:lineRule="auto"/>
            </w:pPr>
            <w:r>
              <w:rPr>
                <w:color w:val="24323F"/>
                <w:sz w:val="16"/>
              </w:rPr>
              <w:t>Calibrated stochastic model</w:t>
            </w:r>
          </w:p>
        </w:tc>
        <w:tc>
          <w:tcPr>
            <w:tcW w:type="dxa" w:w="3240"/>
            <w:tcMar>
              <w:top w:w="85" w:type="dxa"/>
              <w:start w:w="110" w:type="dxa"/>
              <w:bottom w:w="85" w:type="dxa"/>
              <w:end w:w="110" w:type="dxa"/>
            </w:tcMar>
            <w:vAlign w:val="center"/>
          </w:tcPr>
          <w:p>
            <w:pPr>
              <w:spacing w:after="0" w:line="259" w:lineRule="auto"/>
            </w:pPr>
            <w:r>
              <w:rPr>
                <w:color w:val="24323F"/>
                <w:sz w:val="16"/>
              </w:rPr>
              <w:t>Loss distribution, VaR/ES, regime sensitivity</w:t>
            </w:r>
          </w:p>
        </w:tc>
        <w:tc>
          <w:tcPr>
            <w:tcW w:type="dxa" w:w="4680"/>
            <w:tcMar>
              <w:top w:w="85" w:type="dxa"/>
              <w:start w:w="110" w:type="dxa"/>
              <w:bottom w:w="85" w:type="dxa"/>
              <w:end w:w="110" w:type="dxa"/>
            </w:tcMar>
            <w:vAlign w:val="center"/>
          </w:tcPr>
          <w:p>
            <w:pPr>
              <w:spacing w:after="0" w:line="259" w:lineRule="auto"/>
            </w:pPr>
            <w:r>
              <w:rPr>
                <w:color w:val="24323F"/>
                <w:sz w:val="16"/>
              </w:rPr>
              <w:t>Model-implied tail metrics, only after calibration and backtesting</w:t>
            </w:r>
          </w:p>
        </w:tc>
      </w:tr>
    </w:tbl>
    <w:p>
      <w:pPr>
        <w:spacing w:after="0"/>
      </w:pPr>
    </w:p>
    <w:p>
      <w:r>
        <w:t>Portfolio weights are the main output, not an optional future research feature. Begin with a transparent policy (hard per-vault limits, mandatory idle reserve, basic risk haircuts and a minimum incremental net-yield threshold). Upgrade to constrained risk-adjusted optimization and Monte Carlo only after the simple controller and transaction cost measurements are working. Never rebalance solely because a short-lived quoted APY is highest.</w:t>
      </w:r>
    </w:p>
    <w:p>
      <w:pPr>
        <w:pStyle w:val="Heading2"/>
      </w:pPr>
      <w:r>
        <w:t>Minimum viable allocation controller</w:t>
      </w:r>
    </w:p>
    <w:p>
      <w:pPr>
        <w:pStyle w:val="ListBullet"/>
      </w:pPr>
      <w:r>
        <w:t>Portfolio state: wallet balance in the single underlying stablecoin, current shares in each eligible vault, estimated redeemable assets, and an explicit idle-cash reserve. Normalize token units using integer/Decimal arithmetic.</w:t>
      </w:r>
    </w:p>
    <w:p>
      <w:pPr>
        <w:pStyle w:val="ListBullet"/>
      </w:pPr>
      <w:r>
        <w:t>Eligibility filter: exclude any vault with unknown gates, unacceptable contract or collateral concentration, insufficient withdrawal coverage, stale data, or unexplained share-price behavior. A vault can be monitored without being eligible for allocation.</w:t>
      </w:r>
    </w:p>
    <w:p>
      <w:pPr>
        <w:pStyle w:val="ListBullet"/>
      </w:pPr>
      <w:r>
        <w:t>Target policy: start with static exposure caps and risk penalties. Rank eligible vaults on estimated forward net yield after fees, protocol/withdrawal-risk haircuts, and execution costs. Preserve a minimum reserve; do not assume yield APY is guaranteed or stable.</w:t>
      </w:r>
    </w:p>
    <w:p>
      <w:pPr>
        <w:pStyle w:val="ListBullet"/>
      </w:pPr>
      <w:r>
        <w:t>Rebalance trigger: initiate only if a target drift and expected incremental benefit exceed configured absolute and relative thresholds, projected gas and slippage, and a minimum holding/cooldown period. Otherwise produce an explicit HOLD decision.</w:t>
      </w:r>
    </w:p>
    <w:p>
      <w:pPr>
        <w:pStyle w:val="ListBullet"/>
      </w:pPr>
      <w:r>
        <w:t>Action plan: where feasible, redeem shares from overweight vaults, confirm proceeds, then deposit into underweight vaults. Do not assume atomic movement between independent vaults; if redemptions are blocked, recompute targets rather than spending unavailable funds.</w:t>
      </w:r>
    </w:p>
    <w:p>
      <w:pPr>
        <w:pStyle w:val="Heading1"/>
      </w:pPr>
      <w:r>
        <w:t>07  Safety architecture and autonomous operations</w:t>
      </w:r>
    </w:p>
    <w:p>
      <w:pPr>
        <w:pStyle w:val="Heading2"/>
      </w:pPr>
      <w:r>
        <w:t>Controls enforced before every execution</w:t>
      </w:r>
    </w:p>
    <w:p>
      <w:pPr>
        <w:pStyle w:val="ListBullet"/>
      </w:pPr>
      <w:r>
        <w:t>Read-only and paper modes during early testing. Live mode begins with manually reviewed actions, then advances to unattended execution only after explicit release gates pass.</w:t>
      </w:r>
    </w:p>
    <w:p>
      <w:pPr>
        <w:pStyle w:val="ListBullet"/>
      </w:pPr>
      <w:r>
        <w:t>Run from a separate, low-balance wallet; whitelist chain, token, specific deployed vaults, router/selector and bounded allowances. Never use the primary wallet or expose seed phrases in code, logs or the repository.</w:t>
      </w:r>
    </w:p>
    <w:p>
      <w:pPr>
        <w:pStyle w:val="Heading2"/>
      </w:pPr>
      <w:r>
        <w:t>Transaction state machine</w:t>
      </w:r>
    </w:p>
    <w:p>
      <w:pPr/>
      <w:r>
        <w:t>PROPOSED → POLICY_APPROVED → SIMULATED → SIGNED → BROADCAST → CONFIRMED → RECONCILED, with explicit CANCELLED, REVERTED, EXPIRED and UNKNOWN states. An UNKNOWN state halts new actions until nonce and balances are reconciled. Record exactly which input snapshot and policy version authorized each transaction.</w:t>
      </w:r>
    </w:p>
    <w:p>
      <w:pPr/>
      <w:r>
        <w:t>Autonomous mode must fail closed: never reuse stale target weights after a reboot, never resubmit an unconfirmed intent by guessing, and never approve or call arbitrary contracts. Keep a persistent one-click stop mechanism and alert path separate from the allocation engine.</w:t>
      </w:r>
    </w:p>
    <w:p>
      <w:pPr>
        <w:pStyle w:val="ListBullet"/>
      </w:pPr>
      <w:r>
        <w:t>Before signing: verify coherent data, eligibility/gates, wallet holdings, gas reserve, vault caps and exit liquidity, maximum trade size, share-price/slippage bounds, exact allowance, and eth_call / fork simulation.</w:t>
      </w:r>
    </w:p>
    <w:p>
      <w:pPr>
        <w:pStyle w:val="ListBullet"/>
      </w:pPr>
      <w:r>
        <w:t>Persist intended actions with unique IDs; reconcile pending transactions and receipt status through restarts; never issue a duplicate on uncertain network state. Check post-trade token/share balances against expected deltas.</w:t>
      </w:r>
    </w:p>
    <w:p>
      <w:pPr>
        <w:pStyle w:val="ListBullet"/>
      </w:pPr>
      <w:r>
        <w:t>Hard halt on stale/block-inconsistent data, oracle/RPC errors, failed simulation, unexpected balance delta, withdrawal shortfall, policy breach, gas spike, or rapid adverse movement. Provide an operator-controlled pause and automatic alert.</w:t>
      </w:r>
    </w:p>
    <w:p>
      <w:pPr>
        <w:pStyle w:val="ListBullet"/>
      </w:pPr>
      <w:r>
        <w:t>Release gates: test-only → paper execution → supervised small live transactions → unattended operation within limits. Include limits on capital, position concentration, per-trade size, daily moved notional, transaction frequency, and trading cooldowns.</w:t>
      </w:r>
    </w:p>
    <w:p>
      <w:pPr>
        <w:pStyle w:val="Heading2"/>
      </w:pPr>
      <w:r>
        <w:t>Operational evidence to preserve</w:t>
      </w:r>
    </w:p>
    <w:p>
      <w:r>
        <w:t>Record every snapshot, estimated APY source, risk calculation, target weight, candidate order, constraint rejection, simulation result, transaction hash, confirmation, balance reconciliation, gas cost, halt event, and uptime/latency metric. The operating record should make every allocation decision explainable and replayable.</w:t>
      </w:r>
    </w:p>
    <w:p>
      <w:pPr>
        <w:pStyle w:val="Heading1"/>
      </w:pPr>
      <w:r>
        <w:t>08  Implementation roadmap and release gates</w:t>
      </w:r>
    </w:p>
    <w:tbl>
      <w:tblPr>
        <w:tblStyle w:val="TableGrid"/>
        <w:tblW w:type="auto" w:w="0"/>
        <w:jc w:val="center"/>
        <w:tblLayout w:type="fixed"/>
        <w:tblLook w:firstColumn="1" w:firstRow="1" w:lastColumn="0" w:lastRow="0" w:noHBand="0" w:noVBand="1" w:val="04A0"/>
      </w:tblPr>
      <w:tblGrid>
        <w:gridCol w:w="3302"/>
        <w:gridCol w:w="3302"/>
        <w:gridCol w:w="3302"/>
      </w:tblGrid>
      <w:tr>
        <w:trPr>
          <w:cantSplit/>
          <w:cantSplit/>
        </w:trPr>
        <w:tc>
          <w:tcPr>
            <w:tcW w:type="dxa" w:w="2232"/>
            <w:shd w:fill="DDEBF0"/>
            <w:tcMar>
              <w:top w:w="85" w:type="dxa"/>
              <w:start w:w="110" w:type="dxa"/>
              <w:bottom w:w="85" w:type="dxa"/>
              <w:end w:w="110" w:type="dxa"/>
            </w:tcMar>
            <w:vAlign w:val="center"/>
          </w:tcPr>
          <w:p>
            <w:pPr>
              <w:keepNext/>
            </w:pPr>
            <w:r>
              <w:rPr>
                <w:b/>
                <w:color w:val="142539"/>
                <w:sz w:val="16"/>
              </w:rPr>
              <w:t>MILESTONE</w:t>
            </w:r>
          </w:p>
        </w:tc>
        <w:tc>
          <w:tcPr>
            <w:tcW w:type="dxa" w:w="4464"/>
            <w:shd w:fill="DDEBF0"/>
            <w:tcMar>
              <w:top w:w="85" w:type="dxa"/>
              <w:start w:w="110" w:type="dxa"/>
              <w:bottom w:w="85" w:type="dxa"/>
              <w:end w:w="110" w:type="dxa"/>
            </w:tcMar>
            <w:vAlign w:val="center"/>
          </w:tcPr>
          <w:p>
            <w:pPr>
              <w:keepNext/>
            </w:pPr>
            <w:r>
              <w:rPr>
                <w:b/>
                <w:color w:val="142539"/>
                <w:sz w:val="16"/>
              </w:rPr>
              <w:t>DELIVERABLE</w:t>
            </w:r>
          </w:p>
        </w:tc>
        <w:tc>
          <w:tcPr>
            <w:tcW w:type="dxa" w:w="3456"/>
            <w:shd w:fill="DDEBF0"/>
            <w:tcMar>
              <w:top w:w="85" w:type="dxa"/>
              <w:start w:w="110" w:type="dxa"/>
              <w:bottom w:w="85" w:type="dxa"/>
              <w:end w:w="110" w:type="dxa"/>
            </w:tcMar>
            <w:vAlign w:val="center"/>
          </w:tcPr>
          <w:p>
            <w:pPr>
              <w:keepNext/>
            </w:pPr>
            <w:r>
              <w:rPr>
                <w:b/>
                <w:color w:val="142539"/>
                <w:sz w:val="16"/>
              </w:rPr>
              <w:t>EXIT CRITERION</w:t>
            </w:r>
          </w:p>
        </w:tc>
      </w:tr>
      <w:tr>
        <w:trPr>
          <w:cantSplit/>
          <w:cantSplit/>
        </w:trPr>
        <w:tc>
          <w:tcPr>
            <w:tcW w:type="dxa" w:w="2232"/>
            <w:tcMar>
              <w:top w:w="85" w:type="dxa"/>
              <w:start w:w="110" w:type="dxa"/>
              <w:bottom w:w="85" w:type="dxa"/>
              <w:end w:w="110" w:type="dxa"/>
            </w:tcMar>
            <w:vAlign w:val="center"/>
          </w:tcPr>
          <w:p>
            <w:pPr>
              <w:keepNext/>
              <w:spacing w:after="0" w:line="259" w:lineRule="auto"/>
            </w:pPr>
            <w:r>
              <w:rPr>
                <w:color w:val="24323F"/>
                <w:sz w:val="16"/>
              </w:rPr>
              <w:t>M0 — Contract/data discovery</w:t>
            </w:r>
          </w:p>
        </w:tc>
        <w:tc>
          <w:tcPr>
            <w:tcW w:type="dxa" w:w="4464"/>
            <w:tcMar>
              <w:top w:w="85" w:type="dxa"/>
              <w:start w:w="110" w:type="dxa"/>
              <w:bottom w:w="85" w:type="dxa"/>
              <w:end w:w="110" w:type="dxa"/>
            </w:tcMar>
            <w:vAlign w:val="center"/>
          </w:tcPr>
          <w:p>
            <w:pPr>
              <w:keepNext/>
              <w:spacing w:after="0" w:line="259" w:lineRule="auto"/>
            </w:pPr>
            <w:r>
              <w:rPr>
                <w:color w:val="24323F"/>
                <w:sz w:val="16"/>
              </w:rPr>
              <w:t>Choose one chain, USDC token and 3–5 V2 vaults; inspect gates, caps, liquidity, and share accounting</w:t>
            </w:r>
          </w:p>
        </w:tc>
        <w:tc>
          <w:tcPr>
            <w:tcW w:type="dxa" w:w="3456"/>
            <w:tcMar>
              <w:top w:w="85" w:type="dxa"/>
              <w:start w:w="110" w:type="dxa"/>
              <w:bottom w:w="85" w:type="dxa"/>
              <w:end w:w="110" w:type="dxa"/>
            </w:tcMar>
            <w:vAlign w:val="center"/>
          </w:tcPr>
          <w:p>
            <w:pPr>
              <w:keepNext/>
              <w:spacing w:after="0" w:line="259" w:lineRule="auto"/>
            </w:pPr>
            <w:r>
              <w:rPr>
                <w:color w:val="24323F"/>
                <w:sz w:val="16"/>
              </w:rPr>
              <w:t>Addresses, verified ABI/limits, API + RPC sample data, zero writes</w:t>
            </w:r>
          </w:p>
        </w:tc>
      </w:tr>
      <w:tr>
        <w:trPr>
          <w:cantSplit/>
          <w:cantSplit/>
        </w:trPr>
        <w:tc>
          <w:tcPr>
            <w:tcW w:type="dxa" w:w="2232"/>
            <w:tcMar>
              <w:top w:w="85" w:type="dxa"/>
              <w:start w:w="110" w:type="dxa"/>
              <w:bottom w:w="85" w:type="dxa"/>
              <w:end w:w="110" w:type="dxa"/>
            </w:tcMar>
            <w:vAlign w:val="center"/>
            <w:shd w:fill="F4F7F9"/>
          </w:tcPr>
          <w:p>
            <w:pPr>
              <w:keepNext/>
              <w:spacing w:after="0" w:line="259" w:lineRule="auto"/>
            </w:pPr>
            <w:r>
              <w:rPr>
                <w:color w:val="24323F"/>
                <w:sz w:val="16"/>
              </w:rPr>
              <w:t>M1 — Portfolio observability</w:t>
            </w:r>
          </w:p>
        </w:tc>
        <w:tc>
          <w:tcPr>
            <w:tcW w:type="dxa" w:w="4464"/>
            <w:tcMar>
              <w:top w:w="85" w:type="dxa"/>
              <w:start w:w="110" w:type="dxa"/>
              <w:bottom w:w="85" w:type="dxa"/>
              <w:end w:w="110" w:type="dxa"/>
            </w:tcMar>
            <w:vAlign w:val="center"/>
            <w:shd w:fill="F4F7F9"/>
          </w:tcPr>
          <w:p>
            <w:pPr>
              <w:keepNext/>
              <w:spacing w:after="0" w:line="259" w:lineRule="auto"/>
            </w:pPr>
            <w:r>
              <w:rPr>
                <w:color w:val="24323F"/>
                <w:sz w:val="16"/>
              </w:rPr>
              <w:t>Collect and persist vault snapshots and own-wallet balances; CLI portfolio/reporting</w:t>
            </w:r>
          </w:p>
        </w:tc>
        <w:tc>
          <w:tcPr>
            <w:tcW w:type="dxa" w:w="3456"/>
            <w:tcMar>
              <w:top w:w="85" w:type="dxa"/>
              <w:start w:w="110" w:type="dxa"/>
              <w:bottom w:w="85" w:type="dxa"/>
              <w:end w:w="110" w:type="dxa"/>
            </w:tcMar>
            <w:vAlign w:val="center"/>
            <w:shd w:fill="F4F7F9"/>
          </w:tcPr>
          <w:p>
            <w:pPr>
              <w:keepNext/>
              <w:spacing w:after="0" w:line="259" w:lineRule="auto"/>
            </w:pPr>
            <w:r>
              <w:rPr>
                <w:color w:val="24323F"/>
                <w:sz w:val="16"/>
              </w:rPr>
              <w:t>Exact vault share balances, equity, exposures, freshness and failure tests</w:t>
            </w:r>
          </w:p>
        </w:tc>
      </w:tr>
      <w:tr>
        <w:trPr>
          <w:cantSplit/>
          <w:cantSplit/>
        </w:trPr>
        <w:tc>
          <w:tcPr>
            <w:tcW w:type="dxa" w:w="2232"/>
            <w:tcMar>
              <w:top w:w="85" w:type="dxa"/>
              <w:start w:w="110" w:type="dxa"/>
              <w:bottom w:w="85" w:type="dxa"/>
              <w:end w:w="110" w:type="dxa"/>
            </w:tcMar>
            <w:vAlign w:val="center"/>
          </w:tcPr>
          <w:p>
            <w:pPr>
              <w:keepNext/>
              <w:spacing w:after="0" w:line="259" w:lineRule="auto"/>
            </w:pPr>
            <w:r>
              <w:rPr>
                <w:color w:val="24323F"/>
                <w:sz w:val="16"/>
              </w:rPr>
              <w:t>M2 — Allocation decision engine</w:t>
            </w:r>
          </w:p>
        </w:tc>
        <w:tc>
          <w:tcPr>
            <w:tcW w:type="dxa" w:w="4464"/>
            <w:tcMar>
              <w:top w:w="85" w:type="dxa"/>
              <w:start w:w="110" w:type="dxa"/>
              <w:bottom w:w="85" w:type="dxa"/>
              <w:end w:w="110" w:type="dxa"/>
            </w:tcMar>
            <w:vAlign w:val="center"/>
          </w:tcPr>
          <w:p>
            <w:pPr>
              <w:keepNext/>
              <w:spacing w:after="0" w:line="259" w:lineRule="auto"/>
            </w:pPr>
            <w:r>
              <w:rPr>
                <w:color w:val="24323F"/>
                <w:sz w:val="16"/>
              </w:rPr>
              <w:t>Implement hard portfolio limits, idle reserve, risk haircuts, yield/cost thresholds and target weights</w:t>
            </w:r>
          </w:p>
        </w:tc>
        <w:tc>
          <w:tcPr>
            <w:tcW w:type="dxa" w:w="3456"/>
            <w:tcMar>
              <w:top w:w="85" w:type="dxa"/>
              <w:start w:w="110" w:type="dxa"/>
              <w:bottom w:w="85" w:type="dxa"/>
              <w:end w:w="110" w:type="dxa"/>
            </w:tcMar>
            <w:vAlign w:val="center"/>
          </w:tcPr>
          <w:p>
            <w:pPr>
              <w:keepNext/>
              <w:spacing w:after="0" w:line="259" w:lineRule="auto"/>
            </w:pPr>
            <w:r>
              <w:rPr>
                <w:color w:val="24323F"/>
                <w:sz w:val="16"/>
              </w:rPr>
              <w:t>Deterministic proposed weights and explainable HOLD / DEPOSIT / REDEEM actions</w:t>
            </w:r>
          </w:p>
        </w:tc>
      </w:tr>
      <w:tr>
        <w:trPr>
          <w:cantSplit/>
          <w:cantSplit/>
        </w:trPr>
        <w:tc>
          <w:tcPr>
            <w:tcW w:type="dxa" w:w="2232"/>
            <w:tcMar>
              <w:top w:w="85" w:type="dxa"/>
              <w:start w:w="110" w:type="dxa"/>
              <w:bottom w:w="85" w:type="dxa"/>
              <w:end w:w="110" w:type="dxa"/>
            </w:tcMar>
            <w:vAlign w:val="center"/>
            <w:shd w:fill="F4F7F9"/>
          </w:tcPr>
          <w:p>
            <w:pPr>
              <w:keepNext/>
              <w:spacing w:after="0" w:line="259" w:lineRule="auto"/>
            </w:pPr>
            <w:r>
              <w:rPr>
                <w:color w:val="24323F"/>
                <w:sz w:val="16"/>
              </w:rPr>
              <w:t>M3 — Dry-run execution infrastructure</w:t>
            </w:r>
          </w:p>
        </w:tc>
        <w:tc>
          <w:tcPr>
            <w:tcW w:type="dxa" w:w="4464"/>
            <w:tcMar>
              <w:top w:w="85" w:type="dxa"/>
              <w:start w:w="110" w:type="dxa"/>
              <w:bottom w:w="85" w:type="dxa"/>
              <w:end w:w="110" w:type="dxa"/>
            </w:tcMar>
            <w:vAlign w:val="center"/>
            <w:shd w:fill="F4F7F9"/>
          </w:tcPr>
          <w:p>
            <w:pPr>
              <w:keepNext/>
              <w:spacing w:after="0" w:line="259" w:lineRule="auto"/>
            </w:pPr>
            <w:r>
              <w:rPr>
                <w:color w:val="24323F"/>
                <w:sz w:val="16"/>
              </w:rPr>
              <w:t>Rust/Alloy integration; ERC20/vault calldata, gas estimation, on-chain simulation and paper ledger</w:t>
            </w:r>
          </w:p>
        </w:tc>
        <w:tc>
          <w:tcPr>
            <w:tcW w:type="dxa" w:w="3456"/>
            <w:tcMar>
              <w:top w:w="85" w:type="dxa"/>
              <w:start w:w="110" w:type="dxa"/>
              <w:bottom w:w="85" w:type="dxa"/>
              <w:end w:w="110" w:type="dxa"/>
            </w:tcMar>
            <w:vAlign w:val="center"/>
            <w:shd w:fill="F4F7F9"/>
          </w:tcPr>
          <w:p>
            <w:pPr>
              <w:keepNext/>
              <w:spacing w:after="0" w:line="259" w:lineRule="auto"/>
            </w:pPr>
            <w:r>
              <w:rPr>
                <w:color w:val="24323F"/>
                <w:sz w:val="16"/>
              </w:rPr>
              <w:t>Repeated replay tests for no-op, cap, stale-data, illiquidity and reverted actions</w:t>
            </w:r>
          </w:p>
        </w:tc>
      </w:tr>
      <w:tr>
        <w:trPr>
          <w:cantSplit/>
          <w:cantSplit/>
        </w:trPr>
        <w:tc>
          <w:tcPr>
            <w:tcW w:type="dxa" w:w="2232"/>
            <w:tcMar>
              <w:top w:w="85" w:type="dxa"/>
              <w:start w:w="110" w:type="dxa"/>
              <w:bottom w:w="85" w:type="dxa"/>
              <w:end w:w="110" w:type="dxa"/>
            </w:tcMar>
            <w:vAlign w:val="center"/>
          </w:tcPr>
          <w:p>
            <w:pPr>
              <w:keepNext/>
              <w:spacing w:after="0" w:line="259" w:lineRule="auto"/>
            </w:pPr>
            <w:r>
              <w:rPr>
                <w:color w:val="24323F"/>
                <w:sz w:val="16"/>
              </w:rPr>
              <w:t>M4 — Small supervised live deployment</w:t>
            </w:r>
          </w:p>
        </w:tc>
        <w:tc>
          <w:tcPr>
            <w:tcW w:type="dxa" w:w="4464"/>
            <w:tcMar>
              <w:top w:w="85" w:type="dxa"/>
              <w:start w:w="110" w:type="dxa"/>
              <w:bottom w:w="85" w:type="dxa"/>
              <w:end w:w="110" w:type="dxa"/>
            </w:tcMar>
            <w:vAlign w:val="center"/>
          </w:tcPr>
          <w:p>
            <w:pPr>
              <w:keepNext/>
              <w:spacing w:after="0" w:line="259" w:lineRule="auto"/>
            </w:pPr>
            <w:r>
              <w:rPr>
                <w:color w:val="24323F"/>
                <w:sz w:val="16"/>
              </w:rPr>
              <w:t>Dedicated wallet, allowlisted vaults, exact approvals, capped deposit/redeem and reconciliation</w:t>
            </w:r>
          </w:p>
        </w:tc>
        <w:tc>
          <w:tcPr>
            <w:tcW w:type="dxa" w:w="3456"/>
            <w:tcMar>
              <w:top w:w="85" w:type="dxa"/>
              <w:start w:w="110" w:type="dxa"/>
              <w:bottom w:w="85" w:type="dxa"/>
              <w:end w:w="110" w:type="dxa"/>
            </w:tcMar>
            <w:vAlign w:val="center"/>
          </w:tcPr>
          <w:p>
            <w:pPr>
              <w:keepNext/>
              <w:spacing w:after="0" w:line="259" w:lineRule="auto"/>
            </w:pPr>
            <w:r>
              <w:rPr>
                <w:color w:val="24323F"/>
                <w:sz w:val="16"/>
              </w:rPr>
              <w:t>Multiple successful end-to-end trades, recorded receipts, clean recovery from interrupted run</w:t>
            </w:r>
          </w:p>
        </w:tc>
      </w:tr>
      <w:tr>
        <w:trPr>
          <w:cantSplit/>
          <w:cantSplit/>
        </w:trPr>
        <w:tc>
          <w:tcPr>
            <w:tcW w:type="dxa" w:w="2232"/>
            <w:tcMar>
              <w:top w:w="85" w:type="dxa"/>
              <w:start w:w="110" w:type="dxa"/>
              <w:bottom w:w="85" w:type="dxa"/>
              <w:end w:w="110" w:type="dxa"/>
            </w:tcMar>
            <w:vAlign w:val="center"/>
            <w:shd w:fill="F4F7F9"/>
          </w:tcPr>
          <w:p>
            <w:pPr>
              <w:spacing w:after="0" w:line="259" w:lineRule="auto"/>
            </w:pPr>
            <w:r>
              <w:rPr>
                <w:color w:val="24323F"/>
                <w:sz w:val="16"/>
              </w:rPr>
              <w:t>M5 — Bounded unattended allocation</w:t>
            </w:r>
          </w:p>
        </w:tc>
        <w:tc>
          <w:tcPr>
            <w:tcW w:type="dxa" w:w="4464"/>
            <w:tcMar>
              <w:top w:w="85" w:type="dxa"/>
              <w:start w:w="110" w:type="dxa"/>
              <w:bottom w:w="85" w:type="dxa"/>
              <w:end w:w="110" w:type="dxa"/>
            </w:tcMar>
            <w:vAlign w:val="center"/>
            <w:shd w:fill="F4F7F9"/>
          </w:tcPr>
          <w:p>
            <w:pPr>
              <w:spacing w:after="0" w:line="259" w:lineRule="auto"/>
            </w:pPr>
            <w:r>
              <w:rPr>
                <w:color w:val="24323F"/>
                <w:sz w:val="16"/>
              </w:rPr>
              <w:t>Autonomous scheduling, persisted intent queue, halt alerts, guardrails and strategy review</w:t>
            </w:r>
          </w:p>
        </w:tc>
        <w:tc>
          <w:tcPr>
            <w:tcW w:type="dxa" w:w="3456"/>
            <w:tcMar>
              <w:top w:w="85" w:type="dxa"/>
              <w:start w:w="110" w:type="dxa"/>
              <w:bottom w:w="85" w:type="dxa"/>
              <w:end w:w="110" w:type="dxa"/>
            </w:tcMar>
            <w:vAlign w:val="center"/>
            <w:shd w:fill="F4F7F9"/>
          </w:tcPr>
          <w:p>
            <w:pPr>
              <w:spacing w:after="0" w:line="259" w:lineRule="auto"/>
            </w:pPr>
            <w:r>
              <w:rPr>
                <w:color w:val="24323F"/>
                <w:sz w:val="16"/>
              </w:rPr>
              <w:t>Hands-off rebalancing within limits, no unexpected transfers, complete audit trail</w:t>
            </w:r>
          </w:p>
        </w:tc>
      </w:tr>
    </w:tbl>
    <w:p>
      <w:pPr>
        <w:spacing w:after="0"/>
      </w:pPr>
    </w:p>
    <w:tbl>
      <w:tblPr>
        <w:tblW w:type="auto" w:w="0"/>
        <w:tblLook w:firstColumn="1" w:firstRow="1" w:lastColumn="0" w:lastRow="0" w:noHBand="0" w:noVBand="1" w:val="04A0"/>
      </w:tblPr>
      <w:tblGrid>
        <w:gridCol w:w="9907"/>
      </w:tblGrid>
      <w:tr>
        <w:trPr>
          <w:cantSplit/>
        </w:trPr>
        <w:tc>
          <w:tcPr>
            <w:tcW w:type="dxa" w:w="9907"/>
            <w:shd w:fill="EDF5F7"/>
            <w:tcMar>
              <w:top w:w="140" w:type="dxa"/>
              <w:start w:w="180" w:type="dxa"/>
              <w:bottom w:w="140" w:type="dxa"/>
              <w:end w:w="160" w:type="dxa"/>
            </w:tcMar>
          </w:tcPr>
          <w:p>
            <w:r>
              <w:rPr>
                <w:b/>
                <w:color w:val="007E8F"/>
                <w:sz w:val="16"/>
              </w:rPr>
              <w:t>DELIBERATE SEQUENCING</w:t>
            </w:r>
          </w:p>
          <w:p>
            <w:pPr>
              <w:spacing w:after="0" w:line="264" w:lineRule="auto"/>
            </w:pPr>
            <w:r>
              <w:t>Build the read-only core immediately, but treat it as a dependency of a working allocator—not the finished product. Each milestone must end with a runnable demonstration. The first goal is a deterministic paper portfolio rebalance, followed by restricted real deposit/redeem and ultimately bounded unattended operation.</w:t>
            </w:r>
          </w:p>
        </w:tc>
      </w:tr>
    </w:tbl>
    <w:p>
      <w:pPr>
        <w:spacing w:after="0"/>
      </w:pPr>
    </w:p>
    <w:p>
      <w:pPr>
        <w:pStyle w:val="Heading1"/>
      </w:pPr>
      <w:r>
        <w:t>09  First build session — executable backlog</w:t>
      </w:r>
    </w:p>
    <w:p>
      <w:pPr>
        <w:pStyle w:val="ListNumber"/>
      </w:pPr>
      <w:r>
        <w:t>Create the lapidus-vault-systems repository and record assumptions and restrictions in README; keep secrets and local data out of version control.</w:t>
      </w:r>
    </w:p>
    <w:p>
      <w:pPr>
        <w:pStyle w:val="ListNumber"/>
      </w:pPr>
      <w:r>
        <w:t>Choose one chain and three to five eligible same-asset Morpho Vault V2 addresses using public discovery; check actual deposit/withdraw paths and liquidity/gates.</w:t>
      </w:r>
    </w:p>
    <w:p>
      <w:pPr>
        <w:pStyle w:val="ListNumber"/>
      </w:pPr>
      <w:r>
        <w:t>Fetch vault metadata/state, user positions, token balances, APY history and relevant on-chain limits; pin returned blocks and preserve raw data.</w:t>
      </w:r>
    </w:p>
    <w:p>
      <w:pPr>
        <w:pStyle w:val="ListNumber"/>
      </w:pPr>
      <w:r>
        <w:t>Persist snapshots; render own portfolio across selected vaults plus idle USDC, estimated yield, target/current weights and freshness.</w:t>
      </w:r>
    </w:p>
    <w:p>
      <w:pPr>
        <w:pStyle w:val="ListNumber"/>
      </w:pPr>
      <w:r>
        <w:t>Implement hard portfolio rules and tests: weight cap, minimum idle reserve, stale-data stop, minimum yield advantage after gas, trade cooldown and exit liquidity constraint.</w:t>
      </w:r>
    </w:p>
    <w:p>
      <w:pPr>
        <w:pStyle w:val="ListNumber"/>
      </w:pPr>
      <w:r>
        <w:t>Implement Rust/Alloy RPC verification and a dry-run action interface (contract/address selector checks and eth_call). Signing must remain disabled.</w:t>
      </w:r>
    </w:p>
    <w:p>
      <w:pPr>
        <w:pStyle w:val="ListNumber"/>
      </w:pPr>
      <w:r>
        <w:t>Generate the first paper reallocation in a reproducible fixture; then test real candidate vaults and small-value supervised execution before unattended operation.</w:t>
      </w:r>
    </w:p>
    <w:p>
      <w:pPr>
        <w:pStyle w:val="Heading2"/>
      </w:pPr>
      <w:r>
        <w:t>Proposed repository layout</w:t>
      </w:r>
    </w:p>
    <w:p>
      <w:pPr>
        <w:pStyle w:val="Small"/>
      </w:pPr>
      <w:r>
        <w:t>apps/collector-python/   apps/chain-worker-rust/   src/risk/   src/policy/   schemas/   tests/   config/   docs/   scripts/   data/ (gitignored)</w:t>
      </w:r>
    </w:p>
    <w:p>
      <w:pPr>
        <w:pStyle w:val="Heading2"/>
      </w:pPr>
      <w:r>
        <w:t>Definition of done for the first paper allocator</w:t>
      </w:r>
    </w:p>
    <w:p>
      <w:pPr>
        <w:pStyle w:val="ListBullet"/>
      </w:pPr>
      <w:r>
        <w:t>A command reconstructs a coherent current portfolio for a dedicated watch address and at least three real eligible vaults.</w:t>
      </w:r>
    </w:p>
    <w:p>
      <w:pPr>
        <w:pStyle w:val="ListBullet"/>
      </w:pPr>
      <w:r>
        <w:t>A command calculates target weights and generates an explainable no-op/rebalance plan after estimated costs and hard risk limits.</w:t>
      </w:r>
    </w:p>
    <w:p>
      <w:pPr>
        <w:pStyle w:val="ListBullet"/>
      </w:pPr>
      <w:r>
        <w:t>Stale data, withdrawal shortfall, failed simulation, and insufficient gas are tested as hard stops, not silently ignored.</w:t>
      </w:r>
    </w:p>
    <w:p>
      <w:pPr>
        <w:pStyle w:val="ListBullet"/>
      </w:pPr>
      <w:r>
        <w:t>All decisions are replayable from stored inputs; there is a dry-run ledger with intended and simulated state changes.</w:t>
      </w:r>
    </w:p>
    <w:p>
      <w:pPr>
        <w:pStyle w:val="ListBullet"/>
      </w:pPr>
      <w:r>
        <w:t>README documents how to repeat the tests, sample reports, limitations, and the explicit gates still blocking live mode.</w:t>
      </w:r>
    </w:p>
    <w:p>
      <w:pPr>
        <w:pStyle w:val="Heading1"/>
      </w:pPr>
      <w:r>
        <w:t>10  Autonomous operation, measurement and future extensions</w:t>
      </w:r>
    </w:p>
    <w:p>
      <w:pPr>
        <w:pStyle w:val="Heading2"/>
      </w:pPr>
      <w:r>
        <w:t>Evaluation: does the allocator work safely?</w:t>
      </w:r>
    </w:p>
    <w:p>
      <w:r>
        <w:t>The first success criterion is operational correctness, not whether the allocation strategy beats a yield benchmark. Track the ratio of successful/reconciled transactions, stale-data time, avoided low-value reallocations, gas spent, execution slippage, downtime, and adherence to limits. Compare the strategy with a passive single-vault allocation and a simple diversified baseline only after a meaningful observation period.</w:t>
      </w:r>
    </w:p>
    <w:p>
      <w:r>
        <w:t>Use a dedicated test portfolio whose loss is acceptable. Record cashflows and changes in vault share value so apparent yield is not confused with deposit flows or price effects. Do not interpret short-term outperformance as statistically established alpha. Autonomy requires incident reporting and operator control, not merely a cron job that signs transactions.</w:t>
      </w:r>
    </w:p>
    <w:p>
      <w:pPr>
        <w:pStyle w:val="Heading2"/>
      </w:pPr>
      <w:r>
        <w:t>Demonstrating engineering experience</w:t>
      </w:r>
    </w:p>
    <w:p>
      <w:r>
        <w:t>Provide a repository with tests, an architecture diagram, a deterministic risk/decision policy, simulated/fork-test evidence, and a real operational case study once deployed. An openly described personal automated system can credibly demonstrate systems engineering and operations, while not replacing professional production experience.</w:t>
      </w:r>
    </w:p>
    <w:p>
      <w:pPr>
        <w:pStyle w:val="Heading2"/>
      </w:pPr>
      <w:r>
        <w:t>Defer, pause or extend</w:t>
      </w:r>
    </w:p>
    <w:p>
      <w:pPr>
        <w:pStyle w:val="ListBullet"/>
      </w:pPr>
      <w:r>
        <w:t>If full underlying-risk data is incomplete, retain conservative allocation constraints and clearly identify unobservable exposures; do not stall basic holdings and execution infrastructure.</w:t>
      </w:r>
    </w:p>
    <w:p>
      <w:pPr>
        <w:pStyle w:val="ListBullet"/>
      </w:pPr>
      <w:r>
        <w:t>If risk optimization becomes a research sink, use deterministic exposure/risk rules and a fixed strategy until the basic allocator is functioning.</w:t>
      </w:r>
    </w:p>
    <w:p>
      <w:pPr>
        <w:pStyle w:val="ListBullet"/>
      </w:pPr>
      <w:r>
        <w:t>If Rust integration delays paper allocation materially, keep Python orchestration and introduce Rust incrementally for RPC reads and transaction lifecycle handling.</w:t>
      </w:r>
    </w:p>
    <w:p>
      <w:pPr>
        <w:pStyle w:val="ListBullet"/>
      </w:pPr>
      <w:r>
        <w:t>If a live execution edge case cannot be safely bounded, stop at paper mode until it is resolved. Commercial use, curator tools, and sophisticated models can wait.</w:t>
      </w:r>
    </w:p>
    <w:p>
      <w:pPr>
        <w:pStyle w:val="Heading1"/>
      </w:pPr>
      <w:r>
        <w:t>11  Decisions to settle during the first development sessions</w:t>
      </w:r>
    </w:p>
    <w:tbl>
      <w:tblPr>
        <w:tblStyle w:val="TableGrid"/>
        <w:tblW w:type="auto" w:w="0"/>
        <w:jc w:val="center"/>
        <w:tblLayout w:type="fixed"/>
        <w:tblLook w:firstColumn="1" w:firstRow="1" w:lastColumn="0" w:lastRow="0" w:noHBand="0" w:noVBand="1" w:val="04A0"/>
      </w:tblPr>
      <w:tblGrid>
        <w:gridCol w:w="4953"/>
        <w:gridCol w:w="4953"/>
      </w:tblGrid>
      <w:tr>
        <w:trPr>
          <w:cantSplit/>
          <w:cantSplit/>
        </w:trPr>
        <w:tc>
          <w:tcPr>
            <w:tcW w:type="dxa" w:w="2376"/>
            <w:shd w:fill="DDEBF0"/>
            <w:tcMar>
              <w:top w:w="85" w:type="dxa"/>
              <w:start w:w="110" w:type="dxa"/>
              <w:bottom w:w="85" w:type="dxa"/>
              <w:end w:w="110" w:type="dxa"/>
            </w:tcMar>
            <w:vAlign w:val="center"/>
          </w:tcPr>
          <w:p>
            <w:pPr>
              <w:keepNext/>
            </w:pPr>
            <w:r>
              <w:rPr>
                <w:b/>
                <w:color w:val="142539"/>
                <w:sz w:val="16"/>
              </w:rPr>
              <w:t>OPEN ITEM</w:t>
            </w:r>
          </w:p>
        </w:tc>
        <w:tc>
          <w:tcPr>
            <w:tcW w:type="dxa" w:w="7776"/>
            <w:shd w:fill="DDEBF0"/>
            <w:tcMar>
              <w:top w:w="85" w:type="dxa"/>
              <w:start w:w="110" w:type="dxa"/>
              <w:bottom w:w="85" w:type="dxa"/>
              <w:end w:w="110" w:type="dxa"/>
            </w:tcMar>
            <w:vAlign w:val="center"/>
          </w:tcPr>
          <w:p>
            <w:pPr>
              <w:keepNext/>
            </w:pPr>
            <w:r>
              <w:rPr>
                <w:b/>
                <w:color w:val="142539"/>
                <w:sz w:val="16"/>
              </w:rPr>
              <w:t>DEFAULT / DECISION RULE</w:t>
            </w:r>
          </w:p>
        </w:tc>
      </w:tr>
      <w:tr>
        <w:trPr>
          <w:cantSplit/>
          <w:cantSplit/>
        </w:trPr>
        <w:tc>
          <w:tcPr>
            <w:tcW w:type="dxa" w:w="2376"/>
            <w:tcMar>
              <w:top w:w="85" w:type="dxa"/>
              <w:start w:w="110" w:type="dxa"/>
              <w:bottom w:w="85" w:type="dxa"/>
              <w:end w:w="110" w:type="dxa"/>
            </w:tcMar>
            <w:vAlign w:val="center"/>
          </w:tcPr>
          <w:p>
            <w:pPr>
              <w:keepNext/>
              <w:spacing w:after="0" w:line="259" w:lineRule="auto"/>
            </w:pPr>
            <w:r>
              <w:rPr>
                <w:color w:val="24323F"/>
                <w:sz w:val="16"/>
              </w:rPr>
              <w:t>Initial chain</w:t>
            </w:r>
          </w:p>
        </w:tc>
        <w:tc>
          <w:tcPr>
            <w:tcW w:type="dxa" w:w="7776"/>
            <w:tcMar>
              <w:top w:w="85" w:type="dxa"/>
              <w:start w:w="110" w:type="dxa"/>
              <w:bottom w:w="85" w:type="dxa"/>
              <w:end w:w="110" w:type="dxa"/>
            </w:tcMar>
            <w:vAlign w:val="center"/>
          </w:tcPr>
          <w:p>
            <w:pPr>
              <w:keepNext/>
              <w:spacing w:after="0" w:line="259" w:lineRule="auto"/>
            </w:pPr>
            <w:r>
              <w:rPr>
                <w:color w:val="24323F"/>
                <w:sz w:val="16"/>
              </w:rPr>
              <w:t>Select lowest-cost chain with suitable USDC V2 vaults, contract support and liquidity; validate using real addresses.</w:t>
            </w:r>
          </w:p>
        </w:tc>
      </w:tr>
      <w:tr>
        <w:trPr>
          <w:cantSplit/>
          <w:cantSplit/>
        </w:trPr>
        <w:tc>
          <w:tcPr>
            <w:tcW w:type="dxa" w:w="2376"/>
            <w:tcMar>
              <w:top w:w="85" w:type="dxa"/>
              <w:start w:w="110" w:type="dxa"/>
              <w:bottom w:w="85" w:type="dxa"/>
              <w:end w:w="110" w:type="dxa"/>
            </w:tcMar>
            <w:vAlign w:val="center"/>
            <w:shd w:fill="F4F7F9"/>
          </w:tcPr>
          <w:p>
            <w:pPr>
              <w:keepNext/>
              <w:spacing w:after="0" w:line="259" w:lineRule="auto"/>
            </w:pPr>
            <w:r>
              <w:rPr>
                <w:color w:val="24323F"/>
                <w:sz w:val="16"/>
              </w:rPr>
              <w:t>Vault universe</w:t>
            </w:r>
          </w:p>
        </w:tc>
        <w:tc>
          <w:tcPr>
            <w:tcW w:type="dxa" w:w="7776"/>
            <w:tcMar>
              <w:top w:w="85" w:type="dxa"/>
              <w:start w:w="110" w:type="dxa"/>
              <w:bottom w:w="85" w:type="dxa"/>
              <w:end w:w="110" w:type="dxa"/>
            </w:tcMar>
            <w:vAlign w:val="center"/>
            <w:shd w:fill="F4F7F9"/>
          </w:tcPr>
          <w:p>
            <w:pPr>
              <w:keepNext/>
              <w:spacing w:after="0" w:line="259" w:lineRule="auto"/>
            </w:pPr>
            <w:r>
              <w:rPr>
                <w:color w:val="24323F"/>
                <w:sz w:val="16"/>
              </w:rPr>
              <w:t>Start with 3–5 vaults using the same underlying token; support a wallet USDC reserve as an additional allocation bucket.</w:t>
            </w:r>
          </w:p>
        </w:tc>
      </w:tr>
      <w:tr>
        <w:trPr>
          <w:cantSplit/>
          <w:cantSplit/>
        </w:trPr>
        <w:tc>
          <w:tcPr>
            <w:tcW w:type="dxa" w:w="2376"/>
            <w:tcMar>
              <w:top w:w="85" w:type="dxa"/>
              <w:start w:w="110" w:type="dxa"/>
              <w:bottom w:w="85" w:type="dxa"/>
              <w:end w:w="110" w:type="dxa"/>
            </w:tcMar>
            <w:vAlign w:val="center"/>
          </w:tcPr>
          <w:p>
            <w:pPr>
              <w:keepNext/>
              <w:spacing w:after="0" w:line="259" w:lineRule="auto"/>
            </w:pPr>
            <w:r>
              <w:rPr>
                <w:color w:val="24323F"/>
                <w:sz w:val="16"/>
              </w:rPr>
              <w:t>Sampling interval</w:t>
            </w:r>
          </w:p>
        </w:tc>
        <w:tc>
          <w:tcPr>
            <w:tcW w:type="dxa" w:w="7776"/>
            <w:tcMar>
              <w:top w:w="85" w:type="dxa"/>
              <w:start w:w="110" w:type="dxa"/>
              <w:bottom w:w="85" w:type="dxa"/>
              <w:end w:w="110" w:type="dxa"/>
            </w:tcMar>
            <w:vAlign w:val="center"/>
          </w:tcPr>
          <w:p>
            <w:pPr>
              <w:keepNext/>
              <w:spacing w:after="0" w:line="259" w:lineRule="auto"/>
            </w:pPr>
            <w:r>
              <w:rPr>
                <w:color w:val="24323F"/>
                <w:sz w:val="16"/>
              </w:rPr>
              <w:t>Poll at moderate interval; make allocation decisions less frequently and on material conditions, with cooldown.</w:t>
            </w:r>
          </w:p>
        </w:tc>
      </w:tr>
      <w:tr>
        <w:trPr>
          <w:cantSplit/>
          <w:cantSplit/>
        </w:trPr>
        <w:tc>
          <w:tcPr>
            <w:tcW w:type="dxa" w:w="2376"/>
            <w:tcMar>
              <w:top w:w="85" w:type="dxa"/>
              <w:start w:w="110" w:type="dxa"/>
              <w:bottom w:w="85" w:type="dxa"/>
              <w:end w:w="110" w:type="dxa"/>
            </w:tcMar>
            <w:vAlign w:val="center"/>
            <w:shd w:fill="F4F7F9"/>
          </w:tcPr>
          <w:p>
            <w:pPr>
              <w:keepNext/>
              <w:spacing w:after="0" w:line="259" w:lineRule="auto"/>
            </w:pPr>
            <w:r>
              <w:rPr>
                <w:color w:val="24323F"/>
                <w:sz w:val="16"/>
              </w:rPr>
              <w:t>History source</w:t>
            </w:r>
          </w:p>
        </w:tc>
        <w:tc>
          <w:tcPr>
            <w:tcW w:type="dxa" w:w="7776"/>
            <w:tcMar>
              <w:top w:w="85" w:type="dxa"/>
              <w:start w:w="110" w:type="dxa"/>
              <w:bottom w:w="85" w:type="dxa"/>
              <w:end w:w="110" w:type="dxa"/>
            </w:tcMar>
            <w:vAlign w:val="center"/>
            <w:shd w:fill="F4F7F9"/>
          </w:tcPr>
          <w:p>
            <w:pPr>
              <w:keepNext/>
              <w:spacing w:after="0" w:line="259" w:lineRule="auto"/>
            </w:pPr>
            <w:r>
              <w:rPr>
                <w:color w:val="24323F"/>
                <w:sz w:val="16"/>
              </w:rPr>
              <w:t>Persist raw state and decisions from day one; use replay fixtures; backfill history only as required.</w:t>
            </w:r>
          </w:p>
        </w:tc>
      </w:tr>
      <w:tr>
        <w:trPr>
          <w:cantSplit/>
          <w:cantSplit/>
        </w:trPr>
        <w:tc>
          <w:tcPr>
            <w:tcW w:type="dxa" w:w="2376"/>
            <w:tcMar>
              <w:top w:w="85" w:type="dxa"/>
              <w:start w:w="110" w:type="dxa"/>
              <w:bottom w:w="85" w:type="dxa"/>
              <w:end w:w="110" w:type="dxa"/>
            </w:tcMar>
            <w:vAlign w:val="center"/>
          </w:tcPr>
          <w:p>
            <w:pPr>
              <w:keepNext/>
              <w:spacing w:after="0" w:line="259" w:lineRule="auto"/>
            </w:pPr>
            <w:r>
              <w:rPr>
                <w:color w:val="24323F"/>
                <w:sz w:val="16"/>
              </w:rPr>
              <w:t>Execution phase</w:t>
            </w:r>
          </w:p>
        </w:tc>
        <w:tc>
          <w:tcPr>
            <w:tcW w:type="dxa" w:w="7776"/>
            <w:tcMar>
              <w:top w:w="85" w:type="dxa"/>
              <w:start w:w="110" w:type="dxa"/>
              <w:bottom w:w="85" w:type="dxa"/>
              <w:end w:w="110" w:type="dxa"/>
            </w:tcMar>
            <w:vAlign w:val="center"/>
          </w:tcPr>
          <w:p>
            <w:pPr>
              <w:keepNext/>
              <w:spacing w:after="0" w:line="259" w:lineRule="auto"/>
            </w:pPr>
            <w:r>
              <w:rPr>
                <w:color w:val="24323F"/>
                <w:sz w:val="16"/>
              </w:rPr>
              <w:t>Paper → supervised live → autonomous restricted live; reaching autonomous mode is the core goal.</w:t>
            </w:r>
          </w:p>
        </w:tc>
      </w:tr>
      <w:tr>
        <w:trPr>
          <w:cantSplit/>
          <w:cantSplit/>
        </w:trPr>
        <w:tc>
          <w:tcPr>
            <w:tcW w:type="dxa" w:w="2376"/>
            <w:tcMar>
              <w:top w:w="85" w:type="dxa"/>
              <w:start w:w="110" w:type="dxa"/>
              <w:bottom w:w="85" w:type="dxa"/>
              <w:end w:w="110" w:type="dxa"/>
            </w:tcMar>
            <w:vAlign w:val="center"/>
            <w:shd w:fill="F4F7F9"/>
          </w:tcPr>
          <w:p>
            <w:pPr>
              <w:keepNext/>
              <w:spacing w:after="0" w:line="259" w:lineRule="auto"/>
            </w:pPr>
            <w:r>
              <w:rPr>
                <w:color w:val="24323F"/>
                <w:sz w:val="16"/>
              </w:rPr>
              <w:t>Product boundary</w:t>
            </w:r>
          </w:p>
        </w:tc>
        <w:tc>
          <w:tcPr>
            <w:tcW w:type="dxa" w:w="7776"/>
            <w:tcMar>
              <w:top w:w="85" w:type="dxa"/>
              <w:start w:w="110" w:type="dxa"/>
              <w:bottom w:w="85" w:type="dxa"/>
              <w:end w:w="110" w:type="dxa"/>
            </w:tcMar>
            <w:vAlign w:val="center"/>
            <w:shd w:fill="F4F7F9"/>
          </w:tcPr>
          <w:p>
            <w:pPr>
              <w:keepNext/>
              <w:spacing w:after="0" w:line="259" w:lineRule="auto"/>
            </w:pPr>
            <w:r>
              <w:rPr>
                <w:color w:val="24323F"/>
                <w:sz w:val="16"/>
              </w:rPr>
              <w:t>No commercial product in MVP. Personal-capital allocator first; optional curator/authorized in-vault tooling later.</w:t>
            </w:r>
          </w:p>
        </w:tc>
      </w:tr>
      <w:tr>
        <w:trPr>
          <w:cantSplit/>
          <w:cantSplit/>
        </w:trPr>
        <w:tc>
          <w:tcPr>
            <w:tcW w:type="dxa" w:w="2376"/>
            <w:tcMar>
              <w:top w:w="85" w:type="dxa"/>
              <w:start w:w="110" w:type="dxa"/>
              <w:bottom w:w="85" w:type="dxa"/>
              <w:end w:w="110" w:type="dxa"/>
            </w:tcMar>
            <w:vAlign w:val="center"/>
          </w:tcPr>
          <w:p>
            <w:pPr>
              <w:spacing w:after="0" w:line="259" w:lineRule="auto"/>
            </w:pPr>
            <w:r>
              <w:rPr>
                <w:color w:val="24323F"/>
                <w:sz w:val="16"/>
              </w:rPr>
              <w:t>Project identity</w:t>
            </w:r>
          </w:p>
        </w:tc>
        <w:tc>
          <w:tcPr>
            <w:tcW w:type="dxa" w:w="7776"/>
            <w:tcMar>
              <w:top w:w="85" w:type="dxa"/>
              <w:start w:w="110" w:type="dxa"/>
              <w:bottom w:w="85" w:type="dxa"/>
              <w:end w:w="110" w:type="dxa"/>
            </w:tcMar>
            <w:vAlign w:val="center"/>
          </w:tcPr>
          <w:p>
            <w:pPr>
              <w:spacing w:after="0" w:line="259" w:lineRule="auto"/>
            </w:pPr>
            <w:r>
              <w:rPr>
                <w:color w:val="24323F"/>
                <w:sz w:val="16"/>
              </w:rPr>
              <w:t>Working name Lapidus Vault Systems; branding is secondary to shipping a safe executable allocator.</w:t>
            </w:r>
          </w:p>
        </w:tc>
      </w:tr>
    </w:tbl>
    <w:p>
      <w:pPr>
        <w:spacing w:after="0"/>
      </w:pPr>
    </w:p>
    <w:p>
      <w:pPr>
        <w:pStyle w:val="Heading1"/>
      </w:pPr>
      <w:r>
        <w:t>12  Primary documentation and verification references</w:t>
      </w:r>
    </w:p>
    <w:p>
      <w:pPr>
        <w:pStyle w:val="Small"/>
        <w:spacing w:after="20"/>
      </w:pPr>
      <w:r>
        <w:t>[1] Morpho — Vaults V2: roles and capabilities</w:t>
      </w:r>
    </w:p>
    <w:p>
      <w:pPr>
        <w:pStyle w:val="Small"/>
        <w:spacing w:after="80"/>
      </w:pPr>
      <w:r>
        <w:t>https://docs.morpho.org/curate/concepts/roles/</w:t>
      </w:r>
    </w:p>
    <w:p>
      <w:pPr>
        <w:pStyle w:val="Small"/>
        <w:spacing w:after="20"/>
      </w:pPr>
      <w:r>
        <w:t>[2] Morpho — Vaults V2 contract reference and interface caveats</w:t>
      </w:r>
    </w:p>
    <w:p>
      <w:pPr>
        <w:pStyle w:val="Small"/>
        <w:spacing w:after="80"/>
      </w:pPr>
      <w:r>
        <w:t>https://docs.morpho.org/developers/contracts/morpho-vaults-v2/</w:t>
      </w:r>
    </w:p>
    <w:p>
      <w:pPr>
        <w:pStyle w:val="Small"/>
        <w:spacing w:after="20"/>
      </w:pPr>
      <w:r>
        <w:t>[3] Morpho — Vault V2 concepts: adapters, caps, liquidity</w:t>
      </w:r>
    </w:p>
    <w:p>
      <w:pPr>
        <w:pStyle w:val="Small"/>
        <w:spacing w:after="80"/>
      </w:pPr>
      <w:r>
        <w:t>https://docs.morpho.org/learn/concepts/vault-v2/</w:t>
      </w:r>
    </w:p>
    <w:p>
      <w:pPr>
        <w:pStyle w:val="Small"/>
        <w:spacing w:after="20"/>
      </w:pPr>
      <w:r>
        <w:t>[4] Morpho — Vault liquidity and withdrawals</w:t>
      </w:r>
    </w:p>
    <w:p>
      <w:pPr>
        <w:pStyle w:val="Small"/>
      </w:pPr>
      <w:r>
        <w:t>https://help.morpho.org/en/articles/14779745-morpho-vaults-and-available-liquidity</w:t>
      </w:r>
    </w:p>
    <w:p>
      <w:pPr>
        <w:pStyle w:val="Small"/>
        <w:spacing w:after="20"/>
      </w:pPr>
      <w:r>
        <w:t>[5] Morpho — Vault API reference: discovery, positions, state</w:t>
      </w:r>
    </w:p>
    <w:p>
      <w:pPr>
        <w:pStyle w:val="Small"/>
        <w:spacing w:after="80"/>
      </w:pPr>
      <w:r>
        <w:t>https://docs.morpho.org/developers/api/morpho-vaults/</w:t>
      </w:r>
    </w:p>
    <w:p>
      <w:pPr>
        <w:pStyle w:val="Small"/>
        <w:spacing w:after="20"/>
      </w:pPr>
      <w:r>
        <w:t>[6] Morpho — List V2 vaults endpoint</w:t>
      </w:r>
    </w:p>
    <w:p>
      <w:pPr>
        <w:pStyle w:val="Small"/>
        <w:spacing w:after="80"/>
      </w:pPr>
      <w:r>
        <w:t>https://docs.morpho.org/api/vaults-v2/list-v2-vaults/</w:t>
      </w:r>
    </w:p>
    <w:p>
      <w:pPr>
        <w:pStyle w:val="Small"/>
        <w:spacing w:after="20"/>
      </w:pPr>
      <w:r>
        <w:t>[7] Morpho — V2 vault state endpoint</w:t>
      </w:r>
    </w:p>
    <w:p>
      <w:pPr>
        <w:pStyle w:val="Small"/>
        <w:spacing w:after="80"/>
      </w:pPr>
      <w:r>
        <w:t>https://docs.morpho.org/api/vaults-v2/get-v2-vault-state/</w:t>
      </w:r>
    </w:p>
    <w:p>
      <w:pPr>
        <w:pStyle w:val="Small"/>
        <w:spacing w:after="20"/>
      </w:pPr>
      <w:r>
        <w:t>[8] Alloy — Rust Ethereum providers and contract access</w:t>
      </w:r>
    </w:p>
    <w:p>
      <w:pPr>
        <w:pStyle w:val="Small"/>
        <w:spacing w:after="80"/>
      </w:pPr>
      <w:r>
        <w:t>https://alloy.rs/</w:t>
      </w:r>
    </w:p>
    <w:p>
      <w:pPr>
        <w:pStyle w:val="Small"/>
      </w:pPr>
      <w:r>
        <w:t>[9] Morpho — Depositing and withdrawing from V2 vaults; SDK integration and limits</w:t>
      </w:r>
    </w:p>
    <w:p>
      <w:pPr>
        <w:pStyle w:val="Small"/>
      </w:pPr>
      <w:r>
        <w:t>https://docs.morpho.org/developers/earn/tutorials/assets-flow/</w:t>
      </w:r>
    </w:p>
    <w:p>
      <w:pPr>
        <w:pStyle w:val="Small"/>
      </w:pPr>
      <w:r>
        <w:t>References verified 22 October 2026. Deployed addresses, API schemas, ERC-4626 edge cases, SDK versions, chain state and supported withdrawal paths must be rechecked before enabling transaction signing.</w:t>
      </w:r>
    </w:p>
    <w:sectPr w:rsidR="00FC693F" w:rsidRPr="0006063C" w:rsidSect="00034616">
      <w:headerReference w:type="default" r:id="rId9"/>
      <w:footerReference w:type="default" r:id="rId10"/>
      <w:pgSz w:w="12240" w:h="15840"/>
      <w:pgMar w:top="994" w:right="1138" w:bottom="950" w:left="1195"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A76"/>
        <w:sz w:val="14"/>
      </w:rPr>
      <w:t xml:space="preserve">CONFIDENTIAL WORKING DRAFT   •   22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A76"/>
        <w:sz w:val="14"/>
      </w:rPr>
      <w:t>L A P I D U S   /   V A U L T   S Y S T E M 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2" w:line="274" w:lineRule="auto"/>
    </w:pPr>
    <w:rPr>
      <w:rFonts w:ascii="Aptos" w:hAnsi="Aptos"/>
      <w:color w:val="2432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42539"/>
      <w:sz w:val="31"/>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7E8F"/>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425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253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100"/>
    </w:pPr>
    <w:rPr>
      <w:rFonts w:ascii="Aptos" w:hAnsi="Aptos"/>
      <w:color w:val="5C6A76"/>
      <w:sz w:val="24"/>
    </w:rPr>
  </w:style>
  <w:style w:type="paragraph" w:customStyle="1" w:styleId="Eyebrow">
    <w:name w:val="Eyebrow"/>
    <w:pPr>
      <w:spacing w:after="100"/>
    </w:pPr>
    <w:rPr>
      <w:rFonts w:ascii="Aptos" w:hAnsi="Aptos"/>
      <w:b/>
      <w:color w:val="007E8F"/>
      <w:sz w:val="17"/>
    </w:rPr>
  </w:style>
  <w:style w:type="paragraph" w:customStyle="1" w:styleId="Small">
    <w:name w:val="Small"/>
    <w:pPr>
      <w:spacing w:after="100"/>
    </w:pPr>
    <w:rPr>
      <w:rFonts w:ascii="Aptos" w:hAnsi="Aptos"/>
      <w:color w:val="5C6A76"/>
      <w:sz w:val="16"/>
    </w:rPr>
  </w:style>
  <w:style w:type="paragraph" w:customStyle="1" w:styleId="CaptionSmall">
    <w:name w:val="CaptionSmall"/>
    <w:pPr>
      <w:spacing w:after="100"/>
    </w:pPr>
    <w:rPr>
      <w:rFonts w:ascii="Aptos" w:hAnsi="Aptos"/>
      <w:color w:val="5C6A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Lapidus Vault Systems — Automated Allocation Blueprint v0.2</dc:title>
  <dc:subject>Morpho vault personal-capital autonomous allocation and risk infrastructure</dc:subject>
  <dc:creator>Lapidus Research</dc:creator>
  <cp:keywords/>
  <dc:description>Revision: automated capital allocation is primary, curator-facing use is optional.</dc:description>
  <cp:lastModifiedBy/>
  <cp:revision>1</cp:revision>
  <dcterms:created xsi:type="dcterms:W3CDTF">2013-12-23T23:15:00Z</dcterms:created>
  <dcterms:modified xsi:type="dcterms:W3CDTF">2013-12-23T23:15:00Z</dcterms:modified>
  <cp:category/>
</cp:coreProperties>
</file>